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4FDF" w:rsidRDefault="003F2650" w:rsidP="00F65DA8">
      <w:pPr>
        <w:pStyle w:val="Heading1"/>
        <w:numPr>
          <w:ilvl w:val="0"/>
          <w:numId w:val="0"/>
        </w:numPr>
        <w:spacing w:after="207"/>
        <w:ind w:left="10" w:hanging="10"/>
      </w:pPr>
      <w:r>
        <w:t xml:space="preserve">SYNOPSIS  </w:t>
      </w:r>
    </w:p>
    <w:p w:rsidR="00504FDF" w:rsidRDefault="003F2650">
      <w:pPr>
        <w:spacing w:after="229" w:line="248" w:lineRule="auto"/>
        <w:ind w:left="-5"/>
      </w:pPr>
      <w:r>
        <w:rPr>
          <w:b/>
        </w:rPr>
        <w:t>Name of Sponsor:</w:t>
      </w:r>
      <w:r>
        <w:t xml:space="preserve">  Amgen SA </w:t>
      </w:r>
    </w:p>
    <w:p w:rsidR="00504FDF" w:rsidRDefault="003F2650">
      <w:pPr>
        <w:spacing w:after="229" w:line="248" w:lineRule="auto"/>
        <w:ind w:left="-5"/>
      </w:pPr>
      <w:r>
        <w:rPr>
          <w:b/>
        </w:rPr>
        <w:t>Name of Finished Product:</w:t>
      </w:r>
      <w:r>
        <w:t xml:space="preserve">  palifermin </w:t>
      </w:r>
    </w:p>
    <w:p w:rsidR="00504FDF" w:rsidRDefault="003F2650">
      <w:pPr>
        <w:spacing w:after="8"/>
      </w:pPr>
      <w:r>
        <w:rPr>
          <w:b/>
        </w:rPr>
        <w:t>Name of Active Ingredient:</w:t>
      </w:r>
      <w:r>
        <w:t xml:space="preserve">  Recombinant human keratinocyte growth factor (rHuKGF) </w:t>
      </w:r>
    </w:p>
    <w:p w:rsidR="00504FDF" w:rsidRDefault="003F2650">
      <w:pPr>
        <w:spacing w:after="144" w:line="259" w:lineRule="auto"/>
        <w:ind w:left="-30" w:right="-38" w:firstLine="0"/>
      </w:pPr>
      <w:r>
        <w:rPr>
          <w:rFonts w:ascii="Calibri" w:eastAsia="Calibri" w:hAnsi="Calibri" w:cs="Calibri"/>
          <w:noProof/>
          <w:sz w:val="22"/>
          <w:lang w:val="sv-SE" w:eastAsia="sv-SE"/>
        </w:rPr>
        <mc:AlternateContent>
          <mc:Choice Requires="wpg">
            <w:drawing>
              <wp:inline distT="0" distB="0" distL="0" distR="0">
                <wp:extent cx="5524500" cy="9144"/>
                <wp:effectExtent l="0" t="0" r="0" b="0"/>
                <wp:docPr id="5224" name="Group 5224"/>
                <wp:cNvGraphicFramePr/>
                <a:graphic xmlns:a="http://schemas.openxmlformats.org/drawingml/2006/main">
                  <a:graphicData uri="http://schemas.microsoft.com/office/word/2010/wordprocessingGroup">
                    <wpg:wgp>
                      <wpg:cNvGrpSpPr/>
                      <wpg:grpSpPr>
                        <a:xfrm>
                          <a:off x="0" y="0"/>
                          <a:ext cx="5524500" cy="9144"/>
                          <a:chOff x="0" y="0"/>
                          <a:chExt cx="5524500" cy="9144"/>
                        </a:xfrm>
                      </wpg:grpSpPr>
                      <wps:wsp>
                        <wps:cNvPr id="7735" name="Shape 7735"/>
                        <wps:cNvSpPr/>
                        <wps:spPr>
                          <a:xfrm>
                            <a:off x="0" y="0"/>
                            <a:ext cx="5524500" cy="9144"/>
                          </a:xfrm>
                          <a:custGeom>
                            <a:avLst/>
                            <a:gdLst/>
                            <a:ahLst/>
                            <a:cxnLst/>
                            <a:rect l="0" t="0" r="0" b="0"/>
                            <a:pathLst>
                              <a:path w="5524500" h="9144">
                                <a:moveTo>
                                  <a:pt x="0" y="0"/>
                                </a:moveTo>
                                <a:lnTo>
                                  <a:pt x="5524500" y="0"/>
                                </a:lnTo>
                                <a:lnTo>
                                  <a:pt x="55245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16472489" id="Group 5224" o:spid="_x0000_s1026" style="width:435pt;height:.7pt;mso-position-horizontal-relative:char;mso-position-vertical-relative:line" coordsize="55245,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">
                <v:shape id="Shape 7735" o:spid="_x0000_s1027" style="position:absolute;width:55245;height:91;visibility:visible;mso-wrap-style:square;v-text-anchor:top" coordsize="552450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eysQA&#10;AADdAAAADwAAAGRycy9kb3ducmV2LnhtbESPT4vCMBTE78J+h/AWvGnquq5Sm8oiCN7800U8Pppn&#10;W21eShO1fvuNIHgcZuY3TLLoTC1u1LrKsoLRMAJBnFtdcaHgL1sNZiCcR9ZYWyYFD3KwSD96Ccba&#10;3nlHt70vRICwi1FB6X0TS+nykgy6oW2Ig3eyrUEfZFtI3eI9wE0tv6LoRxqsOCyU2NCypPyyvxoF&#10;u1qfl1XGh8g43l6/j6eDdxul+p/d7xyEp86/w6/2WiuYTscTeL4JT0Cm/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vsHsrEAAAA3QAAAA8AAAAAAAAAAAAAAAAAmAIAAGRycy9k&#10;b3ducmV2LnhtbFBLBQYAAAAABAAEAPUAAACJAwAAAAA=&#10;" path="m,l5524500,r,9144l,9144,,e" fillcolor="black" stroked="f" strokeweight="0">
                  <v:stroke miterlimit="83231f" joinstyle="miter"/>
                  <v:path arrowok="t" textboxrect="0,0,5524500,9144"/>
                </v:shape>
                <w10:anchorlock/>
              </v:group>
            </w:pict>
          </mc:Fallback>
        </mc:AlternateContent>
      </w:r>
    </w:p>
    <w:p w:rsidR="00504FDF" w:rsidRDefault="003F2650">
      <w:pPr>
        <w:spacing w:after="8"/>
      </w:pPr>
      <w:r>
        <w:rPr>
          <w:b/>
        </w:rPr>
        <w:t>Title of Study:</w:t>
      </w:r>
      <w:r>
        <w:t xml:space="preserve">  An Open-label, Single-arm Study of Palifermin for Reduction of Mucositis in </w:t>
      </w:r>
    </w:p>
    <w:p w:rsidR="00504FDF" w:rsidRDefault="003F2650">
      <w:r>
        <w:t xml:space="preserve">Subjects with Non-Hodgkin’s Lymphoma (NHL) or Multiple Myeloma (MM) Undergoing High-Dose Chemotherapy and Autologous Peripheral Blood Stem Cell (PBSC) Transplantation </w:t>
      </w:r>
    </w:p>
    <w:p w:rsidR="00504FDF" w:rsidRDefault="003F2650">
      <w:r>
        <w:rPr>
          <w:b/>
        </w:rPr>
        <w:t>Investigators and Study Centers:</w:t>
      </w:r>
      <w:r>
        <w:t xml:space="preserve">  This study was conducted at 25 sites in Spain; Dolores Caballero, MD, was the coordinating investigator.  See </w:t>
      </w:r>
      <w:r>
        <w:rPr>
          <w:color w:val="0000FF"/>
        </w:rPr>
        <w:t>Appendix 2</w:t>
      </w:r>
      <w:r>
        <w:t xml:space="preserve"> for the location of all sites and the principal investigator at each site. </w:t>
      </w:r>
    </w:p>
    <w:p w:rsidR="00504FDF" w:rsidRDefault="003F2650">
      <w:r>
        <w:rPr>
          <w:b/>
        </w:rPr>
        <w:t>Publications:</w:t>
      </w:r>
      <w:r>
        <w:t xml:space="preserve">  No publications based on this study have been written to date. </w:t>
      </w:r>
    </w:p>
    <w:p w:rsidR="00504FDF" w:rsidRDefault="003F2650">
      <w:r>
        <w:rPr>
          <w:b/>
        </w:rPr>
        <w:t>Study Period:</w:t>
      </w:r>
      <w:r>
        <w:t xml:space="preserve">  25 April 2006 (first subject enrolled) to 26 April 2007 (last visit of last subject) </w:t>
      </w:r>
    </w:p>
    <w:p w:rsidR="00504FDF" w:rsidRDefault="003F2650">
      <w:pPr>
        <w:spacing w:after="9" w:line="248" w:lineRule="auto"/>
        <w:ind w:left="-5"/>
      </w:pPr>
      <w:r>
        <w:rPr>
          <w:b/>
        </w:rPr>
        <w:t>Development Phase:</w:t>
      </w:r>
      <w:r>
        <w:t xml:space="preserve">  4 </w:t>
      </w:r>
    </w:p>
    <w:p w:rsidR="00504FDF" w:rsidRDefault="003F2650">
      <w:pPr>
        <w:spacing w:after="144" w:line="259" w:lineRule="auto"/>
        <w:ind w:left="-30" w:right="-38" w:firstLine="0"/>
      </w:pPr>
      <w:r>
        <w:rPr>
          <w:rFonts w:ascii="Calibri" w:eastAsia="Calibri" w:hAnsi="Calibri" w:cs="Calibri"/>
          <w:noProof/>
          <w:sz w:val="22"/>
          <w:lang w:val="sv-SE" w:eastAsia="sv-SE"/>
        </w:rPr>
        <mc:AlternateContent>
          <mc:Choice Requires="wpg">
            <w:drawing>
              <wp:inline distT="0" distB="0" distL="0" distR="0">
                <wp:extent cx="5524500" cy="9144"/>
                <wp:effectExtent l="0" t="0" r="0" b="0"/>
                <wp:docPr id="5225" name="Group 5225"/>
                <wp:cNvGraphicFramePr/>
                <a:graphic xmlns:a="http://schemas.openxmlformats.org/drawingml/2006/main">
                  <a:graphicData uri="http://schemas.microsoft.com/office/word/2010/wordprocessingGroup">
                    <wpg:wgp>
                      <wpg:cNvGrpSpPr/>
                      <wpg:grpSpPr>
                        <a:xfrm>
                          <a:off x="0" y="0"/>
                          <a:ext cx="5524500" cy="9144"/>
                          <a:chOff x="0" y="0"/>
                          <a:chExt cx="5524500" cy="9144"/>
                        </a:xfrm>
                      </wpg:grpSpPr>
                      <wps:wsp>
                        <wps:cNvPr id="7736" name="Shape 7736"/>
                        <wps:cNvSpPr/>
                        <wps:spPr>
                          <a:xfrm>
                            <a:off x="0" y="0"/>
                            <a:ext cx="5524500" cy="9144"/>
                          </a:xfrm>
                          <a:custGeom>
                            <a:avLst/>
                            <a:gdLst/>
                            <a:ahLst/>
                            <a:cxnLst/>
                            <a:rect l="0" t="0" r="0" b="0"/>
                            <a:pathLst>
                              <a:path w="5524500" h="9144">
                                <a:moveTo>
                                  <a:pt x="0" y="0"/>
                                </a:moveTo>
                                <a:lnTo>
                                  <a:pt x="5524500" y="0"/>
                                </a:lnTo>
                                <a:lnTo>
                                  <a:pt x="55245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6EC85AA1" id="Group 5225" o:spid="_x0000_s1026" style="width:435pt;height:.7pt;mso-position-horizontal-relative:char;mso-position-vertical-relative:line" coordsize="55245,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">
                <v:shape id="Shape 7736" o:spid="_x0000_s1027" style="position:absolute;width:55245;height:91;visibility:visible;mso-wrap-style:square;v-text-anchor:top" coordsize="552450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6AvcAA&#10;AADdAAAADwAAAGRycy9kb3ducmV2LnhtbESPSwvCMBCE74L/IazgTVMfqFSjiCB484l4XJq1rTab&#10;0kSt/94IgsdhZr5hZovaFOJJlcstK+h1IxDEidU5pwpOx3VnAsJ5ZI2FZVLwJgeLebMxw1jbF+/p&#10;efCpCBB2MSrIvC9jKV2SkUHXtSVx8K62MuiDrFKpK3wFuClkP4pG0mDOYSHDklYZJffDwyjYF/q2&#10;yo98jozj3WN4uZ692yrVbtXLKQhPtf+Hf+2NVjAeD0bwfROegJx/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z6AvcAAAADdAAAADwAAAAAAAAAAAAAAAACYAgAAZHJzL2Rvd25y&#10;ZXYueG1sUEsFBgAAAAAEAAQA9QAAAIUDAAAAAA==&#10;" path="m,l5524500,r,9144l,9144,,e" fillcolor="black" stroked="f" strokeweight="0">
                  <v:stroke miterlimit="83231f" joinstyle="miter"/>
                  <v:path arrowok="t" textboxrect="0,0,5524500,9144"/>
                </v:shape>
                <w10:anchorlock/>
              </v:group>
            </w:pict>
          </mc:Fallback>
        </mc:AlternateContent>
      </w:r>
    </w:p>
    <w:p w:rsidR="00504FDF" w:rsidRDefault="003F2650">
      <w:r>
        <w:rPr>
          <w:b/>
        </w:rPr>
        <w:t>Introduction and Objectives:</w:t>
      </w:r>
      <w:r>
        <w:t xml:space="preserve">  Keratinocyte growth factor (KGF) is a 28-kilodalton, heparinbinding member of the fibroblast growth factor (FGF) family that was initially isolated in 1989 from pulmonary fibroblasts as a protein (FGF-7) with keratinocyte-stimulating activity.  KGF stimulates the growth of epithelial cells from a wide variety of tissues but has no known direct effect on other cell types (</w:t>
      </w:r>
      <w:r>
        <w:rPr>
          <w:color w:val="0000FF"/>
        </w:rPr>
        <w:t>Rubin et al, 1989</w:t>
      </w:r>
      <w:r>
        <w:t>).  Recombinant human KGF (palifermin) has been found to markedly reduce chemotherapy- and radiation-induced injury to the mucosal lining of the oral cavity and the lower gastrointestinal (GI) tract in a variety of animal models of chemotherapy, radiotherapy, and blood stem cell transplantation (</w:t>
      </w:r>
      <w:r>
        <w:rPr>
          <w:color w:val="0000FF"/>
        </w:rPr>
        <w:t>Farrell et al, 1998; Farrell et al, 1999</w:t>
      </w:r>
      <w:r>
        <w:t xml:space="preserve">).  The action of the drug appears to be bimodal: a growth enhancing differentiation and a cytoprotective effect throughout the GI tract, both of which result in a thickening of the epithelial tissues (squamous epithelium of the oral cavity, and glandular tissue of the intestinal column). </w:t>
      </w:r>
    </w:p>
    <w:p w:rsidR="00504FDF" w:rsidRDefault="003F2650">
      <w:r>
        <w:t xml:space="preserve">Palifermin has demonstrated a clinical effect in reducing the incidence and duration of severe oral mucositis in two different clinical studies in patients with hematologic malignancies undergoing total body irradiation with high-dose chemotherapy and autologous peripheral blood stem cell support (Amgen studies 980231 and 20000162; </w:t>
      </w:r>
      <w:r>
        <w:rPr>
          <w:color w:val="0000FF"/>
        </w:rPr>
        <w:t>Spielberger et al., 2001</w:t>
      </w:r>
      <w:r>
        <w:t xml:space="preserve">; </w:t>
      </w:r>
      <w:r>
        <w:rPr>
          <w:color w:val="0000FF"/>
        </w:rPr>
        <w:t>Spielberger et al., 2003</w:t>
      </w:r>
      <w:r>
        <w:t xml:space="preserve">).  This study was conducted to estimate the incidence and duration of grade 3 and 4 oral mucositis in subjects with NHL receiving BEAM (bis-chloroethyl-nitrosourea, also known as BCNU; etoposide; cytosine arabinoside, also known as Ara-C; and melphalan) and subjects with multiple myeloma receiving high-dose melphalan conditioning therapy.   </w:t>
      </w:r>
    </w:p>
    <w:p w:rsidR="00504FDF" w:rsidRDefault="003F2650">
      <w:pPr>
        <w:spacing w:after="220" w:line="259" w:lineRule="auto"/>
        <w:ind w:left="-5"/>
      </w:pPr>
      <w:r>
        <w:rPr>
          <w:u w:val="single" w:color="000000"/>
        </w:rPr>
        <w:t>Primary Objective:</w:t>
      </w:r>
      <w:r>
        <w:t xml:space="preserve"> </w:t>
      </w:r>
    </w:p>
    <w:p w:rsidR="00504FDF" w:rsidRDefault="003F2650">
      <w:r>
        <w:lastRenderedPageBreak/>
        <w:t xml:space="preserve">The primary objective of this study was to estimate the effectiveness of palifermin administered at a dose of 60 μg/kg/day intravenously (IV) for 3 consecutive days before the start of the conditioning regimen and for 3 consecutive days after autologous peripheral blood stem cell transplantation (PBSCT) by determining the incidence and duration of severe World Health Organization (WHO) grades 3 and 4 oral mucositis in patients with NHL and MM who have received high-dose conditioning chemotherapy. </w:t>
      </w:r>
    </w:p>
    <w:p w:rsidR="00504FDF" w:rsidRDefault="003F2650">
      <w:pPr>
        <w:tabs>
          <w:tab w:val="center" w:pos="2002"/>
        </w:tabs>
        <w:spacing w:after="220" w:line="259" w:lineRule="auto"/>
        <w:ind w:left="-15" w:firstLine="0"/>
      </w:pPr>
      <w:r>
        <w:rPr>
          <w:u w:val="single" w:color="000000"/>
        </w:rPr>
        <w:t>Secondary Objectives:</w:t>
      </w:r>
      <w:r>
        <w:rPr>
          <w:b/>
          <w:sz w:val="22"/>
          <w:u w:val="single" w:color="000000"/>
        </w:rPr>
        <w:t xml:space="preserve"> </w:t>
      </w:r>
      <w:r>
        <w:rPr>
          <w:b/>
          <w:sz w:val="22"/>
          <w:u w:val="single" w:color="000000"/>
        </w:rPr>
        <w:tab/>
      </w:r>
      <w:r>
        <w:t xml:space="preserve"> </w:t>
      </w:r>
    </w:p>
    <w:p w:rsidR="00504FDF" w:rsidRDefault="003F2650">
      <w:r>
        <w:t xml:space="preserve">The following were the secondary objectives: </w:t>
      </w:r>
    </w:p>
    <w:p w:rsidR="00504FDF" w:rsidRDefault="003F2650">
      <w:pPr>
        <w:numPr>
          <w:ilvl w:val="0"/>
          <w:numId w:val="1"/>
        </w:numPr>
        <w:ind w:hanging="360"/>
      </w:pPr>
      <w:r>
        <w:t xml:space="preserve">assess the incidence and duration of oral mucositis using multiple assessment methods (including WHO scale grade)  </w:t>
      </w:r>
    </w:p>
    <w:p w:rsidR="00504FDF" w:rsidRDefault="003F2650">
      <w:pPr>
        <w:numPr>
          <w:ilvl w:val="0"/>
          <w:numId w:val="1"/>
        </w:numPr>
        <w:ind w:hanging="360"/>
      </w:pPr>
      <w:r>
        <w:t xml:space="preserve">assess the overall safety profile of palifermin </w:t>
      </w:r>
    </w:p>
    <w:p w:rsidR="00504FDF" w:rsidRDefault="003F2650">
      <w:pPr>
        <w:numPr>
          <w:ilvl w:val="0"/>
          <w:numId w:val="1"/>
        </w:numPr>
        <w:ind w:hanging="360"/>
      </w:pPr>
      <w:r>
        <w:t xml:space="preserve">assess healthcare resource and patient burden associated with oral mucositis, as measured by the incidence and duration of febrile neutropenia, duration of hospitalization by type of ward, use of IV anti-infectives, use of opioid analgesics, and need for total parenteral nutrition (TPN) </w:t>
      </w:r>
    </w:p>
    <w:p w:rsidR="00504FDF" w:rsidRDefault="003F2650">
      <w:pPr>
        <w:numPr>
          <w:ilvl w:val="0"/>
          <w:numId w:val="1"/>
        </w:numPr>
        <w:spacing w:after="4"/>
        <w:ind w:hanging="360"/>
      </w:pPr>
      <w:r>
        <w:t xml:space="preserve">estimate impact of oral mucositis on Patient Reported Outcome (PRO) of mouth and throat soreness (MTS) </w:t>
      </w:r>
    </w:p>
    <w:p w:rsidR="00504FDF" w:rsidRDefault="003F2650">
      <w:pPr>
        <w:spacing w:after="144" w:line="259" w:lineRule="auto"/>
        <w:ind w:left="-30" w:right="-38" w:firstLine="0"/>
      </w:pPr>
      <w:r>
        <w:rPr>
          <w:rFonts w:ascii="Calibri" w:eastAsia="Calibri" w:hAnsi="Calibri" w:cs="Calibri"/>
          <w:noProof/>
          <w:sz w:val="22"/>
          <w:lang w:val="sv-SE" w:eastAsia="sv-SE"/>
        </w:rPr>
        <mc:AlternateContent>
          <mc:Choice Requires="wpg">
            <w:drawing>
              <wp:inline distT="0" distB="0" distL="0" distR="0">
                <wp:extent cx="5524500" cy="9144"/>
                <wp:effectExtent l="0" t="0" r="0" b="0"/>
                <wp:docPr id="5320" name="Group 5320"/>
                <wp:cNvGraphicFramePr/>
                <a:graphic xmlns:a="http://schemas.openxmlformats.org/drawingml/2006/main">
                  <a:graphicData uri="http://schemas.microsoft.com/office/word/2010/wordprocessingGroup">
                    <wpg:wgp>
                      <wpg:cNvGrpSpPr/>
                      <wpg:grpSpPr>
                        <a:xfrm>
                          <a:off x="0" y="0"/>
                          <a:ext cx="5524500" cy="9144"/>
                          <a:chOff x="0" y="0"/>
                          <a:chExt cx="5524500" cy="9144"/>
                        </a:xfrm>
                      </wpg:grpSpPr>
                      <wps:wsp>
                        <wps:cNvPr id="7737" name="Shape 7737"/>
                        <wps:cNvSpPr/>
                        <wps:spPr>
                          <a:xfrm>
                            <a:off x="0" y="0"/>
                            <a:ext cx="5524500" cy="9144"/>
                          </a:xfrm>
                          <a:custGeom>
                            <a:avLst/>
                            <a:gdLst/>
                            <a:ahLst/>
                            <a:cxnLst/>
                            <a:rect l="0" t="0" r="0" b="0"/>
                            <a:pathLst>
                              <a:path w="5524500" h="9144">
                                <a:moveTo>
                                  <a:pt x="0" y="0"/>
                                </a:moveTo>
                                <a:lnTo>
                                  <a:pt x="5524500" y="0"/>
                                </a:lnTo>
                                <a:lnTo>
                                  <a:pt x="55245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8390F20" id="Group 5320" o:spid="_x0000_s1026" style="width:435pt;height:.7pt;mso-position-horizontal-relative:char;mso-position-vertical-relative:line" coordsize="55245,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">
                <v:shape id="Shape 7737" o:spid="_x0000_s1027" style="position:absolute;width:55245;height:91;visibility:visible;mso-wrap-style:square;v-text-anchor:top" coordsize="552450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HIlJsMA&#10;AADdAAAADwAAAGRycy9kb3ducmV2LnhtbESPS6vCMBSE9xf8D+EI7q6pD6xUo4gguPNREZeH5thW&#10;m5PSRO399zeC4HKYmW+Y+bI1lXhS40rLCgb9CARxZnXJuYJTuvmdgnAeWWNlmRT8kYPlovMzx0Tb&#10;Fx/oefS5CBB2CSoovK8TKV1WkEHXtzVx8K62MeiDbHKpG3wFuKnkMIom0mDJYaHAmtYFZffjwyg4&#10;VPq2LlM+R8bx/jG+XM/e7ZTqddvVDISn1n/Dn/ZWK4jjUQzvN+EJyM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HIlJsMAAADdAAAADwAAAAAAAAAAAAAAAACYAgAAZHJzL2Rv&#10;d25yZXYueG1sUEsFBgAAAAAEAAQA9QAAAIgDAAAAAA==&#10;" path="m,l5524500,r,9144l,9144,,e" fillcolor="black" stroked="f" strokeweight="0">
                  <v:stroke miterlimit="83231f" joinstyle="miter"/>
                  <v:path arrowok="t" textboxrect="0,0,5524500,9144"/>
                </v:shape>
                <w10:anchorlock/>
              </v:group>
            </w:pict>
          </mc:Fallback>
        </mc:AlternateContent>
      </w:r>
    </w:p>
    <w:p w:rsidR="00504FDF" w:rsidRDefault="003F2650">
      <w:r>
        <w:rPr>
          <w:b/>
        </w:rPr>
        <w:t>Methodology:</w:t>
      </w:r>
      <w:r>
        <w:t xml:space="preserve">  The study consisted of a screening period of up to 42 days to determine subject eligibility, followed by a treatment period of a maximum of 40 days, and an end of study visit.  Eligible subjects received a dose of 60 μg/kg/day IV palifermin for 3 consecutive days before the start of the conditioning chemotherapy (BEAM or high dose melphalan), and 3 additional doses of 60 μg/kg/day IV palifermin on days 0, 1, and 2 after transplantation.  Filgrastim (G-CSF, Neupogen</w:t>
      </w:r>
      <w:r>
        <w:rPr>
          <w:vertAlign w:val="superscript"/>
        </w:rPr>
        <w:t>®</w:t>
      </w:r>
      <w:r>
        <w:t>) was administered on Day 0, after autologous transplantation, and continued daily until neutrophil recovery (absolute neutrophil count [ANC] ≥ 1 x 10</w:t>
      </w:r>
      <w:r>
        <w:rPr>
          <w:vertAlign w:val="superscript"/>
        </w:rPr>
        <w:t>9</w:t>
      </w:r>
      <w:r>
        <w:t>/L for 3 consecutive days or ANC ≥ 10 x 10</w:t>
      </w:r>
      <w:r>
        <w:rPr>
          <w:vertAlign w:val="superscript"/>
        </w:rPr>
        <w:t>9</w:t>
      </w:r>
      <w:r>
        <w:t xml:space="preserve">/L for 1 day).  Subjects also received peripheral-blood progenitor cells (PBPC) collected after mobilization by either cytokines or chemotherapy with or without cytokines, according to the practices at each participating institution.  The number of CD34+ cells infused was documented in the case report form.  The PBPC product was thawed and infused according to standard institutional practices. </w:t>
      </w:r>
    </w:p>
    <w:p w:rsidR="00504FDF" w:rsidRDefault="003F2650">
      <w:r>
        <w:t xml:space="preserve">Conditioning chemotherapy for NHL subjects consisted of the following:  </w:t>
      </w:r>
    </w:p>
    <w:p w:rsidR="00504FDF" w:rsidRDefault="003F2650">
      <w:pPr>
        <w:numPr>
          <w:ilvl w:val="0"/>
          <w:numId w:val="1"/>
        </w:numPr>
        <w:ind w:hanging="360"/>
      </w:pPr>
      <w:r>
        <w:t>Carmustine (BCNU) was administered by IV infusion on day -7 at a dose of 300 mg/m</w:t>
      </w:r>
      <w:r>
        <w:rPr>
          <w:vertAlign w:val="superscript"/>
        </w:rPr>
        <w:t>2</w:t>
      </w:r>
      <w:r>
        <w:t xml:space="preserve">, based on actual body weight. </w:t>
      </w:r>
    </w:p>
    <w:p w:rsidR="00504FDF" w:rsidRDefault="003F2650">
      <w:pPr>
        <w:numPr>
          <w:ilvl w:val="0"/>
          <w:numId w:val="1"/>
        </w:numPr>
        <w:spacing w:after="257"/>
        <w:ind w:hanging="360"/>
      </w:pPr>
      <w:r>
        <w:t>Etoposide (VP-16) was administered by IV infusion on days -6, -5, -4 and -3 at a dose of 200 mg/m</w:t>
      </w:r>
      <w:r>
        <w:rPr>
          <w:vertAlign w:val="superscript"/>
        </w:rPr>
        <w:t>2</w:t>
      </w:r>
      <w:r>
        <w:t xml:space="preserve">, based on actual body weight. </w:t>
      </w:r>
    </w:p>
    <w:p w:rsidR="00504FDF" w:rsidRDefault="003F2650">
      <w:pPr>
        <w:numPr>
          <w:ilvl w:val="0"/>
          <w:numId w:val="1"/>
        </w:numPr>
        <w:spacing w:after="292" w:line="243" w:lineRule="auto"/>
        <w:ind w:hanging="360"/>
      </w:pPr>
      <w:r>
        <w:t>Cytarabine was administered by IV infusion on days -6, -5, -4 and -3 given twice daily at a dose of 200 mg/m</w:t>
      </w:r>
      <w:r>
        <w:rPr>
          <w:vertAlign w:val="superscript"/>
        </w:rPr>
        <w:t>2</w:t>
      </w:r>
      <w:r>
        <w:t xml:space="preserve"> (total daily dose = 400 mg/m</w:t>
      </w:r>
      <w:r>
        <w:rPr>
          <w:vertAlign w:val="superscript"/>
        </w:rPr>
        <w:t>2</w:t>
      </w:r>
      <w:r>
        <w:t xml:space="preserve">), based on actual body weight. </w:t>
      </w:r>
    </w:p>
    <w:p w:rsidR="00504FDF" w:rsidRDefault="003F2650">
      <w:pPr>
        <w:numPr>
          <w:ilvl w:val="0"/>
          <w:numId w:val="1"/>
        </w:numPr>
        <w:ind w:hanging="360"/>
      </w:pPr>
      <w:r>
        <w:t>Melphalan was administered by IV infusion on day -2 at a dose of 140 mg/m</w:t>
      </w:r>
      <w:r>
        <w:rPr>
          <w:vertAlign w:val="superscript"/>
        </w:rPr>
        <w:t>2</w:t>
      </w:r>
      <w:r>
        <w:t xml:space="preserve">, based on actual body weight. </w:t>
      </w:r>
    </w:p>
    <w:p w:rsidR="00504FDF" w:rsidRDefault="003F2650">
      <w:r>
        <w:lastRenderedPageBreak/>
        <w:t>Conditioning chemotherapy for MM subjects consisted of administration of melphalan by IV infusion either on day -2 at a dose of 200 mg/m</w:t>
      </w:r>
      <w:r>
        <w:rPr>
          <w:vertAlign w:val="superscript"/>
        </w:rPr>
        <w:t>2</w:t>
      </w:r>
      <w:r>
        <w:t xml:space="preserve"> or on day –3 and -2 at a dose of 100 mg/m</w:t>
      </w:r>
      <w:r>
        <w:rPr>
          <w:vertAlign w:val="superscript"/>
        </w:rPr>
        <w:t>2</w:t>
      </w:r>
      <w:r>
        <w:t xml:space="preserve">/d, based on actual body weight. </w:t>
      </w:r>
    </w:p>
    <w:p w:rsidR="00504FDF" w:rsidRDefault="003F2650">
      <w:r>
        <w:t xml:space="preserve">The following tests and procedures were performed throughout the treatment period: </w:t>
      </w:r>
    </w:p>
    <w:p w:rsidR="00504FDF" w:rsidRDefault="003F2650">
      <w:pPr>
        <w:numPr>
          <w:ilvl w:val="0"/>
          <w:numId w:val="1"/>
        </w:numPr>
        <w:ind w:hanging="360"/>
      </w:pPr>
      <w:r>
        <w:t xml:space="preserve">Documentation of adverse events, infectious episodes, hospitalizations (including type of ward), transfusions and concomitant medication including analgesics </w:t>
      </w:r>
    </w:p>
    <w:p w:rsidR="00504FDF" w:rsidRDefault="003F2650">
      <w:pPr>
        <w:numPr>
          <w:ilvl w:val="0"/>
          <w:numId w:val="1"/>
        </w:numPr>
        <w:ind w:hanging="360"/>
      </w:pPr>
      <w:r>
        <w:t>Maximum body temperature: measured daily from first day of conditioning chemotherapy until engraftment (ANC ≥ 0.5 x 10</w:t>
      </w:r>
      <w:r>
        <w:rPr>
          <w:vertAlign w:val="superscript"/>
        </w:rPr>
        <w:t>9</w:t>
      </w:r>
      <w:r>
        <w:t>/L and platelet count ≥ 20 x 10</w:t>
      </w:r>
      <w:r>
        <w:rPr>
          <w:vertAlign w:val="superscript"/>
        </w:rPr>
        <w:t>9</w:t>
      </w:r>
      <w:r>
        <w:t xml:space="preserve">/L for 3 consecutive days) </w:t>
      </w:r>
    </w:p>
    <w:p w:rsidR="00504FDF" w:rsidRDefault="003F2650">
      <w:pPr>
        <w:numPr>
          <w:ilvl w:val="0"/>
          <w:numId w:val="1"/>
        </w:numPr>
        <w:ind w:hanging="360"/>
      </w:pPr>
      <w:r>
        <w:t xml:space="preserve">Patient reported outcome (PRO) questionnaire (MTS scale score): daily from administration of palifermin prior to conditioning chemotherapy during hospitalization. This was conducted prior to oral cavity assessments. </w:t>
      </w:r>
    </w:p>
    <w:p w:rsidR="00504FDF" w:rsidRDefault="003F2650">
      <w:pPr>
        <w:numPr>
          <w:ilvl w:val="0"/>
          <w:numId w:val="1"/>
        </w:numPr>
        <w:ind w:hanging="360"/>
      </w:pPr>
      <w:r>
        <w:t xml:space="preserve">Oral cavity assessments and specific clinical correlates of oral mucositis including data on saliva, tongue scalloping, and oral bleeding (WHO scale score and Mucositis Assessment Worksheet): daily from administration of palifermin prior to conditioning chemotherapy during hospitalization.  Oral mucositis assessments were performed by a research team member trained in mucositis assessment. </w:t>
      </w:r>
    </w:p>
    <w:p w:rsidR="00504FDF" w:rsidRDefault="003F2650">
      <w:pPr>
        <w:numPr>
          <w:ilvl w:val="0"/>
          <w:numId w:val="1"/>
        </w:numPr>
        <w:ind w:hanging="360"/>
      </w:pPr>
      <w:r>
        <w:t xml:space="preserve">Assessment of serum amylase and lipase on day of administration of palifermin prior to conditioning chemotherapy.  Repeated on day of first administration of conditioning chemotherapy and if value greater than ULN monitor daily until value returned to baseline. </w:t>
      </w:r>
    </w:p>
    <w:p w:rsidR="00504FDF" w:rsidRDefault="003F2650">
      <w:pPr>
        <w:numPr>
          <w:ilvl w:val="0"/>
          <w:numId w:val="1"/>
        </w:numPr>
        <w:ind w:hanging="360"/>
      </w:pPr>
      <w:r>
        <w:t xml:space="preserve">Hematology: daily from administration of palifermin prior to conditioning chemotherapy until engraftment </w:t>
      </w:r>
    </w:p>
    <w:p w:rsidR="00504FDF" w:rsidRDefault="003F2650">
      <w:pPr>
        <w:numPr>
          <w:ilvl w:val="0"/>
          <w:numId w:val="1"/>
        </w:numPr>
        <w:ind w:hanging="360"/>
      </w:pPr>
      <w:r>
        <w:t xml:space="preserve">Chemistry: within 7 days of autologous PBSCT and on discharge or at end of study (whichever was earlier)  </w:t>
      </w:r>
    </w:p>
    <w:p w:rsidR="00504FDF" w:rsidRDefault="003F2650">
      <w:r>
        <w:rPr>
          <w:b/>
        </w:rPr>
        <w:t>Number of Subjects Planned:</w:t>
      </w:r>
      <w:r>
        <w:t xml:space="preserve">  Approximately 150 subjects were to be enrolled. </w:t>
      </w:r>
    </w:p>
    <w:p w:rsidR="00504FDF" w:rsidRDefault="003F2650">
      <w:pPr>
        <w:spacing w:after="110" w:line="248" w:lineRule="auto"/>
        <w:ind w:left="-5"/>
      </w:pPr>
      <w:r>
        <w:rPr>
          <w:b/>
        </w:rPr>
        <w:t>Number of Subjects Enrolled (Full Analytical Set):</w:t>
      </w:r>
      <w:r>
        <w:t xml:space="preserve">  145 subjects (85 MM, 60 NHL) </w:t>
      </w:r>
    </w:p>
    <w:p w:rsidR="00504FDF" w:rsidRDefault="003F2650">
      <w:pPr>
        <w:spacing w:after="108"/>
        <w:ind w:left="355"/>
      </w:pPr>
      <w:r>
        <w:rPr>
          <w:b/>
        </w:rPr>
        <w:t>Sex, n (%):</w:t>
      </w:r>
      <w:r>
        <w:t xml:space="preserve">  Male 80 subjects (55.2%), Female subjects 65 (44.8%) </w:t>
      </w:r>
    </w:p>
    <w:p w:rsidR="00504FDF" w:rsidRDefault="003F2650">
      <w:pPr>
        <w:spacing w:after="110"/>
        <w:ind w:left="355"/>
      </w:pPr>
      <w:r>
        <w:rPr>
          <w:b/>
        </w:rPr>
        <w:t>Age, mean (SD):</w:t>
      </w:r>
      <w:r>
        <w:t xml:space="preserve">  53.1 (11.7) years </w:t>
      </w:r>
    </w:p>
    <w:p w:rsidR="00504FDF" w:rsidRDefault="003F2650">
      <w:pPr>
        <w:spacing w:after="0" w:line="366" w:lineRule="auto"/>
        <w:ind w:left="327" w:right="2245"/>
      </w:pPr>
      <w:r>
        <w:rPr>
          <w:b/>
        </w:rPr>
        <w:t>Ethnicity (Race), n (%):</w:t>
      </w:r>
      <w:r>
        <w:t xml:space="preserve">  Caucasian – 145 subjects (100%) </w:t>
      </w:r>
      <w:r>
        <w:rPr>
          <w:b/>
        </w:rPr>
        <w:t xml:space="preserve">Eastern Cooperative Group (ECOG) Status:  </w:t>
      </w:r>
    </w:p>
    <w:p w:rsidR="00504FDF" w:rsidRDefault="003F2650">
      <w:pPr>
        <w:ind w:left="355"/>
      </w:pPr>
      <w:r>
        <w:t xml:space="preserve">Status of 0: 114 subjects (78.6%), Status of 1: 31 subjects (21.4%) </w:t>
      </w:r>
    </w:p>
    <w:p w:rsidR="00504FDF" w:rsidRDefault="003F2650">
      <w:pPr>
        <w:spacing w:after="229" w:line="248" w:lineRule="auto"/>
        <w:ind w:left="-5"/>
      </w:pPr>
      <w:r>
        <w:rPr>
          <w:b/>
        </w:rPr>
        <w:t>Diagnosis and Criteria for Eligibility:</w:t>
      </w:r>
      <w:r>
        <w:t xml:space="preserve">   </w:t>
      </w:r>
    </w:p>
    <w:p w:rsidR="00504FDF" w:rsidRDefault="003F2650">
      <w:pPr>
        <w:spacing w:after="229" w:line="248" w:lineRule="auto"/>
        <w:ind w:left="-5"/>
      </w:pPr>
      <w:r>
        <w:rPr>
          <w:b/>
        </w:rPr>
        <w:t xml:space="preserve">Inclusion Criteria: </w:t>
      </w:r>
    </w:p>
    <w:p w:rsidR="00504FDF" w:rsidRDefault="003F2650">
      <w:pPr>
        <w:numPr>
          <w:ilvl w:val="0"/>
          <w:numId w:val="1"/>
        </w:numPr>
        <w:ind w:hanging="360"/>
      </w:pPr>
      <w:r>
        <w:lastRenderedPageBreak/>
        <w:t>Non-Hodgkin’s lymphoma (NHL) subjects scheduled to receive BEAM conditioning chemotherapy followed by autologous PBSCT, or multiple myeloma (MM) subjects scheduled to receive high-dose melphalan (200 mg/m</w:t>
      </w:r>
      <w:r>
        <w:rPr>
          <w:vertAlign w:val="superscript"/>
        </w:rPr>
        <w:t>2</w:t>
      </w:r>
      <w:r>
        <w:t xml:space="preserve"> total dose) conditioning chemotherapy, in 1 or 2-day schedule, followed by autologous PBSCT </w:t>
      </w:r>
    </w:p>
    <w:p w:rsidR="00504FDF" w:rsidRDefault="003F2650">
      <w:pPr>
        <w:numPr>
          <w:ilvl w:val="0"/>
          <w:numId w:val="1"/>
        </w:numPr>
        <w:ind w:hanging="360"/>
      </w:pPr>
      <w:r>
        <w:t xml:space="preserve">Age ≥ 18 years </w:t>
      </w:r>
    </w:p>
    <w:p w:rsidR="00504FDF" w:rsidRDefault="003F2650">
      <w:pPr>
        <w:numPr>
          <w:ilvl w:val="0"/>
          <w:numId w:val="1"/>
        </w:numPr>
        <w:ind w:hanging="360"/>
      </w:pPr>
      <w:r>
        <w:t xml:space="preserve">ECOG performance status ≤ 2. In the MM group, ECOG status &gt; 2 was accepted provided that it was exclusively due to MM (eg, pathological fracture) </w:t>
      </w:r>
    </w:p>
    <w:p w:rsidR="00504FDF" w:rsidRDefault="003F2650">
      <w:pPr>
        <w:numPr>
          <w:ilvl w:val="0"/>
          <w:numId w:val="1"/>
        </w:numPr>
        <w:ind w:hanging="360"/>
      </w:pPr>
      <w:r>
        <w:t xml:space="preserve">Adequate pulmonary function as measured by a corrected carbon monoxide (CO) diffusing capacity (DLCO) ≥ 60% of predicted  </w:t>
      </w:r>
    </w:p>
    <w:p w:rsidR="00504FDF" w:rsidRDefault="003F2650">
      <w:pPr>
        <w:numPr>
          <w:ilvl w:val="0"/>
          <w:numId w:val="1"/>
        </w:numPr>
        <w:ind w:hanging="360"/>
      </w:pPr>
      <w:r>
        <w:t xml:space="preserve">Left ventricular ejection fraction (LVEF) ≥ 50% </w:t>
      </w:r>
    </w:p>
    <w:p w:rsidR="00504FDF" w:rsidRDefault="003F2650">
      <w:pPr>
        <w:numPr>
          <w:ilvl w:val="0"/>
          <w:numId w:val="1"/>
        </w:numPr>
        <w:spacing w:after="258"/>
        <w:ind w:hanging="360"/>
      </w:pPr>
      <w:r>
        <w:t>Minimum of 1.5 x 10</w:t>
      </w:r>
      <w:r>
        <w:rPr>
          <w:vertAlign w:val="superscript"/>
        </w:rPr>
        <w:t>6</w:t>
      </w:r>
      <w:r>
        <w:t xml:space="preserve"> CD34+ cells/kg available for autologous transplantation </w:t>
      </w:r>
    </w:p>
    <w:p w:rsidR="00504FDF" w:rsidRDefault="003F2650">
      <w:pPr>
        <w:numPr>
          <w:ilvl w:val="0"/>
          <w:numId w:val="1"/>
        </w:numPr>
        <w:ind w:hanging="360"/>
      </w:pPr>
      <w:r>
        <w:t>Adequate hematological function (ANC ≥ 1.5 x 10</w:t>
      </w:r>
      <w:r>
        <w:rPr>
          <w:vertAlign w:val="superscript"/>
        </w:rPr>
        <w:t>9</w:t>
      </w:r>
      <w:r>
        <w:t>/L and platelet count ≥ 100 x 10</w:t>
      </w:r>
      <w:r>
        <w:rPr>
          <w:vertAlign w:val="superscript"/>
        </w:rPr>
        <w:t>9</w:t>
      </w:r>
      <w:r>
        <w:t xml:space="preserve">/L) </w:t>
      </w:r>
    </w:p>
    <w:p w:rsidR="00504FDF" w:rsidRDefault="003F2650">
      <w:pPr>
        <w:numPr>
          <w:ilvl w:val="0"/>
          <w:numId w:val="1"/>
        </w:numPr>
        <w:ind w:hanging="360"/>
      </w:pPr>
      <w:r>
        <w:t xml:space="preserve">Serum creatinine ≤ 2.0 mg/dL </w:t>
      </w:r>
    </w:p>
    <w:p w:rsidR="00504FDF" w:rsidRDefault="003F2650">
      <w:pPr>
        <w:numPr>
          <w:ilvl w:val="0"/>
          <w:numId w:val="1"/>
        </w:numPr>
        <w:ind w:hanging="360"/>
      </w:pPr>
      <w:r>
        <w:t xml:space="preserve">Total bilirubin ≤ 2 mg/dL </w:t>
      </w:r>
    </w:p>
    <w:p w:rsidR="00504FDF" w:rsidRDefault="003F2650">
      <w:pPr>
        <w:numPr>
          <w:ilvl w:val="0"/>
          <w:numId w:val="1"/>
        </w:numPr>
        <w:ind w:hanging="360"/>
      </w:pPr>
      <w:r>
        <w:t xml:space="preserve">Aspartate aminotransferase (AST) and alanine aminotransferase (ALT) ≤ 4.0 x IULN </w:t>
      </w:r>
    </w:p>
    <w:p w:rsidR="00504FDF" w:rsidRDefault="003F2650">
      <w:pPr>
        <w:numPr>
          <w:ilvl w:val="0"/>
          <w:numId w:val="1"/>
        </w:numPr>
        <w:ind w:hanging="360"/>
      </w:pPr>
      <w:r>
        <w:t xml:space="preserve">Negative serum or urine pregnancy test for women of child bearing potential within 14 days prior to enrollment </w:t>
      </w:r>
    </w:p>
    <w:p w:rsidR="00504FDF" w:rsidRDefault="003F2650">
      <w:pPr>
        <w:numPr>
          <w:ilvl w:val="0"/>
          <w:numId w:val="1"/>
        </w:numPr>
        <w:ind w:hanging="360"/>
      </w:pPr>
      <w:r>
        <w:t xml:space="preserve">Each subject must have given informed consent directly or through a legally acceptable representative before participating in any study specific procedure or receiving any study medication. </w:t>
      </w:r>
    </w:p>
    <w:p w:rsidR="00504FDF" w:rsidRDefault="003F2650">
      <w:pPr>
        <w:spacing w:after="229" w:line="248" w:lineRule="auto"/>
        <w:ind w:left="-5"/>
      </w:pPr>
      <w:r>
        <w:rPr>
          <w:b/>
        </w:rPr>
        <w:t xml:space="preserve">Exclusion Criteria: </w:t>
      </w:r>
    </w:p>
    <w:p w:rsidR="00504FDF" w:rsidRDefault="003F2650">
      <w:pPr>
        <w:numPr>
          <w:ilvl w:val="0"/>
          <w:numId w:val="1"/>
        </w:numPr>
        <w:ind w:hanging="360"/>
      </w:pPr>
      <w:r>
        <w:t xml:space="preserve">History of or concurrent cancer other than NHL or MM </w:t>
      </w:r>
    </w:p>
    <w:p w:rsidR="00504FDF" w:rsidRDefault="003F2650">
      <w:pPr>
        <w:numPr>
          <w:ilvl w:val="0"/>
          <w:numId w:val="1"/>
        </w:numPr>
        <w:ind w:hanging="360"/>
      </w:pPr>
      <w:r>
        <w:t xml:space="preserve">Prior treatment with palifermin or other keratinocyte growth factors (eg, KGF-2) </w:t>
      </w:r>
    </w:p>
    <w:p w:rsidR="00504FDF" w:rsidRDefault="003F2650">
      <w:pPr>
        <w:numPr>
          <w:ilvl w:val="0"/>
          <w:numId w:val="1"/>
        </w:numPr>
        <w:ind w:hanging="360"/>
      </w:pPr>
      <w:r>
        <w:t xml:space="preserve">Prior autologous or allogeneic transplants </w:t>
      </w:r>
    </w:p>
    <w:p w:rsidR="00504FDF" w:rsidRDefault="003F2650">
      <w:pPr>
        <w:numPr>
          <w:ilvl w:val="0"/>
          <w:numId w:val="1"/>
        </w:numPr>
        <w:ind w:hanging="360"/>
      </w:pPr>
      <w:r>
        <w:t xml:space="preserve">Oral abnormalities defined as baseline oral assessment of WHO grade &gt; 0 </w:t>
      </w:r>
    </w:p>
    <w:p w:rsidR="00504FDF" w:rsidRDefault="003F2650">
      <w:pPr>
        <w:numPr>
          <w:ilvl w:val="0"/>
          <w:numId w:val="1"/>
        </w:numPr>
        <w:ind w:hanging="360"/>
      </w:pPr>
      <w:r>
        <w:t xml:space="preserve">Undergoing other investigational procedures </w:t>
      </w:r>
    </w:p>
    <w:p w:rsidR="00504FDF" w:rsidRDefault="003F2650">
      <w:pPr>
        <w:numPr>
          <w:ilvl w:val="0"/>
          <w:numId w:val="1"/>
        </w:numPr>
        <w:ind w:hanging="360"/>
      </w:pPr>
      <w:r>
        <w:t xml:space="preserve">Currently enrolled in or had not yet completed at least 30 days since ending other investigational device or drug study(s), or receiving other investigational agent(s) </w:t>
      </w:r>
    </w:p>
    <w:p w:rsidR="00504FDF" w:rsidRDefault="003F2650">
      <w:pPr>
        <w:numPr>
          <w:ilvl w:val="0"/>
          <w:numId w:val="1"/>
        </w:numPr>
        <w:ind w:hanging="360"/>
      </w:pPr>
      <w:r>
        <w:t xml:space="preserve">Evidently pregnant (eg, positive human chorionic gonadotropin test) or breast feeding </w:t>
      </w:r>
    </w:p>
    <w:p w:rsidR="00504FDF" w:rsidRDefault="003F2650">
      <w:pPr>
        <w:numPr>
          <w:ilvl w:val="0"/>
          <w:numId w:val="1"/>
        </w:numPr>
        <w:ind w:hanging="360"/>
      </w:pPr>
      <w:r>
        <w:t xml:space="preserve">Not using adequate contraceptive precautions </w:t>
      </w:r>
    </w:p>
    <w:p w:rsidR="00504FDF" w:rsidRDefault="003F2650">
      <w:pPr>
        <w:numPr>
          <w:ilvl w:val="0"/>
          <w:numId w:val="1"/>
        </w:numPr>
        <w:ind w:hanging="360"/>
      </w:pPr>
      <w:r>
        <w:lastRenderedPageBreak/>
        <w:t xml:space="preserve">Known to be seropositive for human immunodeficiency virus (HIV), hepatitis B virus (HBV), or hepatitis C virus (HCV) </w:t>
      </w:r>
    </w:p>
    <w:p w:rsidR="00504FDF" w:rsidRDefault="003F2650">
      <w:pPr>
        <w:numPr>
          <w:ilvl w:val="0"/>
          <w:numId w:val="1"/>
        </w:numPr>
        <w:ind w:hanging="360"/>
      </w:pPr>
      <w:r>
        <w:t xml:space="preserve">Known sensitivity to any of the products to be administered during dosing, including E coli-derived products </w:t>
      </w:r>
    </w:p>
    <w:p w:rsidR="00504FDF" w:rsidRDefault="003F2650">
      <w:pPr>
        <w:numPr>
          <w:ilvl w:val="0"/>
          <w:numId w:val="1"/>
        </w:numPr>
        <w:ind w:hanging="360"/>
      </w:pPr>
      <w:r>
        <w:t xml:space="preserve">Previously treated on this study or with other keratinocyte growth factors </w:t>
      </w:r>
    </w:p>
    <w:p w:rsidR="00504FDF" w:rsidRDefault="003F2650">
      <w:pPr>
        <w:numPr>
          <w:ilvl w:val="0"/>
          <w:numId w:val="1"/>
        </w:numPr>
        <w:ind w:hanging="360"/>
      </w:pPr>
      <w:r>
        <w:t xml:space="preserve">Unwilling or unable to complete the patient-reported outcome questionnaires </w:t>
      </w:r>
    </w:p>
    <w:p w:rsidR="00504FDF" w:rsidRDefault="003F2650">
      <w:pPr>
        <w:numPr>
          <w:ilvl w:val="0"/>
          <w:numId w:val="1"/>
        </w:numPr>
        <w:ind w:hanging="360"/>
      </w:pPr>
      <w:r>
        <w:t xml:space="preserve">Any kind of disorder that compromised the ability of the subject to give written informed consent and/or to comply with study procedures </w:t>
      </w:r>
    </w:p>
    <w:p w:rsidR="00504FDF" w:rsidRDefault="003F2650">
      <w:pPr>
        <w:spacing w:after="9" w:line="248" w:lineRule="auto"/>
        <w:ind w:left="-5"/>
      </w:pPr>
      <w:r>
        <w:rPr>
          <w:b/>
        </w:rPr>
        <w:t xml:space="preserve">Investigational Product, Dose and Mode of Administration, Manufacturing Batch Number:  </w:t>
      </w:r>
    </w:p>
    <w:p w:rsidR="00504FDF" w:rsidRDefault="003F2650">
      <w:pPr>
        <w:spacing w:after="8"/>
      </w:pPr>
      <w:r>
        <w:t xml:space="preserve">6.25 mg single-dose vials of lyophilized palifermin for reconstitution with 1.2 mL Water for </w:t>
      </w:r>
    </w:p>
    <w:p w:rsidR="00504FDF" w:rsidRDefault="003F2650">
      <w:pPr>
        <w:spacing w:after="8"/>
      </w:pPr>
      <w:r>
        <w:t xml:space="preserve">Injection (USP/Ph. Eur) administered by IV bolus injection daily doses of 60 μg/kg for </w:t>
      </w:r>
    </w:p>
    <w:p w:rsidR="00504FDF" w:rsidRDefault="003F2650">
      <w:pPr>
        <w:ind w:right="79"/>
      </w:pPr>
      <w:r>
        <w:t>3 consecutive days before the start of the conditioning regimen and for 3 consecutive days after autologous PBSCT.  Three lots were used in this study: L005051, L005051 and L005191 (</w:t>
      </w:r>
      <w:r>
        <w:rPr>
          <w:color w:val="0000FF"/>
        </w:rPr>
        <w:t>Listing 12</w:t>
      </w:r>
      <w:r>
        <w:t>).</w:t>
      </w:r>
      <w:r>
        <w:rPr>
          <w:b/>
        </w:rPr>
        <w:t xml:space="preserve"> </w:t>
      </w:r>
    </w:p>
    <w:p w:rsidR="00504FDF" w:rsidRDefault="003F2650">
      <w:pPr>
        <w:spacing w:after="229" w:line="248" w:lineRule="auto"/>
        <w:ind w:left="-5"/>
      </w:pPr>
      <w:r>
        <w:rPr>
          <w:b/>
        </w:rPr>
        <w:t>Duration of Treatment:</w:t>
      </w:r>
      <w:r>
        <w:t xml:space="preserve">   </w:t>
      </w:r>
    </w:p>
    <w:p w:rsidR="00504FDF" w:rsidRDefault="003F2650">
      <w:pPr>
        <w:ind w:right="128"/>
      </w:pPr>
      <w:r>
        <w:t>NHL subjects received palifermin on days -10, -9, and -8; BEAM conditioning therapy on days -7 to -2; autologous peripheral-blood progenitor cell transfusion (PBPCT) on day 0, filgrastim (5 μg/kg/day) from day 0 daily until absolute neutrophil count (ANC) returned to ≥ 1 x 10</w:t>
      </w:r>
      <w:r>
        <w:rPr>
          <w:vertAlign w:val="superscript"/>
        </w:rPr>
        <w:t>9</w:t>
      </w:r>
      <w:r>
        <w:t>/L for 3 consecutive days or ANC ≥ 10 x 10</w:t>
      </w:r>
      <w:r>
        <w:rPr>
          <w:vertAlign w:val="superscript"/>
        </w:rPr>
        <w:t>9</w:t>
      </w:r>
      <w:r>
        <w:t xml:space="preserve">/L for 1 day; and palifermin on days 0, 1, and 2. </w:t>
      </w:r>
    </w:p>
    <w:p w:rsidR="00504FDF" w:rsidRDefault="003F2650">
      <w:r>
        <w:t xml:space="preserve">MM subjects received palifermin on days -6, -5, and -4; high-dose melphalan conditioning therapy </w:t>
      </w:r>
      <w:r>
        <w:rPr>
          <w:b/>
          <w:sz w:val="22"/>
        </w:rPr>
        <w:t xml:space="preserve"> </w:t>
      </w:r>
      <w:r>
        <w:t>on days -3 and -2 or day -2; autologous PBPCT on day 0, filgrastim (5 μg/kg/day) from day 0 daily until ANC returned to ≥ 1 x 10</w:t>
      </w:r>
      <w:r>
        <w:rPr>
          <w:vertAlign w:val="superscript"/>
        </w:rPr>
        <w:t>9</w:t>
      </w:r>
      <w:r>
        <w:t>/L for 3 consecutive days or ANC ≥ 10 x 10</w:t>
      </w:r>
      <w:r>
        <w:rPr>
          <w:vertAlign w:val="superscript"/>
        </w:rPr>
        <w:t>9</w:t>
      </w:r>
      <w:r>
        <w:t xml:space="preserve">/L for 1 day; and palifermin on days 0, 1, and 2. </w:t>
      </w:r>
    </w:p>
    <w:p w:rsidR="00504FDF" w:rsidRDefault="003F2650">
      <w:pPr>
        <w:spacing w:after="6" w:line="248" w:lineRule="auto"/>
        <w:ind w:left="-5"/>
      </w:pPr>
      <w:r>
        <w:rPr>
          <w:b/>
        </w:rPr>
        <w:t>Reference Therapy, Dose and Mode of Administration, Manufacturing Batch Number:</w:t>
      </w:r>
      <w:r>
        <w:t xml:space="preserve">  None </w:t>
      </w:r>
    </w:p>
    <w:p w:rsidR="00504FDF" w:rsidRDefault="003F2650">
      <w:pPr>
        <w:spacing w:after="145" w:line="259" w:lineRule="auto"/>
        <w:ind w:left="-30" w:right="-35" w:firstLine="0"/>
      </w:pPr>
      <w:r>
        <w:rPr>
          <w:rFonts w:ascii="Calibri" w:eastAsia="Calibri" w:hAnsi="Calibri" w:cs="Calibri"/>
          <w:noProof/>
          <w:sz w:val="22"/>
          <w:lang w:val="sv-SE" w:eastAsia="sv-SE"/>
        </w:rPr>
        <mc:AlternateContent>
          <mc:Choice Requires="wpg">
            <w:drawing>
              <wp:inline distT="0" distB="0" distL="0" distR="0">
                <wp:extent cx="5524500" cy="9144"/>
                <wp:effectExtent l="0" t="0" r="0" b="0"/>
                <wp:docPr id="6336" name="Group 6336"/>
                <wp:cNvGraphicFramePr/>
                <a:graphic xmlns:a="http://schemas.openxmlformats.org/drawingml/2006/main">
                  <a:graphicData uri="http://schemas.microsoft.com/office/word/2010/wordprocessingGroup">
                    <wpg:wgp>
                      <wpg:cNvGrpSpPr/>
                      <wpg:grpSpPr>
                        <a:xfrm>
                          <a:off x="0" y="0"/>
                          <a:ext cx="5524500" cy="9144"/>
                          <a:chOff x="0" y="0"/>
                          <a:chExt cx="5524500" cy="9144"/>
                        </a:xfrm>
                      </wpg:grpSpPr>
                      <wps:wsp>
                        <wps:cNvPr id="7738" name="Shape 7738"/>
                        <wps:cNvSpPr/>
                        <wps:spPr>
                          <a:xfrm>
                            <a:off x="0" y="0"/>
                            <a:ext cx="5524500" cy="9144"/>
                          </a:xfrm>
                          <a:custGeom>
                            <a:avLst/>
                            <a:gdLst/>
                            <a:ahLst/>
                            <a:cxnLst/>
                            <a:rect l="0" t="0" r="0" b="0"/>
                            <a:pathLst>
                              <a:path w="5524500" h="9144">
                                <a:moveTo>
                                  <a:pt x="0" y="0"/>
                                </a:moveTo>
                                <a:lnTo>
                                  <a:pt x="5524500" y="0"/>
                                </a:lnTo>
                                <a:lnTo>
                                  <a:pt x="55245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D5870E0" id="Group 6336" o:spid="_x0000_s1026" style="width:435pt;height:.7pt;mso-position-horizontal-relative:char;mso-position-vertical-relative:line" coordsize="55245,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">
                <v:shape id="Shape 7738" o:spid="_x0000_s1027" style="position:absolute;width:55245;height:91;visibility:visible;mso-wrap-style:square;v-text-anchor:top" coordsize="552450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2xVL4A&#10;AADdAAAADwAAAGRycy9kb3ducmV2LnhtbERPyQrCMBC9C/5DGMGbpi6oVKOIIHhzqYjHoRnbajMp&#10;TdT69+YgeHy8fbFqTCleVLvCsoJBPwJBnFpdcKbgnGx7MxDOI2ssLZOCDzlYLdutBcbavvlIr5PP&#10;RAhhF6OC3PsqltKlORl0fVsRB+5ma4M+wDqTusZ3CDelHEbRRBosODTkWNEmp/RxehoFx1LfN0XC&#10;l8g4PjzH19vFu71S3U6znoPw1Pi/+OfeaQXT6SjMDW/CE5DLL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XtsVS+AAAA3QAAAA8AAAAAAAAAAAAAAAAAmAIAAGRycy9kb3ducmV2&#10;LnhtbFBLBQYAAAAABAAEAPUAAACDAwAAAAA=&#10;" path="m,l5524500,r,9144l,9144,,e" fillcolor="black" stroked="f" strokeweight="0">
                  <v:stroke miterlimit="83231f" joinstyle="miter"/>
                  <v:path arrowok="t" textboxrect="0,0,5524500,9144"/>
                </v:shape>
                <w10:anchorlock/>
              </v:group>
            </w:pict>
          </mc:Fallback>
        </mc:AlternateContent>
      </w:r>
    </w:p>
    <w:p w:rsidR="00504FDF" w:rsidRDefault="003F2650">
      <w:pPr>
        <w:spacing w:after="229" w:line="248" w:lineRule="auto"/>
        <w:ind w:left="-5"/>
      </w:pPr>
      <w:r>
        <w:rPr>
          <w:b/>
        </w:rPr>
        <w:t xml:space="preserve">Study Endpoints </w:t>
      </w:r>
    </w:p>
    <w:p w:rsidR="00504FDF" w:rsidRDefault="003F2650">
      <w:pPr>
        <w:spacing w:after="229" w:line="248" w:lineRule="auto"/>
        <w:ind w:left="-5"/>
      </w:pPr>
      <w:r>
        <w:rPr>
          <w:b/>
        </w:rPr>
        <w:t xml:space="preserve">Primary Endpoints: </w:t>
      </w:r>
    </w:p>
    <w:p w:rsidR="00504FDF" w:rsidRDefault="003F2650">
      <w:r>
        <w:t xml:space="preserve">The primary efficacy endpoints were the incidence (%) and duration of severe oral mucositis (WHO grades 3 or 4). </w:t>
      </w:r>
    </w:p>
    <w:p w:rsidR="00504FDF" w:rsidRDefault="003F2650">
      <w:pPr>
        <w:spacing w:after="229" w:line="248" w:lineRule="auto"/>
        <w:ind w:left="-5"/>
      </w:pPr>
      <w:r>
        <w:rPr>
          <w:b/>
        </w:rPr>
        <w:t xml:space="preserve">Secondary Endpoints: </w:t>
      </w:r>
    </w:p>
    <w:p w:rsidR="00504FDF" w:rsidRDefault="003F2650">
      <w:r>
        <w:t xml:space="preserve">Endpoints Related to Mucositis Assessments </w:t>
      </w:r>
    </w:p>
    <w:p w:rsidR="00504FDF" w:rsidRDefault="003F2650">
      <w:pPr>
        <w:numPr>
          <w:ilvl w:val="0"/>
          <w:numId w:val="2"/>
        </w:numPr>
        <w:ind w:hanging="360"/>
      </w:pPr>
      <w:r>
        <w:t xml:space="preserve">Incidence and duration of ulcerative oral mucositis (WHO grades 2, 3, or 4) </w:t>
      </w:r>
    </w:p>
    <w:p w:rsidR="00504FDF" w:rsidRDefault="003F2650">
      <w:pPr>
        <w:numPr>
          <w:ilvl w:val="0"/>
          <w:numId w:val="2"/>
        </w:numPr>
        <w:ind w:hanging="360"/>
      </w:pPr>
      <w:r>
        <w:t xml:space="preserve">Incidence of worst oral mucositis on study by grade (WHO grades 0-4) </w:t>
      </w:r>
    </w:p>
    <w:p w:rsidR="00504FDF" w:rsidRDefault="003F2650">
      <w:pPr>
        <w:numPr>
          <w:ilvl w:val="0"/>
          <w:numId w:val="2"/>
        </w:numPr>
        <w:ind w:hanging="360"/>
      </w:pPr>
      <w:r>
        <w:t xml:space="preserve">Duration of oral mucositis as defined by specific assessments (eg, bleeding, abnormal saliva) </w:t>
      </w:r>
    </w:p>
    <w:p w:rsidR="00504FDF" w:rsidRDefault="003F2650">
      <w:r>
        <w:t xml:space="preserve">Patient Reported Outcomes </w:t>
      </w:r>
    </w:p>
    <w:p w:rsidR="00504FDF" w:rsidRDefault="003F2650">
      <w:pPr>
        <w:numPr>
          <w:ilvl w:val="0"/>
          <w:numId w:val="2"/>
        </w:numPr>
        <w:ind w:hanging="360"/>
      </w:pPr>
      <w:r>
        <w:t xml:space="preserve">Average daily patient-reported mouth and throat soreness (MTS) score </w:t>
      </w:r>
    </w:p>
    <w:p w:rsidR="00504FDF" w:rsidRDefault="003F2650">
      <w:r>
        <w:t xml:space="preserve">Endpoints Related to Clinical Outcome and Concomitant Medications </w:t>
      </w:r>
    </w:p>
    <w:p w:rsidR="00504FDF" w:rsidRDefault="003F2650">
      <w:pPr>
        <w:numPr>
          <w:ilvl w:val="0"/>
          <w:numId w:val="2"/>
        </w:numPr>
        <w:ind w:hanging="360"/>
      </w:pPr>
      <w:r>
        <w:t xml:space="preserve">Total dose of opioid analgesics use (mg of morphine equivalents) </w:t>
      </w:r>
    </w:p>
    <w:p w:rsidR="00504FDF" w:rsidRDefault="003F2650">
      <w:pPr>
        <w:numPr>
          <w:ilvl w:val="0"/>
          <w:numId w:val="2"/>
        </w:numPr>
        <w:ind w:hanging="360"/>
      </w:pPr>
      <w:r>
        <w:t xml:space="preserve">Duration of hospitalization by type of ward (transplant ward, ICU, or haematology ward) </w:t>
      </w:r>
    </w:p>
    <w:p w:rsidR="00504FDF" w:rsidRDefault="003F2650">
      <w:pPr>
        <w:numPr>
          <w:ilvl w:val="0"/>
          <w:numId w:val="2"/>
        </w:numPr>
        <w:ind w:hanging="360"/>
      </w:pPr>
      <w:r>
        <w:t xml:space="preserve">Incidence and duration of all anti-infective use </w:t>
      </w:r>
    </w:p>
    <w:p w:rsidR="00504FDF" w:rsidRDefault="003F2650">
      <w:pPr>
        <w:numPr>
          <w:ilvl w:val="0"/>
          <w:numId w:val="2"/>
        </w:numPr>
        <w:ind w:hanging="360"/>
      </w:pPr>
      <w:r>
        <w:t>Incidence and duration of febrile neutropenia, defined as ANC &lt; 0.5 x 10</w:t>
      </w:r>
      <w:r>
        <w:rPr>
          <w:vertAlign w:val="superscript"/>
        </w:rPr>
        <w:t>9</w:t>
      </w:r>
      <w:r>
        <w:t xml:space="preserve">/L and fever &gt; 38°C prior to engraftment </w:t>
      </w:r>
    </w:p>
    <w:p w:rsidR="00504FDF" w:rsidRDefault="003F2650">
      <w:pPr>
        <w:numPr>
          <w:ilvl w:val="0"/>
          <w:numId w:val="2"/>
        </w:numPr>
        <w:ind w:hanging="360"/>
      </w:pPr>
      <w:r>
        <w:t xml:space="preserve">Incidence and duration of total parenteral nutrition (TPN) </w:t>
      </w:r>
    </w:p>
    <w:p w:rsidR="00504FDF" w:rsidRDefault="003F2650">
      <w:pPr>
        <w:numPr>
          <w:ilvl w:val="0"/>
          <w:numId w:val="2"/>
        </w:numPr>
        <w:ind w:hanging="360"/>
      </w:pPr>
      <w:r>
        <w:t xml:space="preserve">Incidence of significant infections (considered as those clinically defined, microbiologically defined with or without bacteremia, and fever of unknown origin) </w:t>
      </w:r>
    </w:p>
    <w:p w:rsidR="00504FDF" w:rsidRDefault="003F2650">
      <w:pPr>
        <w:numPr>
          <w:ilvl w:val="0"/>
          <w:numId w:val="2"/>
        </w:numPr>
        <w:spacing w:after="263"/>
        <w:ind w:hanging="360"/>
      </w:pPr>
      <w:r>
        <w:t>Time to neutrophil engraftment &gt; 0.5 x 10</w:t>
      </w:r>
      <w:r>
        <w:rPr>
          <w:vertAlign w:val="superscript"/>
        </w:rPr>
        <w:t>9</w:t>
      </w:r>
      <w:r>
        <w:t xml:space="preserve">/L </w:t>
      </w:r>
    </w:p>
    <w:p w:rsidR="00504FDF" w:rsidRDefault="003F2650">
      <w:pPr>
        <w:numPr>
          <w:ilvl w:val="0"/>
          <w:numId w:val="2"/>
        </w:numPr>
        <w:ind w:hanging="360"/>
      </w:pPr>
      <w:r>
        <w:t>Time to platelet engraftment ≥ 20 x 10</w:t>
      </w:r>
      <w:r>
        <w:rPr>
          <w:vertAlign w:val="superscript"/>
        </w:rPr>
        <w:t>9</w:t>
      </w:r>
      <w:r>
        <w:t xml:space="preserve">/L independent of platelet transfusion </w:t>
      </w:r>
    </w:p>
    <w:p w:rsidR="00504FDF" w:rsidRDefault="003F2650">
      <w:pPr>
        <w:spacing w:after="229" w:line="248" w:lineRule="auto"/>
        <w:ind w:left="-5"/>
      </w:pPr>
      <w:r>
        <w:rPr>
          <w:b/>
        </w:rPr>
        <w:t xml:space="preserve">Safety Endpoints </w:t>
      </w:r>
    </w:p>
    <w:p w:rsidR="00504FDF" w:rsidRDefault="003F2650">
      <w:r>
        <w:lastRenderedPageBreak/>
        <w:t xml:space="preserve">Incidence of adverse events and laboratory abnormalities </w:t>
      </w:r>
    </w:p>
    <w:p w:rsidR="00504FDF" w:rsidRDefault="003F2650">
      <w:r>
        <w:rPr>
          <w:b/>
        </w:rPr>
        <w:t>Statistical Methods:</w:t>
      </w:r>
      <w:r>
        <w:t xml:space="preserve">  The main analysis was descriptive in nature.  Summary statistics are presented for all study endpoints.  Duration endpoints are summarized for all subjects.  Key duration endpoints are also summarized for those subjects with a duration greater than zero of the given endpoint of interest.  For continuous variables and discrete numerical variables (eg, count data), the mean, standard deviation, quartiles, and range are provided.  For categorical variables, the frequency and percentage in each category are displayed.  For time-to-event endpoints, Kaplan-Meier plots are provided and Kaplan-Meier-based quartiles of survival time are shown.  Additionally, point estimates are accompanied by two-sided 95% confidence intervals (CIs) where sensible.  Confidence interval calculation for incidence endpoints assumed a binomial distribution.  Bootstrap methods (not making a distributional assumption) may have been used to calculate CIs for counts and duration endpoints.  Graphical presentations were added as needed.  The number of missing values was identified for all variables.  The daily oral mucositis assessments on the WHO scale were verified against the ulceration and oral intake data also available from the Daily Mucositis Worksheets. </w:t>
      </w:r>
    </w:p>
    <w:p w:rsidR="00504FDF" w:rsidRDefault="003F2650">
      <w:pPr>
        <w:spacing w:after="229" w:line="248" w:lineRule="auto"/>
        <w:ind w:left="-5"/>
      </w:pPr>
      <w:r>
        <w:rPr>
          <w:b/>
        </w:rPr>
        <w:t>Summary of Results:</w:t>
      </w:r>
      <w:r>
        <w:t xml:space="preserve">   </w:t>
      </w:r>
    </w:p>
    <w:p w:rsidR="00504FDF" w:rsidRDefault="003F2650">
      <w:pPr>
        <w:ind w:right="101"/>
      </w:pPr>
      <w:r>
        <w:rPr>
          <w:b/>
        </w:rPr>
        <w:t>Subject Disposition:</w:t>
      </w:r>
      <w:r>
        <w:t xml:space="preserve">  All 145 enrolled subjects were included in the Full Analysis Set (FAS).  Of the 145 enrolled subjects, 133 subjects (92%) completed the study; 1, 9, and 2 subjects discontinued due to ineligibility determined, adverse events, and death, respectively.   </w:t>
      </w:r>
    </w:p>
    <w:p w:rsidR="00504FDF" w:rsidRDefault="003F2650">
      <w:r>
        <w:rPr>
          <w:b/>
        </w:rPr>
        <w:t>Efficacy Results:</w:t>
      </w:r>
      <w:r>
        <w:t xml:space="preserve">  The primary efficacy endpoints were the incidence (%) and duration of severe oral mucositis (WHO grades 3 or 4).  In the FAS population, 49 of 145 subjects had severe oral mucositis (OM) (33.8%; 95% CI: 26.2 - 42.1%).  Of these, 32 of 85 MM subjects (37.6%; 95% CI: 27.4 - 48.8%) and 17 of 60 NHL subjects (28.3%; 95% CI: 17.5 - 41.4%) had severe OM.  The mean (95% CI) duration of severe OM for the FAS was similar for MM and NHL subjects: 1.8 (1.3, 2.7) and 1.4 (0.7, 2.2) days, respectively.  For those subjects who developed severe OM in the FAS, the mean duration of severe OM was 4.9 days for both diseases.  The results for the key secondary endpoints are summarized in </w:t>
      </w:r>
      <w:r>
        <w:rPr>
          <w:color w:val="0000FF"/>
        </w:rPr>
        <w:t>Section 7.2</w:t>
      </w:r>
      <w:r>
        <w:t xml:space="preserve">. </w:t>
      </w:r>
    </w:p>
    <w:p w:rsidR="00504FDF" w:rsidRDefault="003F2650">
      <w:pPr>
        <w:spacing w:after="3"/>
      </w:pPr>
      <w:r>
        <w:rPr>
          <w:b/>
        </w:rPr>
        <w:t>Safety Results:</w:t>
      </w:r>
      <w:r>
        <w:t xml:space="preserve">  Of the 145 enrolled subjects, 144 (99.3%) had at least 1 adverse event; 24 of these subjects (16.6%) had adverse events that were considered by the investigator to be serious including 2 deaths; of these, 4 subjects (2.8%) were considered by the investigator to be related to study drug.  Adverse events that were considered by the investigator to be potentially related to study drug were reported for 108 subjects (74.5%).  Of these, adverse events that led to study discontinuation were reported for 6 subjects (4.1%) and those that were considered by the investigator to be serious were reported for 4 subjects (2.8%).  Nine subjects (6.2%) withdrew due to adverse events. </w:t>
      </w:r>
    </w:p>
    <w:p w:rsidR="00504FDF" w:rsidRDefault="003F2650">
      <w:pPr>
        <w:spacing w:after="145" w:line="259" w:lineRule="auto"/>
        <w:ind w:left="-30" w:right="-35" w:firstLine="0"/>
      </w:pPr>
      <w:r>
        <w:rPr>
          <w:rFonts w:ascii="Calibri" w:eastAsia="Calibri" w:hAnsi="Calibri" w:cs="Calibri"/>
          <w:noProof/>
          <w:sz w:val="22"/>
          <w:lang w:val="sv-SE" w:eastAsia="sv-SE"/>
        </w:rPr>
        <mc:AlternateContent>
          <mc:Choice Requires="wpg">
            <w:drawing>
              <wp:inline distT="0" distB="0" distL="0" distR="0">
                <wp:extent cx="5524500" cy="9144"/>
                <wp:effectExtent l="0" t="0" r="0" b="0"/>
                <wp:docPr id="6765" name="Group 6765"/>
                <wp:cNvGraphicFramePr/>
                <a:graphic xmlns:a="http://schemas.openxmlformats.org/drawingml/2006/main">
                  <a:graphicData uri="http://schemas.microsoft.com/office/word/2010/wordprocessingGroup">
                    <wpg:wgp>
                      <wpg:cNvGrpSpPr/>
                      <wpg:grpSpPr>
                        <a:xfrm>
                          <a:off x="0" y="0"/>
                          <a:ext cx="5524500" cy="9144"/>
                          <a:chOff x="0" y="0"/>
                          <a:chExt cx="5524500" cy="9144"/>
                        </a:xfrm>
                      </wpg:grpSpPr>
                      <wps:wsp>
                        <wps:cNvPr id="7740" name="Shape 7740"/>
                        <wps:cNvSpPr/>
                        <wps:spPr>
                          <a:xfrm>
                            <a:off x="0" y="0"/>
                            <a:ext cx="5524500" cy="9144"/>
                          </a:xfrm>
                          <a:custGeom>
                            <a:avLst/>
                            <a:gdLst/>
                            <a:ahLst/>
                            <a:cxnLst/>
                            <a:rect l="0" t="0" r="0" b="0"/>
                            <a:pathLst>
                              <a:path w="5524500" h="9144">
                                <a:moveTo>
                                  <a:pt x="0" y="0"/>
                                </a:moveTo>
                                <a:lnTo>
                                  <a:pt x="5524500" y="0"/>
                                </a:lnTo>
                                <a:lnTo>
                                  <a:pt x="55245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0C0B11D6" id="Group 6765" o:spid="_x0000_s1026" style="width:435pt;height:.7pt;mso-position-horizontal-relative:char;mso-position-vertical-relative:line" coordsize="55245,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">
                <v:shape id="Shape 7740" o:spid="_x0000_s1027" style="position:absolute;width:55245;height:91;visibility:visible;mso-wrap-style:square;v-text-anchor:top" coordsize="552450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53OL70A&#10;AADdAAAADwAAAGRycy9kb3ducmV2LnhtbERPSwrCMBDdC94hjOBOU0VUqmkRQXDnF3E5NGNbbSal&#10;iVpvbxaCy8f7L9PWVOJFjSstKxgNIxDEmdUl5wrOp81gDsJ5ZI2VZVLwIQdp0u0sMdb2zQd6HX0u&#10;Qgi7GBUU3texlC4ryKAb2po4cDfbGPQBNrnUDb5DuKnkOIqm0mDJoaHAmtYFZY/j0yg4VPq+Lk98&#10;iYzj/XNyvV282ynV77WrBQhPrf+Lf+6tVjCbTcL+8CY8AZl8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M53OL70AAADdAAAADwAAAAAAAAAAAAAAAACYAgAAZHJzL2Rvd25yZXYu&#10;eG1sUEsFBgAAAAAEAAQA9QAAAIIDAAAAAA==&#10;" path="m,l5524500,r,9144l,9144,,e" fillcolor="black" stroked="f" strokeweight="0">
                  <v:stroke miterlimit="83231f" joinstyle="miter"/>
                  <v:path arrowok="t" textboxrect="0,0,5524500,9144"/>
                </v:shape>
                <w10:anchorlock/>
              </v:group>
            </w:pict>
          </mc:Fallback>
        </mc:AlternateContent>
      </w:r>
    </w:p>
    <w:p w:rsidR="00504FDF" w:rsidRDefault="003F2650">
      <w:pPr>
        <w:spacing w:after="229" w:line="248" w:lineRule="auto"/>
        <w:ind w:left="-5"/>
      </w:pPr>
      <w:r>
        <w:rPr>
          <w:b/>
        </w:rPr>
        <w:t>Conclusions:</w:t>
      </w:r>
      <w:r>
        <w:t xml:space="preserve">   </w:t>
      </w:r>
    </w:p>
    <w:p w:rsidR="00504FDF" w:rsidRDefault="003F2650">
      <w:r>
        <w:t xml:space="preserve">The primary efficacy objective was to assess the efficacy of palifermin administered at a dose of 60 μg/kg/day according to the regimen described above by determining the incidence and duration of severe oral mucositis (WHO grades 3 and 4) in NHL and MM subjects.  This objective was achieved as described in the efficacy results section above.   </w:t>
      </w:r>
    </w:p>
    <w:p w:rsidR="00504FDF" w:rsidRDefault="003F2650">
      <w:r>
        <w:lastRenderedPageBreak/>
        <w:t xml:space="preserve">The safety objective was to assess the safety profile.  Palifermin was well tolerated and the adverse event profiles reported were as expected for MM and NHL subjects undergoing highdose chemotherapy and autologous peripheral blood stem cell transplantation (PBSCT).  The safety information presented in this report did not lead to the identification of any new safety issues related to the treatment with palifermin.  Therefore the safety profile of the product has not been modified as a result of this data and the benefit/risk ratio of the product remains positive in the population studied. </w:t>
      </w:r>
    </w:p>
    <w:sectPr w:rsidR="00504FDF">
      <w:headerReference w:type="even" r:id="rId7"/>
      <w:headerReference w:type="default" r:id="rId8"/>
      <w:footerReference w:type="even" r:id="rId9"/>
      <w:footerReference w:type="default" r:id="rId10"/>
      <w:headerReference w:type="first" r:id="rId11"/>
      <w:footerReference w:type="first" r:id="rId12"/>
      <w:pgSz w:w="12240" w:h="15840"/>
      <w:pgMar w:top="1440" w:right="1445" w:bottom="1833" w:left="2160" w:header="365" w:footer="33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2650" w:rsidRDefault="003F2650">
      <w:pPr>
        <w:spacing w:after="0" w:line="240" w:lineRule="auto"/>
      </w:pPr>
      <w:r>
        <w:separator/>
      </w:r>
    </w:p>
  </w:endnote>
  <w:endnote w:type="continuationSeparator" w:id="0">
    <w:p w:rsidR="003F2650" w:rsidRDefault="003F26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4FDF" w:rsidRDefault="003F2650">
    <w:pPr>
      <w:spacing w:after="64" w:line="259" w:lineRule="auto"/>
      <w:ind w:left="0" w:firstLine="0"/>
    </w:pPr>
    <w:r>
      <w:rPr>
        <w:rFonts w:ascii="Calibri" w:eastAsia="Calibri" w:hAnsi="Calibri" w:cs="Calibri"/>
        <w:noProof/>
        <w:sz w:val="22"/>
        <w:lang w:val="sv-SE" w:eastAsia="sv-SE"/>
      </w:rPr>
      <mc:AlternateContent>
        <mc:Choice Requires="wpg">
          <w:drawing>
            <wp:anchor distT="0" distB="0" distL="114300" distR="114300" simplePos="0" relativeHeight="251667456" behindDoc="0" locked="0" layoutInCell="1" allowOverlap="1">
              <wp:simplePos x="0" y="0"/>
              <wp:positionH relativeFrom="page">
                <wp:posOffset>1352550</wp:posOffset>
              </wp:positionH>
              <wp:positionV relativeFrom="page">
                <wp:posOffset>9544050</wp:posOffset>
              </wp:positionV>
              <wp:extent cx="5524500" cy="19050"/>
              <wp:effectExtent l="0" t="0" r="0" b="0"/>
              <wp:wrapSquare wrapText="bothSides"/>
              <wp:docPr id="7411" name="Group 7411"/>
              <wp:cNvGraphicFramePr/>
              <a:graphic xmlns:a="http://schemas.openxmlformats.org/drawingml/2006/main">
                <a:graphicData uri="http://schemas.microsoft.com/office/word/2010/wordprocessingGroup">
                  <wpg:wgp>
                    <wpg:cNvGrpSpPr/>
                    <wpg:grpSpPr>
                      <a:xfrm>
                        <a:off x="0" y="0"/>
                        <a:ext cx="5524500" cy="19050"/>
                        <a:chOff x="0" y="0"/>
                        <a:chExt cx="5524500" cy="19050"/>
                      </a:xfrm>
                    </wpg:grpSpPr>
                    <wps:wsp>
                      <wps:cNvPr id="7752" name="Shape 7752"/>
                      <wps:cNvSpPr/>
                      <wps:spPr>
                        <a:xfrm>
                          <a:off x="0" y="0"/>
                          <a:ext cx="5524500" cy="19050"/>
                        </a:xfrm>
                        <a:custGeom>
                          <a:avLst/>
                          <a:gdLst/>
                          <a:ahLst/>
                          <a:cxnLst/>
                          <a:rect l="0" t="0" r="0" b="0"/>
                          <a:pathLst>
                            <a:path w="5524500" h="19050">
                              <a:moveTo>
                                <a:pt x="0" y="0"/>
                              </a:moveTo>
                              <a:lnTo>
                                <a:pt x="5524500" y="0"/>
                              </a:lnTo>
                              <a:lnTo>
                                <a:pt x="5524500" y="19050"/>
                              </a:lnTo>
                              <a:lnTo>
                                <a:pt x="0" y="190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5C82279" id="Group 7411" o:spid="_x0000_s1026" style="position:absolute;margin-left:106.5pt;margin-top:751.5pt;width:435pt;height:1.5pt;z-index:251667456;mso-position-horizontal-relative:page;mso-position-vertical-relative:page" coordsize="55245,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">
              <v:shape id="Shape 7752" o:spid="_x0000_s1027" style="position:absolute;width:55245;height:190;visibility:visible;mso-wrap-style:square;v-text-anchor:top" coordsize="5524500,19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NilMYA&#10;AADdAAAADwAAAGRycy9kb3ducmV2LnhtbESPS2/CMBCE75X6H6yt1FtxSgtBAYNKHxLXEhDXTbx5&#10;QLwOsQvh32OkShxHM/ONZrboTSNO1LnasoLXQQSCOLe65lLBJv15mYBwHlljY5kUXMjBYv74MMNE&#10;2zP/0mntSxEg7BJUUHnfJlK6vCKDbmBb4uAVtjPog+xKqTs8B7hp5DCKxtJgzWGhwpY+K8oP6z+j&#10;YN+Psq/dWxkft5PCp9/ZIVq+b5R6fuo/piA89f4e/m+vtII4Hg3h9iY8ATm/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LNilMYAAADdAAAADwAAAAAAAAAAAAAAAACYAgAAZHJz&#10;L2Rvd25yZXYueG1sUEsFBgAAAAAEAAQA9QAAAIsDAAAAAA==&#10;" path="m,l5524500,r,19050l,19050,,e" fillcolor="black" stroked="f" strokeweight="0">
                <v:stroke miterlimit="83231f" joinstyle="miter"/>
                <v:path arrowok="t" textboxrect="0,0,5524500,19050"/>
              </v:shape>
              <w10:wrap type="square" anchorx="page" anchory="page"/>
            </v:group>
          </w:pict>
        </mc:Fallback>
      </mc:AlternateContent>
    </w:r>
    <w:r>
      <w:rPr>
        <w:sz w:val="14"/>
      </w:rPr>
      <w:t xml:space="preserve"> </w:t>
    </w:r>
  </w:p>
  <w:p w:rsidR="00504FDF" w:rsidRDefault="003F2650">
    <w:pPr>
      <w:spacing w:after="138" w:line="259" w:lineRule="auto"/>
      <w:ind w:left="0" w:right="-5" w:firstLine="0"/>
      <w:jc w:val="right"/>
    </w:pPr>
    <w:r>
      <w:rPr>
        <w:b/>
        <w:sz w:val="12"/>
      </w:rPr>
      <w:t xml:space="preserve"> </w:t>
    </w:r>
  </w:p>
  <w:p w:rsidR="00504FDF" w:rsidRDefault="003F2650">
    <w:pPr>
      <w:tabs>
        <w:tab w:val="right" w:pos="8635"/>
      </w:tabs>
      <w:spacing w:after="0" w:line="259" w:lineRule="auto"/>
      <w:ind w:left="0" w:firstLine="0"/>
    </w:pPr>
    <w:r>
      <w:t xml:space="preserve">  </w:t>
    </w:r>
    <w:r>
      <w:rPr>
        <w:sz w:val="14"/>
      </w:rPr>
      <w:t xml:space="preserve"> </w:t>
    </w:r>
    <w:r>
      <w:rPr>
        <w:sz w:val="14"/>
      </w:rPr>
      <w:tab/>
    </w:r>
    <w:r>
      <w:rPr>
        <w:b/>
      </w:rPr>
      <w:t xml:space="preserve"> </w:t>
    </w:r>
    <w:bookmarkStart w:id="0" w:name="_GoBack"/>
    <w:bookmarkEnd w:id="0"/>
    <w:r>
      <w:rPr>
        <w:sz w:val="16"/>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4FDF" w:rsidRDefault="003F2650">
    <w:pPr>
      <w:spacing w:after="64" w:line="259" w:lineRule="auto"/>
      <w:ind w:left="0" w:firstLine="0"/>
    </w:pPr>
    <w:r>
      <w:rPr>
        <w:rFonts w:ascii="Calibri" w:eastAsia="Calibri" w:hAnsi="Calibri" w:cs="Calibri"/>
        <w:noProof/>
        <w:sz w:val="22"/>
        <w:lang w:val="sv-SE" w:eastAsia="sv-SE"/>
      </w:rPr>
      <mc:AlternateContent>
        <mc:Choice Requires="wpg">
          <w:drawing>
            <wp:anchor distT="0" distB="0" distL="114300" distR="114300" simplePos="0" relativeHeight="251668480" behindDoc="0" locked="0" layoutInCell="1" allowOverlap="1">
              <wp:simplePos x="0" y="0"/>
              <wp:positionH relativeFrom="page">
                <wp:posOffset>1352550</wp:posOffset>
              </wp:positionH>
              <wp:positionV relativeFrom="page">
                <wp:posOffset>9544050</wp:posOffset>
              </wp:positionV>
              <wp:extent cx="5524500" cy="19050"/>
              <wp:effectExtent l="0" t="0" r="0" b="0"/>
              <wp:wrapSquare wrapText="bothSides"/>
              <wp:docPr id="7371" name="Group 7371"/>
              <wp:cNvGraphicFramePr/>
              <a:graphic xmlns:a="http://schemas.openxmlformats.org/drawingml/2006/main">
                <a:graphicData uri="http://schemas.microsoft.com/office/word/2010/wordprocessingGroup">
                  <wpg:wgp>
                    <wpg:cNvGrpSpPr/>
                    <wpg:grpSpPr>
                      <a:xfrm>
                        <a:off x="0" y="0"/>
                        <a:ext cx="5524500" cy="19050"/>
                        <a:chOff x="0" y="0"/>
                        <a:chExt cx="5524500" cy="19050"/>
                      </a:xfrm>
                    </wpg:grpSpPr>
                    <wps:wsp>
                      <wps:cNvPr id="7751" name="Shape 7751"/>
                      <wps:cNvSpPr/>
                      <wps:spPr>
                        <a:xfrm>
                          <a:off x="0" y="0"/>
                          <a:ext cx="5524500" cy="19050"/>
                        </a:xfrm>
                        <a:custGeom>
                          <a:avLst/>
                          <a:gdLst/>
                          <a:ahLst/>
                          <a:cxnLst/>
                          <a:rect l="0" t="0" r="0" b="0"/>
                          <a:pathLst>
                            <a:path w="5524500" h="19050">
                              <a:moveTo>
                                <a:pt x="0" y="0"/>
                              </a:moveTo>
                              <a:lnTo>
                                <a:pt x="5524500" y="0"/>
                              </a:lnTo>
                              <a:lnTo>
                                <a:pt x="5524500" y="19050"/>
                              </a:lnTo>
                              <a:lnTo>
                                <a:pt x="0" y="190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4909DCE" id="Group 7371" o:spid="_x0000_s1026" style="position:absolute;margin-left:106.5pt;margin-top:751.5pt;width:435pt;height:1.5pt;z-index:251668480;mso-position-horizontal-relative:page;mso-position-vertical-relative:page" coordsize="55245,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">
              <v:shape id="Shape 7751" o:spid="_x0000_s1027" style="position:absolute;width:55245;height:190;visibility:visible;mso-wrap-style:square;v-text-anchor:top" coordsize="5524500,19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848YA&#10;AADdAAAADwAAAGRycy9kb3ducmV2LnhtbESPS2/CMBCE75X4D9Yi9VYcaCEoYBB9SVxLqHrdxJsH&#10;xOs0diH8e4xUieNoZr7RLNe9acSJOldbVjAeRSCIc6trLhXs08+nOQjnkTU2lknBhRysV4OHJSba&#10;nvmLTjtfigBhl6CCyvs2kdLlFRl0I9sSB6+wnUEfZFdK3eE5wE0jJ1E0kwZrDgsVtvRWUX7c/RkF&#10;h36avf88l/Hv97zw6Ud2jF5f9ko9DvvNAoSn3t/D/+2tVhDH0zHc3oQnIF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H848YAAADdAAAADwAAAAAAAAAAAAAAAACYAgAAZHJz&#10;L2Rvd25yZXYueG1sUEsFBgAAAAAEAAQA9QAAAIsDAAAAAA==&#10;" path="m,l5524500,r,19050l,19050,,e" fillcolor="black" stroked="f" strokeweight="0">
                <v:stroke miterlimit="83231f" joinstyle="miter"/>
                <v:path arrowok="t" textboxrect="0,0,5524500,19050"/>
              </v:shape>
              <w10:wrap type="square" anchorx="page" anchory="page"/>
            </v:group>
          </w:pict>
        </mc:Fallback>
      </mc:AlternateContent>
    </w:r>
    <w:r>
      <w:rPr>
        <w:sz w:val="14"/>
      </w:rPr>
      <w:t xml:space="preserve"> </w:t>
    </w:r>
  </w:p>
  <w:p w:rsidR="00504FDF" w:rsidRDefault="00504FDF">
    <w:pPr>
      <w:spacing w:after="138" w:line="259" w:lineRule="auto"/>
      <w:ind w:left="0" w:right="-5" w:firstLine="0"/>
      <w:jc w:val="right"/>
    </w:pPr>
  </w:p>
  <w:p w:rsidR="00504FDF" w:rsidRDefault="003F2650">
    <w:pPr>
      <w:tabs>
        <w:tab w:val="right" w:pos="8635"/>
      </w:tabs>
      <w:spacing w:after="0" w:line="259" w:lineRule="auto"/>
      <w:ind w:left="0" w:firstLine="0"/>
    </w:pPr>
    <w:r>
      <w:t xml:space="preserve">  </w:t>
    </w:r>
    <w:r>
      <w:rPr>
        <w:sz w:val="14"/>
      </w:rPr>
      <w:t xml:space="preserve"> </w:t>
    </w:r>
    <w:r>
      <w:rPr>
        <w:sz w:val="14"/>
      </w:rPr>
      <w:tab/>
    </w:r>
    <w:r>
      <w:rPr>
        <w:b/>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4FDF" w:rsidRDefault="003F2650">
    <w:pPr>
      <w:spacing w:after="64" w:line="259" w:lineRule="auto"/>
      <w:ind w:left="0" w:firstLine="0"/>
    </w:pPr>
    <w:r>
      <w:rPr>
        <w:rFonts w:ascii="Calibri" w:eastAsia="Calibri" w:hAnsi="Calibri" w:cs="Calibri"/>
        <w:noProof/>
        <w:sz w:val="22"/>
        <w:lang w:val="sv-SE" w:eastAsia="sv-SE"/>
      </w:rPr>
      <mc:AlternateContent>
        <mc:Choice Requires="wpg">
          <w:drawing>
            <wp:anchor distT="0" distB="0" distL="114300" distR="114300" simplePos="0" relativeHeight="251669504" behindDoc="0" locked="0" layoutInCell="1" allowOverlap="1">
              <wp:simplePos x="0" y="0"/>
              <wp:positionH relativeFrom="page">
                <wp:posOffset>1352550</wp:posOffset>
              </wp:positionH>
              <wp:positionV relativeFrom="page">
                <wp:posOffset>9544050</wp:posOffset>
              </wp:positionV>
              <wp:extent cx="5524500" cy="19050"/>
              <wp:effectExtent l="0" t="0" r="0" b="0"/>
              <wp:wrapSquare wrapText="bothSides"/>
              <wp:docPr id="7331" name="Group 7331"/>
              <wp:cNvGraphicFramePr/>
              <a:graphic xmlns:a="http://schemas.openxmlformats.org/drawingml/2006/main">
                <a:graphicData uri="http://schemas.microsoft.com/office/word/2010/wordprocessingGroup">
                  <wpg:wgp>
                    <wpg:cNvGrpSpPr/>
                    <wpg:grpSpPr>
                      <a:xfrm>
                        <a:off x="0" y="0"/>
                        <a:ext cx="5524500" cy="19050"/>
                        <a:chOff x="0" y="0"/>
                        <a:chExt cx="5524500" cy="19050"/>
                      </a:xfrm>
                    </wpg:grpSpPr>
                    <wps:wsp>
                      <wps:cNvPr id="7750" name="Shape 7750"/>
                      <wps:cNvSpPr/>
                      <wps:spPr>
                        <a:xfrm>
                          <a:off x="0" y="0"/>
                          <a:ext cx="5524500" cy="19050"/>
                        </a:xfrm>
                        <a:custGeom>
                          <a:avLst/>
                          <a:gdLst/>
                          <a:ahLst/>
                          <a:cxnLst/>
                          <a:rect l="0" t="0" r="0" b="0"/>
                          <a:pathLst>
                            <a:path w="5524500" h="19050">
                              <a:moveTo>
                                <a:pt x="0" y="0"/>
                              </a:moveTo>
                              <a:lnTo>
                                <a:pt x="5524500" y="0"/>
                              </a:lnTo>
                              <a:lnTo>
                                <a:pt x="5524500" y="19050"/>
                              </a:lnTo>
                              <a:lnTo>
                                <a:pt x="0" y="190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A2080A9" id="Group 7331" o:spid="_x0000_s1026" style="position:absolute;margin-left:106.5pt;margin-top:751.5pt;width:435pt;height:1.5pt;z-index:251669504;mso-position-horizontal-relative:page;mso-position-vertical-relative:page" coordsize="55245,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">
              <v:shape id="Shape 7750" o:spid="_x0000_s1027" style="position:absolute;width:55245;height:190;visibility:visible;mso-wrap-style:square;v-text-anchor:top" coordsize="5524500,19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1ZeMMA&#10;AADdAAAADwAAAGRycy9kb3ducmV2LnhtbERPTU/CQBC9m/AfNkPCzW5FsKSyEBRIvEIxXofu0Fa6&#10;s7W7tPXfuwcTji/ve7keTC06al1lWcFTFIMgzq2uuFBwyvaPCxDOI2usLZOCX3KwXo0elphq2/OB&#10;uqMvRAhhl6KC0vsmldLlJRl0kW2IA3exrUEfYFtI3WIfwk0tp3H8Ig1WHBpKbOi9pPx6vBkF38P8&#10;vP16LpKfz8XFZ7vzNX6bnZSajIfNKwhPg7+L/90fWkGSzMP+8CY8Abn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y1ZeMMAAADdAAAADwAAAAAAAAAAAAAAAACYAgAAZHJzL2Rv&#10;d25yZXYueG1sUEsFBgAAAAAEAAQA9QAAAIgDAAAAAA==&#10;" path="m,l5524500,r,19050l,19050,,e" fillcolor="black" stroked="f" strokeweight="0">
                <v:stroke miterlimit="83231f" joinstyle="miter"/>
                <v:path arrowok="t" textboxrect="0,0,5524500,19050"/>
              </v:shape>
              <w10:wrap type="square" anchorx="page" anchory="page"/>
            </v:group>
          </w:pict>
        </mc:Fallback>
      </mc:AlternateContent>
    </w:r>
    <w:r>
      <w:rPr>
        <w:sz w:val="14"/>
      </w:rPr>
      <w:t xml:space="preserve"> </w:t>
    </w:r>
  </w:p>
  <w:p w:rsidR="00504FDF" w:rsidRDefault="003F2650">
    <w:pPr>
      <w:spacing w:after="138" w:line="259" w:lineRule="auto"/>
      <w:ind w:left="0" w:right="-5" w:firstLine="0"/>
      <w:jc w:val="right"/>
    </w:pPr>
    <w:r>
      <w:rPr>
        <w:b/>
        <w:sz w:val="10"/>
      </w:rPr>
      <w:t>®</w:t>
    </w:r>
    <w:r>
      <w:rPr>
        <w:b/>
        <w:sz w:val="12"/>
      </w:rPr>
      <w:t xml:space="preserve">  </w:t>
    </w:r>
  </w:p>
  <w:p w:rsidR="00504FDF" w:rsidRDefault="003F2650">
    <w:pPr>
      <w:tabs>
        <w:tab w:val="right" w:pos="8635"/>
      </w:tabs>
      <w:spacing w:after="0" w:line="259" w:lineRule="auto"/>
      <w:ind w:left="0" w:firstLine="0"/>
    </w:pPr>
    <w:r>
      <w:t xml:space="preserve">  </w:t>
    </w:r>
    <w:r>
      <w:rPr>
        <w:sz w:val="14"/>
      </w:rPr>
      <w:t xml:space="preserve"> </w:t>
    </w:r>
    <w:r>
      <w:rPr>
        <w:sz w:val="14"/>
      </w:rPr>
      <w:tab/>
    </w:r>
    <w:r>
      <w:rPr>
        <w:b/>
      </w:rPr>
      <w:t xml:space="preserve"> </w:t>
    </w:r>
    <w:r>
      <w:rPr>
        <w:rFonts w:ascii="Calibri" w:eastAsia="Calibri" w:hAnsi="Calibri" w:cs="Calibri"/>
        <w:sz w:val="36"/>
      </w:rPr>
      <w:t>A</w:t>
    </w:r>
    <w:r>
      <w:rPr>
        <w:sz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2650" w:rsidRDefault="003F2650">
      <w:pPr>
        <w:spacing w:after="0" w:line="240" w:lineRule="auto"/>
      </w:pPr>
      <w:r>
        <w:separator/>
      </w:r>
    </w:p>
  </w:footnote>
  <w:footnote w:type="continuationSeparator" w:id="0">
    <w:p w:rsidR="003F2650" w:rsidRDefault="003F265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4FDF" w:rsidRDefault="003F2650" w:rsidP="00F65DA8">
    <w:pPr>
      <w:spacing w:after="0" w:line="259" w:lineRule="auto"/>
      <w:ind w:left="0" w:firstLine="0"/>
    </w:pPr>
    <w:r>
      <w:rPr>
        <w:rFonts w:ascii="Calibri" w:eastAsia="Calibri" w:hAnsi="Calibri" w:cs="Calibri"/>
        <w:noProof/>
        <w:sz w:val="22"/>
        <w:lang w:val="sv-SE" w:eastAsia="sv-SE"/>
      </w:rPr>
      <mc:AlternateContent>
        <mc:Choice Requires="wpg">
          <w:drawing>
            <wp:anchor distT="0" distB="0" distL="114300" distR="114300" simplePos="0" relativeHeight="251664384" behindDoc="0" locked="0" layoutInCell="1" allowOverlap="1">
              <wp:simplePos x="0" y="0"/>
              <wp:positionH relativeFrom="page">
                <wp:posOffset>1352550</wp:posOffset>
              </wp:positionH>
              <wp:positionV relativeFrom="page">
                <wp:posOffset>717804</wp:posOffset>
              </wp:positionV>
              <wp:extent cx="5524500" cy="19050"/>
              <wp:effectExtent l="0" t="0" r="0" b="0"/>
              <wp:wrapSquare wrapText="bothSides"/>
              <wp:docPr id="7391" name="Group 7391"/>
              <wp:cNvGraphicFramePr/>
              <a:graphic xmlns:a="http://schemas.openxmlformats.org/drawingml/2006/main">
                <a:graphicData uri="http://schemas.microsoft.com/office/word/2010/wordprocessingGroup">
                  <wpg:wgp>
                    <wpg:cNvGrpSpPr/>
                    <wpg:grpSpPr>
                      <a:xfrm>
                        <a:off x="0" y="0"/>
                        <a:ext cx="5524500" cy="19050"/>
                        <a:chOff x="0" y="0"/>
                        <a:chExt cx="5524500" cy="19050"/>
                      </a:xfrm>
                    </wpg:grpSpPr>
                    <wps:wsp>
                      <wps:cNvPr id="7746" name="Shape 7746"/>
                      <wps:cNvSpPr/>
                      <wps:spPr>
                        <a:xfrm>
                          <a:off x="0" y="0"/>
                          <a:ext cx="5524500" cy="19050"/>
                        </a:xfrm>
                        <a:custGeom>
                          <a:avLst/>
                          <a:gdLst/>
                          <a:ahLst/>
                          <a:cxnLst/>
                          <a:rect l="0" t="0" r="0" b="0"/>
                          <a:pathLst>
                            <a:path w="5524500" h="19050">
                              <a:moveTo>
                                <a:pt x="0" y="0"/>
                              </a:moveTo>
                              <a:lnTo>
                                <a:pt x="5524500" y="0"/>
                              </a:lnTo>
                              <a:lnTo>
                                <a:pt x="5524500" y="19050"/>
                              </a:lnTo>
                              <a:lnTo>
                                <a:pt x="0" y="190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9CFCB7B" id="Group 7391" o:spid="_x0000_s1026" style="position:absolute;margin-left:106.5pt;margin-top:56.5pt;width:435pt;height:1.5pt;z-index:251664384;mso-position-horizontal-relative:page;mso-position-vertical-relative:page" coordsize="55245,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">
              <v:shape id="Shape 7746" o:spid="_x0000_s1027" style="position:absolute;width:55245;height:190;visibility:visible;mso-wrap-style:square;v-text-anchor:top" coordsize="5524500,19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lHySsUA&#10;AADdAAAADwAAAGRycy9kb3ducmV2LnhtbESPzW7CMBCE70i8g7VIvYEDpQQFDIIWpF7Lj7gu8ZIE&#10;4nWIDYS3rytV4jiamW8003ljSnGn2hWWFfR7EQji1OqCMwW77bo7BuE8ssbSMil4koP5rN2aYqLt&#10;g3/ovvGZCBB2CSrIva8SKV2ak0HXsxVx8E62NuiDrDOpa3wEuCnlIIpG0mDBYSHHij5zSi+bm1Fw&#10;bj6OX4f3LL7uxye/XR0v0XK4U+qt0ywmIDw1/hX+b39rBXE8HMHfm/AE5O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2UfJKxQAAAN0AAAAPAAAAAAAAAAAAAAAAAJgCAABkcnMv&#10;ZG93bnJldi54bWxQSwUGAAAAAAQABAD1AAAAigMAAAAA&#10;" path="m,l5524500,r,19050l,19050,,e" fillcolor="black" stroked="f" strokeweight="0">
                <v:stroke miterlimit="83231f" joinstyle="miter"/>
                <v:path arrowok="t" textboxrect="0,0,5524500,19050"/>
              </v:shape>
              <w10:wrap type="square" anchorx="page" anchory="page"/>
            </v:group>
          </w:pict>
        </mc:Fallback>
      </mc:AlternateContent>
    </w:r>
    <w:r>
      <w:rPr>
        <w:b/>
      </w:rPr>
      <w:t xml:space="preserve">Product:  Palifermin </w:t>
    </w:r>
    <w:r w:rsidR="00F65DA8">
      <w:tab/>
    </w:r>
    <w:r w:rsidR="00F65DA8">
      <w:tab/>
    </w:r>
    <w:r w:rsidR="00F65DA8">
      <w:tab/>
    </w:r>
    <w:r w:rsidR="00F65DA8">
      <w:tab/>
    </w:r>
    <w:r w:rsidR="00F65DA8">
      <w:tab/>
    </w:r>
    <w:r w:rsidR="00F65DA8">
      <w:tab/>
    </w:r>
    <w:r w:rsidR="00F65DA8">
      <w:tab/>
    </w:r>
    <w:r w:rsidR="00F65DA8">
      <w:tab/>
    </w:r>
    <w:r>
      <w:rPr>
        <w:b/>
      </w:rPr>
      <w:t xml:space="preserve">Page </w:t>
    </w:r>
    <w:r>
      <w:fldChar w:fldCharType="begin"/>
    </w:r>
    <w:r>
      <w:instrText xml:space="preserve"> PAGE   \* MERGEFORMAT </w:instrText>
    </w:r>
    <w:r>
      <w:fldChar w:fldCharType="separate"/>
    </w:r>
    <w:r w:rsidR="00F65DA8" w:rsidRPr="00F65DA8">
      <w:rPr>
        <w:b/>
        <w:noProof/>
      </w:rPr>
      <w:t>2</w:t>
    </w:r>
    <w:r>
      <w:rPr>
        <w:b/>
      </w:rPr>
      <w:fldChar w:fldCharType="end"/>
    </w:r>
    <w:r>
      <w:rPr>
        <w:b/>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4FDF" w:rsidRDefault="003F2650" w:rsidP="00F65DA8">
    <w:pPr>
      <w:spacing w:after="0" w:line="259" w:lineRule="auto"/>
      <w:ind w:left="0" w:firstLine="0"/>
    </w:pPr>
    <w:r>
      <w:rPr>
        <w:rFonts w:ascii="Calibri" w:eastAsia="Calibri" w:hAnsi="Calibri" w:cs="Calibri"/>
        <w:noProof/>
        <w:sz w:val="22"/>
        <w:lang w:val="sv-SE" w:eastAsia="sv-SE"/>
      </w:rPr>
      <mc:AlternateContent>
        <mc:Choice Requires="wpg">
          <w:drawing>
            <wp:anchor distT="0" distB="0" distL="114300" distR="114300" simplePos="0" relativeHeight="251665408" behindDoc="0" locked="0" layoutInCell="1" allowOverlap="1">
              <wp:simplePos x="0" y="0"/>
              <wp:positionH relativeFrom="page">
                <wp:posOffset>1352550</wp:posOffset>
              </wp:positionH>
              <wp:positionV relativeFrom="page">
                <wp:posOffset>717804</wp:posOffset>
              </wp:positionV>
              <wp:extent cx="5524500" cy="19050"/>
              <wp:effectExtent l="0" t="0" r="0" b="0"/>
              <wp:wrapSquare wrapText="bothSides"/>
              <wp:docPr id="7351" name="Group 7351"/>
              <wp:cNvGraphicFramePr/>
              <a:graphic xmlns:a="http://schemas.openxmlformats.org/drawingml/2006/main">
                <a:graphicData uri="http://schemas.microsoft.com/office/word/2010/wordprocessingGroup">
                  <wpg:wgp>
                    <wpg:cNvGrpSpPr/>
                    <wpg:grpSpPr>
                      <a:xfrm>
                        <a:off x="0" y="0"/>
                        <a:ext cx="5524500" cy="19050"/>
                        <a:chOff x="0" y="0"/>
                        <a:chExt cx="5524500" cy="19050"/>
                      </a:xfrm>
                    </wpg:grpSpPr>
                    <wps:wsp>
                      <wps:cNvPr id="7745" name="Shape 7745"/>
                      <wps:cNvSpPr/>
                      <wps:spPr>
                        <a:xfrm>
                          <a:off x="0" y="0"/>
                          <a:ext cx="5524500" cy="19050"/>
                        </a:xfrm>
                        <a:custGeom>
                          <a:avLst/>
                          <a:gdLst/>
                          <a:ahLst/>
                          <a:cxnLst/>
                          <a:rect l="0" t="0" r="0" b="0"/>
                          <a:pathLst>
                            <a:path w="5524500" h="19050">
                              <a:moveTo>
                                <a:pt x="0" y="0"/>
                              </a:moveTo>
                              <a:lnTo>
                                <a:pt x="5524500" y="0"/>
                              </a:lnTo>
                              <a:lnTo>
                                <a:pt x="5524500" y="19050"/>
                              </a:lnTo>
                              <a:lnTo>
                                <a:pt x="0" y="190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65FF118" id="Group 7351" o:spid="_x0000_s1026" style="position:absolute;margin-left:106.5pt;margin-top:56.5pt;width:435pt;height:1.5pt;z-index:251665408;mso-position-horizontal-relative:page;mso-position-vertical-relative:page" coordsize="55245,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">
              <v:shape id="Shape 7745" o:spid="_x0000_s1027" style="position:absolute;width:55245;height:190;visibility:visible;mso-wrap-style:square;v-text-anchor:top" coordsize="5524500,19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NsPcUA&#10;AADdAAAADwAAAGRycy9kb3ducmV2LnhtbESPzW7CMBCE70i8g7VIvYFDCwQFDKIUJK7lR1yXeEkC&#10;8TrELqRvjytV4jiamW8003ljSnGn2hWWFfR7EQji1OqCMwX73bo7BuE8ssbSMin4JQfzWbs1xUTb&#10;B3/TfeszESDsElSQe18lUro0J4OuZyvi4J1tbdAHWWdS1/gIcFPK9ygaSYMFh4UcK1rmlF63P0bB&#10;pRmevo4fWXw7jM9+tzpdo8/BXqm3TrOYgPDU+Ff4v73RCuJ4MIS/N+EJyNkT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g2w9xQAAAN0AAAAPAAAAAAAAAAAAAAAAAJgCAABkcnMv&#10;ZG93bnJldi54bWxQSwUGAAAAAAQABAD1AAAAigMAAAAA&#10;" path="m,l5524500,r,19050l,19050,,e" fillcolor="black" stroked="f" strokeweight="0">
                <v:stroke miterlimit="83231f" joinstyle="miter"/>
                <v:path arrowok="t" textboxrect="0,0,5524500,19050"/>
              </v:shape>
              <w10:wrap type="square" anchorx="page" anchory="page"/>
            </v:group>
          </w:pict>
        </mc:Fallback>
      </mc:AlternateContent>
    </w:r>
    <w:r>
      <w:rPr>
        <w:b/>
      </w:rPr>
      <w:t xml:space="preserve">Product:  Palifermin </w:t>
    </w:r>
    <w:r w:rsidR="00F65DA8">
      <w:tab/>
    </w:r>
    <w:r w:rsidR="00F65DA8">
      <w:tab/>
    </w:r>
    <w:r w:rsidR="00F65DA8">
      <w:tab/>
    </w:r>
    <w:r w:rsidR="00F65DA8">
      <w:tab/>
    </w:r>
    <w:r w:rsidR="00F65DA8">
      <w:tab/>
    </w:r>
    <w:r w:rsidR="00F65DA8">
      <w:tab/>
    </w:r>
    <w:r w:rsidR="00F65DA8">
      <w:tab/>
    </w:r>
    <w:r w:rsidR="00F65DA8">
      <w:tab/>
    </w:r>
    <w:r>
      <w:rPr>
        <w:b/>
      </w:rPr>
      <w:t xml:space="preserve">Page </w:t>
    </w:r>
    <w:r>
      <w:fldChar w:fldCharType="begin"/>
    </w:r>
    <w:r>
      <w:instrText xml:space="preserve"> PAGE   \* MERGEFORMAT </w:instrText>
    </w:r>
    <w:r>
      <w:fldChar w:fldCharType="separate"/>
    </w:r>
    <w:r w:rsidR="00F65DA8" w:rsidRPr="00F65DA8">
      <w:rPr>
        <w:b/>
        <w:noProof/>
      </w:rPr>
      <w:t>7</w:t>
    </w:r>
    <w:r>
      <w:rPr>
        <w:b/>
      </w:rPr>
      <w:fldChar w:fldCharType="end"/>
    </w:r>
    <w:r>
      <w:rPr>
        <w:b/>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4FDF" w:rsidRDefault="003F2650">
    <w:pPr>
      <w:spacing w:after="0" w:line="259" w:lineRule="auto"/>
      <w:ind w:left="0" w:firstLine="0"/>
    </w:pPr>
    <w:r>
      <w:rPr>
        <w:rFonts w:ascii="Calibri" w:eastAsia="Calibri" w:hAnsi="Calibri" w:cs="Calibri"/>
        <w:noProof/>
        <w:sz w:val="22"/>
        <w:lang w:val="sv-SE" w:eastAsia="sv-SE"/>
      </w:rPr>
      <mc:AlternateContent>
        <mc:Choice Requires="wpg">
          <w:drawing>
            <wp:anchor distT="0" distB="0" distL="114300" distR="114300" simplePos="0" relativeHeight="251666432" behindDoc="0" locked="0" layoutInCell="1" allowOverlap="1">
              <wp:simplePos x="0" y="0"/>
              <wp:positionH relativeFrom="page">
                <wp:posOffset>1352550</wp:posOffset>
              </wp:positionH>
              <wp:positionV relativeFrom="page">
                <wp:posOffset>717804</wp:posOffset>
              </wp:positionV>
              <wp:extent cx="5524500" cy="19050"/>
              <wp:effectExtent l="0" t="0" r="0" b="0"/>
              <wp:wrapSquare wrapText="bothSides"/>
              <wp:docPr id="7311" name="Group 7311"/>
              <wp:cNvGraphicFramePr/>
              <a:graphic xmlns:a="http://schemas.openxmlformats.org/drawingml/2006/main">
                <a:graphicData uri="http://schemas.microsoft.com/office/word/2010/wordprocessingGroup">
                  <wpg:wgp>
                    <wpg:cNvGrpSpPr/>
                    <wpg:grpSpPr>
                      <a:xfrm>
                        <a:off x="0" y="0"/>
                        <a:ext cx="5524500" cy="19050"/>
                        <a:chOff x="0" y="0"/>
                        <a:chExt cx="5524500" cy="19050"/>
                      </a:xfrm>
                    </wpg:grpSpPr>
                    <wps:wsp>
                      <wps:cNvPr id="7744" name="Shape 7744"/>
                      <wps:cNvSpPr/>
                      <wps:spPr>
                        <a:xfrm>
                          <a:off x="0" y="0"/>
                          <a:ext cx="5524500" cy="19050"/>
                        </a:xfrm>
                        <a:custGeom>
                          <a:avLst/>
                          <a:gdLst/>
                          <a:ahLst/>
                          <a:cxnLst/>
                          <a:rect l="0" t="0" r="0" b="0"/>
                          <a:pathLst>
                            <a:path w="5524500" h="19050">
                              <a:moveTo>
                                <a:pt x="0" y="0"/>
                              </a:moveTo>
                              <a:lnTo>
                                <a:pt x="5524500" y="0"/>
                              </a:lnTo>
                              <a:lnTo>
                                <a:pt x="5524500" y="19050"/>
                              </a:lnTo>
                              <a:lnTo>
                                <a:pt x="0" y="190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0AB13D4" id="Group 7311" o:spid="_x0000_s1026" style="position:absolute;margin-left:106.5pt;margin-top:56.5pt;width:435pt;height:1.5pt;z-index:251666432;mso-position-horizontal-relative:page;mso-position-vertical-relative:page" coordsize="55245,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">
              <v:shape id="Shape 7744" o:spid="_x0000_s1027" style="position:absolute;width:55245;height:190;visibility:visible;mso-wrap-style:square;v-text-anchor:top" coordsize="5524500,19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JpsYA&#10;AADdAAAADwAAAGRycy9kb3ducmV2LnhtbESPzW7CMBCE70i8g7VIvYEDpA1KMQhokXrlp+p1iZck&#10;EK9D7EJ4+7oSEsfRzHyjmc5bU4krNa60rGA4iEAQZ1aXnCvY79b9CQjnkTVWlknBnRzMZ93OFFNt&#10;b7yh69bnIkDYpaig8L5OpXRZQQbdwNbEwTvaxqAPssmlbvAW4KaSoyh6kwZLDgsF1rQqKDtvf42C&#10;U/t6+PgZ58nle3L0u8/DOVrGe6Veeu3iHYSn1j/Dj/aXVpAkcQz/b8ITkL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c/JpsYAAADdAAAADwAAAAAAAAAAAAAAAACYAgAAZHJz&#10;L2Rvd25yZXYueG1sUEsFBgAAAAAEAAQA9QAAAIsDAAAAAA==&#10;" path="m,l5524500,r,19050l,19050,,e" fillcolor="black" stroked="f" strokeweight="0">
                <v:stroke miterlimit="83231f" joinstyle="miter"/>
                <v:path arrowok="t" textboxrect="0,0,5524500,19050"/>
              </v:shape>
              <w10:wrap type="square" anchorx="page" anchory="page"/>
            </v:group>
          </w:pict>
        </mc:Fallback>
      </mc:AlternateContent>
    </w:r>
    <w:r>
      <w:rPr>
        <w:b/>
      </w:rPr>
      <w:t xml:space="preserve">Product:  Palifermin </w:t>
    </w:r>
  </w:p>
  <w:p w:rsidR="00504FDF" w:rsidRDefault="003F2650">
    <w:pPr>
      <w:spacing w:after="0" w:line="259" w:lineRule="auto"/>
      <w:ind w:left="0" w:firstLine="0"/>
    </w:pPr>
    <w:r>
      <w:rPr>
        <w:b/>
      </w:rPr>
      <w:t xml:space="preserve">Abbreviated Clinical Study Report:  20050100 </w:t>
    </w:r>
  </w:p>
  <w:p w:rsidR="00504FDF" w:rsidRDefault="003F2650">
    <w:pPr>
      <w:tabs>
        <w:tab w:val="right" w:pos="8635"/>
      </w:tabs>
      <w:spacing w:after="0" w:line="259" w:lineRule="auto"/>
      <w:ind w:left="0" w:right="-3" w:firstLine="0"/>
    </w:pPr>
    <w:r>
      <w:rPr>
        <w:b/>
      </w:rPr>
      <w:t xml:space="preserve">Date:  09 May 2008 </w:t>
    </w:r>
    <w:r>
      <w:rPr>
        <w:b/>
      </w:rPr>
      <w:tab/>
      <w:t xml:space="preserve">Page </w:t>
    </w:r>
    <w:r>
      <w:fldChar w:fldCharType="begin"/>
    </w:r>
    <w:r>
      <w:instrText xml:space="preserve"> PAGE   \* MERGEFORMAT </w:instrText>
    </w:r>
    <w:r>
      <w:fldChar w:fldCharType="separate"/>
    </w:r>
    <w:r>
      <w:rPr>
        <w:b/>
      </w:rPr>
      <w:t>3</w:t>
    </w:r>
    <w:r>
      <w:rPr>
        <w:b/>
      </w:rPr>
      <w:fldChar w:fldCharType="end"/>
    </w:r>
    <w:r>
      <w:rPr>
        <w:b/>
      </w:rPr>
      <w:t xml:space="preserve"> of 485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387FCE"/>
    <w:multiLevelType w:val="hybridMultilevel"/>
    <w:tmpl w:val="9E9689E6"/>
    <w:lvl w:ilvl="0" w:tplc="B7C6B0E2">
      <w:start w:val="1"/>
      <w:numFmt w:val="decimal"/>
      <w:pStyle w:val="Heading1"/>
      <w:lvlText w:val="%1."/>
      <w:lvlJc w:val="left"/>
      <w:pPr>
        <w:ind w:left="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750CBA6E">
      <w:start w:val="1"/>
      <w:numFmt w:val="lowerLetter"/>
      <w:lvlText w:val="%2"/>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B534325A">
      <w:start w:val="1"/>
      <w:numFmt w:val="lowerRoman"/>
      <w:lvlText w:val="%3"/>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F7586DDC">
      <w:start w:val="1"/>
      <w:numFmt w:val="decimal"/>
      <w:lvlText w:val="%4"/>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069261F4">
      <w:start w:val="1"/>
      <w:numFmt w:val="lowerLetter"/>
      <w:lvlText w:val="%5"/>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613CCA30">
      <w:start w:val="1"/>
      <w:numFmt w:val="lowerRoman"/>
      <w:lvlText w:val="%6"/>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130AEDF6">
      <w:start w:val="1"/>
      <w:numFmt w:val="decimal"/>
      <w:lvlText w:val="%7"/>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B274C2C6">
      <w:start w:val="1"/>
      <w:numFmt w:val="lowerLetter"/>
      <w:lvlText w:val="%8"/>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979E1A5C">
      <w:start w:val="1"/>
      <w:numFmt w:val="lowerRoman"/>
      <w:lvlText w:val="%9"/>
      <w:lvlJc w:val="left"/>
      <w:pPr>
        <w:ind w:left="61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7112856"/>
    <w:multiLevelType w:val="hybridMultilevel"/>
    <w:tmpl w:val="2CD2E9DC"/>
    <w:lvl w:ilvl="0" w:tplc="27AC38AA">
      <w:start w:val="1"/>
      <w:numFmt w:val="bullet"/>
      <w:lvlText w:val="•"/>
      <w:lvlJc w:val="left"/>
      <w:pPr>
        <w:ind w:left="70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6388B6C4">
      <w:start w:val="1"/>
      <w:numFmt w:val="bullet"/>
      <w:lvlText w:val="o"/>
      <w:lvlJc w:val="left"/>
      <w:pPr>
        <w:ind w:left="144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269EE858">
      <w:start w:val="1"/>
      <w:numFmt w:val="bullet"/>
      <w:lvlText w:val="▪"/>
      <w:lvlJc w:val="left"/>
      <w:pPr>
        <w:ind w:left="216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FFA05CA0">
      <w:start w:val="1"/>
      <w:numFmt w:val="bullet"/>
      <w:lvlText w:val="•"/>
      <w:lvlJc w:val="left"/>
      <w:pPr>
        <w:ind w:left="28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E796289C">
      <w:start w:val="1"/>
      <w:numFmt w:val="bullet"/>
      <w:lvlText w:val="o"/>
      <w:lvlJc w:val="left"/>
      <w:pPr>
        <w:ind w:left="360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6AB4F000">
      <w:start w:val="1"/>
      <w:numFmt w:val="bullet"/>
      <w:lvlText w:val="▪"/>
      <w:lvlJc w:val="left"/>
      <w:pPr>
        <w:ind w:left="432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C69E3B38">
      <w:start w:val="1"/>
      <w:numFmt w:val="bullet"/>
      <w:lvlText w:val="•"/>
      <w:lvlJc w:val="left"/>
      <w:pPr>
        <w:ind w:left="50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5922E89C">
      <w:start w:val="1"/>
      <w:numFmt w:val="bullet"/>
      <w:lvlText w:val="o"/>
      <w:lvlJc w:val="left"/>
      <w:pPr>
        <w:ind w:left="576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6750ED3C">
      <w:start w:val="1"/>
      <w:numFmt w:val="bullet"/>
      <w:lvlText w:val="▪"/>
      <w:lvlJc w:val="left"/>
      <w:pPr>
        <w:ind w:left="648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2" w15:restartNumberingAfterBreak="0">
    <w:nsid w:val="55FE3967"/>
    <w:multiLevelType w:val="hybridMultilevel"/>
    <w:tmpl w:val="AE98AA98"/>
    <w:lvl w:ilvl="0" w:tplc="0AC0E28C">
      <w:start w:val="1"/>
      <w:numFmt w:val="bullet"/>
      <w:lvlText w:val="•"/>
      <w:lvlJc w:val="left"/>
      <w:pPr>
        <w:ind w:left="70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946EB226">
      <w:start w:val="1"/>
      <w:numFmt w:val="bullet"/>
      <w:lvlText w:val="o"/>
      <w:lvlJc w:val="left"/>
      <w:pPr>
        <w:ind w:left="144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E858FDBA">
      <w:start w:val="1"/>
      <w:numFmt w:val="bullet"/>
      <w:lvlText w:val="▪"/>
      <w:lvlJc w:val="left"/>
      <w:pPr>
        <w:ind w:left="216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4DFABF4C">
      <w:start w:val="1"/>
      <w:numFmt w:val="bullet"/>
      <w:lvlText w:val="•"/>
      <w:lvlJc w:val="left"/>
      <w:pPr>
        <w:ind w:left="28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802E041C">
      <w:start w:val="1"/>
      <w:numFmt w:val="bullet"/>
      <w:lvlText w:val="o"/>
      <w:lvlJc w:val="left"/>
      <w:pPr>
        <w:ind w:left="360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08002AB4">
      <w:start w:val="1"/>
      <w:numFmt w:val="bullet"/>
      <w:lvlText w:val="▪"/>
      <w:lvlJc w:val="left"/>
      <w:pPr>
        <w:ind w:left="432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C2B2B0CE">
      <w:start w:val="1"/>
      <w:numFmt w:val="bullet"/>
      <w:lvlText w:val="•"/>
      <w:lvlJc w:val="left"/>
      <w:pPr>
        <w:ind w:left="50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47806132">
      <w:start w:val="1"/>
      <w:numFmt w:val="bullet"/>
      <w:lvlText w:val="o"/>
      <w:lvlJc w:val="left"/>
      <w:pPr>
        <w:ind w:left="576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35B49366">
      <w:start w:val="1"/>
      <w:numFmt w:val="bullet"/>
      <w:lvlText w:val="▪"/>
      <w:lvlJc w:val="left"/>
      <w:pPr>
        <w:ind w:left="648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4FDF"/>
    <w:rsid w:val="003F2650"/>
    <w:rsid w:val="00504FDF"/>
    <w:rsid w:val="00E2161A"/>
    <w:rsid w:val="00F65D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EE6E573-B38B-4FCE-806D-20B699606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33" w:line="249" w:lineRule="auto"/>
      <w:ind w:left="10" w:hanging="10"/>
    </w:pPr>
    <w:rPr>
      <w:rFonts w:ascii="Arial" w:eastAsia="Arial" w:hAnsi="Arial" w:cs="Arial"/>
      <w:color w:val="000000"/>
      <w:sz w:val="20"/>
    </w:rPr>
  </w:style>
  <w:style w:type="paragraph" w:styleId="Heading1">
    <w:name w:val="heading 1"/>
    <w:next w:val="Normal"/>
    <w:link w:val="Heading1Char"/>
    <w:uiPriority w:val="9"/>
    <w:unhideWhenUsed/>
    <w:qFormat/>
    <w:pPr>
      <w:keepNext/>
      <w:keepLines/>
      <w:numPr>
        <w:numId w:val="3"/>
      </w:numPr>
      <w:spacing w:after="0"/>
      <w:ind w:left="10" w:hanging="10"/>
      <w:outlineLvl w:val="0"/>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2641</Words>
  <Characters>13998</Characters>
  <Application>Microsoft Office Word</Application>
  <DocSecurity>4</DocSecurity>
  <Lines>116</Lines>
  <Paragraphs>33</Paragraphs>
  <ScaleCrop>false</ScaleCrop>
  <HeadingPairs>
    <vt:vector size="2" baseType="variant">
      <vt:variant>
        <vt:lpstr>Title</vt:lpstr>
      </vt:variant>
      <vt:variant>
        <vt:i4>1</vt:i4>
      </vt:variant>
    </vt:vector>
  </HeadingPairs>
  <TitlesOfParts>
    <vt:vector size="1" baseType="lpstr">
      <vt:lpstr>Abbreviated Clinical Study Report 20050100 - An Open-label, Single-arm Study of Palifermin for Reduction of Mucositis in Subjects with Non-Hodgkin’s Lymphoma (NHL) or Multiple Myeloma (MM) Undergoing High-Dose Chemotherapy and Autologous Peripheral Blood</vt:lpstr>
    </vt:vector>
  </TitlesOfParts>
  <Company>Sobi AB</Company>
  <LinksUpToDate>false</LinksUpToDate>
  <CharactersWithSpaces>16606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Abbreviated Clinical Study Report 20050100 - An Open-label, Single-arm Study of Palifermin for Reduction of Mucositis in Subjects with Non-Hodgkin’s Lymphoma (NHL) or Multiple Myeloma (MM) Undergoing High-Dose Chemotherapy and Autologous Peripheral Blood</dc:title>
  <dc:subject/>
  <dc:creator>Jenni Christiansson</dc:creator>
  <cp:keywords>Submission-ready (FH)
Component published 08JUL2008</cp:keywords>
  <cp:lastModifiedBy>Ida Gunnarsson</cp:lastModifiedBy>
  <cp:revision>2</cp:revision>
  <dcterms:created xsi:type="dcterms:W3CDTF">2016-05-31T15:15:00Z</dcterms:created>
  <dcterms:modified xsi:type="dcterms:W3CDTF">2016-05-31T15:15:00Z</dcterms:modified>
</cp:coreProperties>
</file>