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B97DB" w14:textId="77777777" w:rsidR="006111B6" w:rsidRPr="00C05F58" w:rsidRDefault="006111B6" w:rsidP="00A06D9C">
      <w:pPr>
        <w:tabs>
          <w:tab w:val="left" w:pos="851"/>
        </w:tabs>
        <w:rPr>
          <w:rFonts w:cs="Arial"/>
          <w:b/>
          <w:bCs/>
          <w:sz w:val="36"/>
          <w:szCs w:val="36"/>
          <w:lang w:val="en-GB"/>
        </w:rPr>
      </w:pPr>
    </w:p>
    <w:p w14:paraId="1CDDADF6" w14:textId="77777777" w:rsidR="00036CAE" w:rsidRPr="00C05F58" w:rsidRDefault="006111B6" w:rsidP="00AE5755">
      <w:pPr>
        <w:tabs>
          <w:tab w:val="left" w:pos="851"/>
        </w:tabs>
        <w:spacing w:after="120"/>
        <w:jc w:val="center"/>
        <w:rPr>
          <w:rFonts w:cs="Arial"/>
          <w:b/>
          <w:bCs/>
          <w:sz w:val="32"/>
          <w:szCs w:val="32"/>
          <w:lang w:val="en-GB"/>
        </w:rPr>
      </w:pPr>
      <w:r w:rsidRPr="00C05F58">
        <w:rPr>
          <w:rFonts w:cs="Arial"/>
          <w:b/>
          <w:bCs/>
          <w:sz w:val="32"/>
          <w:szCs w:val="32"/>
          <w:lang w:val="en-GB"/>
        </w:rPr>
        <w:t xml:space="preserve">Bi-weekly Cetuximab combined with FOLFOX-6 as first-line treatment in metastatic colorectal cancer patients with wild-type </w:t>
      </w:r>
      <w:r w:rsidR="00E90318" w:rsidRPr="00C05F58">
        <w:rPr>
          <w:rFonts w:cs="Arial"/>
          <w:b/>
          <w:bCs/>
          <w:i/>
          <w:sz w:val="32"/>
          <w:szCs w:val="32"/>
          <w:lang w:val="en-GB"/>
        </w:rPr>
        <w:t>K</w:t>
      </w:r>
      <w:r w:rsidR="00A06D9C" w:rsidRPr="00C05F58">
        <w:rPr>
          <w:rFonts w:cs="Arial"/>
          <w:b/>
          <w:bCs/>
          <w:i/>
          <w:sz w:val="32"/>
          <w:szCs w:val="32"/>
          <w:lang w:val="en-GB"/>
        </w:rPr>
        <w:t>R</w:t>
      </w:r>
      <w:r w:rsidR="00FC4AD8" w:rsidRPr="00C05F58">
        <w:rPr>
          <w:rFonts w:cs="Arial"/>
          <w:b/>
          <w:bCs/>
          <w:i/>
          <w:sz w:val="32"/>
          <w:szCs w:val="32"/>
          <w:lang w:val="en-GB"/>
        </w:rPr>
        <w:t>AS</w:t>
      </w:r>
      <w:r w:rsidRPr="00C05F58">
        <w:rPr>
          <w:rFonts w:cs="Arial"/>
          <w:b/>
          <w:bCs/>
          <w:sz w:val="32"/>
          <w:szCs w:val="32"/>
          <w:lang w:val="en-GB"/>
        </w:rPr>
        <w:t xml:space="preserve"> status</w:t>
      </w:r>
    </w:p>
    <w:p w14:paraId="7F678470" w14:textId="77777777" w:rsidR="00AE5755" w:rsidRPr="00C05F58" w:rsidRDefault="00AE5755" w:rsidP="006111B6">
      <w:pPr>
        <w:tabs>
          <w:tab w:val="left" w:pos="851"/>
        </w:tabs>
        <w:jc w:val="center"/>
        <w:rPr>
          <w:rFonts w:cs="Arial"/>
          <w:b/>
          <w:bCs/>
          <w:sz w:val="32"/>
          <w:szCs w:val="32"/>
          <w:lang w:val="en-GB"/>
        </w:rPr>
      </w:pPr>
      <w:r w:rsidRPr="00C05F58">
        <w:rPr>
          <w:rFonts w:cs="Arial"/>
          <w:b/>
          <w:bCs/>
          <w:sz w:val="32"/>
          <w:szCs w:val="32"/>
          <w:lang w:val="en-GB"/>
        </w:rPr>
        <w:t>Cebifox</w:t>
      </w:r>
    </w:p>
    <w:p w14:paraId="4150C73B" w14:textId="77777777" w:rsidR="00AE5755" w:rsidRPr="00C05F58" w:rsidRDefault="00AE5755" w:rsidP="0029569D">
      <w:pPr>
        <w:tabs>
          <w:tab w:val="left" w:pos="851"/>
        </w:tabs>
        <w:jc w:val="both"/>
        <w:rPr>
          <w:rFonts w:cs="Arial"/>
          <w:iCs/>
          <w:lang w:val="en-GB"/>
        </w:rPr>
      </w:pPr>
    </w:p>
    <w:p w14:paraId="52F7F6BA" w14:textId="545C6F0C" w:rsidR="00036CAE" w:rsidRPr="00C05F58" w:rsidRDefault="00AE5755" w:rsidP="00AE5755">
      <w:pPr>
        <w:tabs>
          <w:tab w:val="left" w:pos="851"/>
        </w:tabs>
        <w:jc w:val="center"/>
        <w:rPr>
          <w:rFonts w:cs="Arial"/>
          <w:iCs/>
          <w:szCs w:val="22"/>
          <w:lang w:val="en-GB"/>
        </w:rPr>
      </w:pPr>
      <w:r w:rsidRPr="00C05F58">
        <w:rPr>
          <w:rFonts w:cs="Arial"/>
          <w:iCs/>
          <w:szCs w:val="22"/>
          <w:lang w:val="en-GB"/>
        </w:rPr>
        <w:t xml:space="preserve">Open, prospective, multicenter </w:t>
      </w:r>
      <w:r w:rsidR="001C754B" w:rsidRPr="00C05F58">
        <w:rPr>
          <w:rFonts w:cs="Arial"/>
          <w:iCs/>
          <w:szCs w:val="22"/>
          <w:lang w:val="en-GB"/>
        </w:rPr>
        <w:t xml:space="preserve">single arm </w:t>
      </w:r>
      <w:r w:rsidR="008317CD" w:rsidRPr="00C05F58">
        <w:rPr>
          <w:rFonts w:cs="Arial"/>
          <w:iCs/>
          <w:szCs w:val="22"/>
          <w:lang w:val="en-GB"/>
        </w:rPr>
        <w:t xml:space="preserve">German </w:t>
      </w:r>
      <w:r w:rsidRPr="00C05F58">
        <w:rPr>
          <w:rFonts w:cs="Arial"/>
          <w:iCs/>
          <w:szCs w:val="22"/>
          <w:lang w:val="en-GB"/>
        </w:rPr>
        <w:t xml:space="preserve">phase II study testing a bi-weekly cetuximab </w:t>
      </w:r>
      <w:r w:rsidR="003C5C0A" w:rsidRPr="00C05F58">
        <w:rPr>
          <w:rFonts w:cs="Arial"/>
          <w:iCs/>
          <w:szCs w:val="22"/>
          <w:lang w:val="en-GB"/>
        </w:rPr>
        <w:t>administration</w:t>
      </w:r>
      <w:r w:rsidRPr="00C05F58">
        <w:rPr>
          <w:rFonts w:cs="Arial"/>
          <w:iCs/>
          <w:szCs w:val="22"/>
          <w:lang w:val="en-GB"/>
        </w:rPr>
        <w:t xml:space="preserve"> in combination with FOLFOX-6 regimen</w:t>
      </w:r>
    </w:p>
    <w:p w14:paraId="0DC124AD" w14:textId="77777777" w:rsidR="00036CAE" w:rsidRPr="00C05F58" w:rsidRDefault="00036CAE">
      <w:pPr>
        <w:tabs>
          <w:tab w:val="left" w:pos="851"/>
        </w:tabs>
        <w:jc w:val="both"/>
        <w:rPr>
          <w:rFonts w:cs="Arial"/>
          <w:iCs/>
          <w:sz w:val="28"/>
          <w:szCs w:val="28"/>
          <w:lang w:val="en-GB"/>
        </w:rPr>
      </w:pPr>
    </w:p>
    <w:p w14:paraId="45A8B1ED" w14:textId="77777777" w:rsidR="00036CAE" w:rsidRPr="00C05F58" w:rsidRDefault="00AE5755" w:rsidP="00A06D9C">
      <w:pPr>
        <w:tabs>
          <w:tab w:val="left" w:pos="851"/>
        </w:tabs>
        <w:spacing w:after="20"/>
        <w:jc w:val="center"/>
        <w:rPr>
          <w:rFonts w:cs="Arial"/>
          <w:b/>
          <w:bCs/>
          <w:iCs/>
          <w:lang w:val="en-GB"/>
        </w:rPr>
      </w:pPr>
      <w:r w:rsidRPr="00C05F58">
        <w:rPr>
          <w:rFonts w:cs="Arial"/>
          <w:b/>
          <w:bCs/>
          <w:iCs/>
          <w:lang w:val="en-GB"/>
        </w:rPr>
        <w:t>Name</w:t>
      </w:r>
      <w:r w:rsidR="00C91616" w:rsidRPr="00C05F58">
        <w:rPr>
          <w:rFonts w:cs="Arial"/>
          <w:b/>
          <w:bCs/>
          <w:iCs/>
          <w:lang w:val="en-GB"/>
        </w:rPr>
        <w:t xml:space="preserve"> of the investigational </w:t>
      </w:r>
      <w:r w:rsidRPr="00C05F58">
        <w:rPr>
          <w:rFonts w:cs="Arial"/>
          <w:b/>
          <w:bCs/>
          <w:iCs/>
          <w:lang w:val="en-GB"/>
        </w:rPr>
        <w:t>Drug</w:t>
      </w:r>
    </w:p>
    <w:p w14:paraId="73BEA9F6" w14:textId="77777777" w:rsidR="006111B6" w:rsidRPr="00C05F58" w:rsidRDefault="00AE5755">
      <w:pPr>
        <w:tabs>
          <w:tab w:val="left" w:pos="851"/>
        </w:tabs>
        <w:jc w:val="center"/>
        <w:rPr>
          <w:rFonts w:cs="Arial"/>
          <w:bCs/>
          <w:iCs/>
          <w:lang w:val="en-GB"/>
        </w:rPr>
      </w:pPr>
      <w:bookmarkStart w:id="0" w:name="_GoBack"/>
      <w:bookmarkEnd w:id="0"/>
      <w:r w:rsidRPr="00C05F58">
        <w:rPr>
          <w:rFonts w:cs="Arial"/>
          <w:bCs/>
          <w:iCs/>
          <w:lang w:val="en-GB"/>
        </w:rPr>
        <w:t>Cetuximab (Erbitux</w:t>
      </w:r>
      <w:r w:rsidRPr="00C05F58">
        <w:rPr>
          <w:rFonts w:cs="Arial"/>
          <w:bCs/>
          <w:iCs/>
          <w:vertAlign w:val="superscript"/>
          <w:lang w:val="en-GB"/>
        </w:rPr>
        <w:t>®</w:t>
      </w:r>
      <w:r w:rsidRPr="00C05F58">
        <w:rPr>
          <w:rFonts w:cs="Arial"/>
          <w:bCs/>
          <w:iCs/>
          <w:lang w:val="en-GB"/>
        </w:rPr>
        <w:t>)</w:t>
      </w:r>
    </w:p>
    <w:p w14:paraId="748B2C8A" w14:textId="77777777" w:rsidR="00AE5755" w:rsidRPr="00C05F58" w:rsidRDefault="00AE5755" w:rsidP="00A06D9C">
      <w:pPr>
        <w:tabs>
          <w:tab w:val="left" w:pos="851"/>
        </w:tabs>
        <w:rPr>
          <w:rFonts w:cs="Arial"/>
          <w:bCs/>
          <w:iCs/>
          <w:lang w:val="en-GB"/>
        </w:rPr>
      </w:pPr>
    </w:p>
    <w:p w14:paraId="1A3892CF" w14:textId="77777777" w:rsidR="00036CAE" w:rsidRPr="00C05F58" w:rsidRDefault="00C91616" w:rsidP="00A06D9C">
      <w:pPr>
        <w:tabs>
          <w:tab w:val="left" w:pos="851"/>
        </w:tabs>
        <w:spacing w:after="20"/>
        <w:jc w:val="center"/>
        <w:rPr>
          <w:rFonts w:cs="Arial"/>
          <w:b/>
          <w:bCs/>
          <w:iCs/>
          <w:lang w:val="en-GB"/>
        </w:rPr>
      </w:pPr>
      <w:r w:rsidRPr="00C05F58">
        <w:rPr>
          <w:rFonts w:cs="Arial"/>
          <w:b/>
          <w:bCs/>
          <w:iCs/>
          <w:lang w:val="en-GB"/>
        </w:rPr>
        <w:t>Indication</w:t>
      </w:r>
    </w:p>
    <w:p w14:paraId="0764DF9A" w14:textId="7DF9CC86" w:rsidR="00AE5755" w:rsidRPr="00C05F58" w:rsidRDefault="00AE5755" w:rsidP="00A06D9C">
      <w:pPr>
        <w:tabs>
          <w:tab w:val="left" w:pos="851"/>
        </w:tabs>
        <w:jc w:val="center"/>
        <w:rPr>
          <w:rFonts w:cs="Arial"/>
          <w:bCs/>
          <w:iCs/>
          <w:lang w:val="en-GB"/>
        </w:rPr>
      </w:pPr>
      <w:r w:rsidRPr="00C05F58">
        <w:rPr>
          <w:rFonts w:cs="Arial"/>
          <w:bCs/>
          <w:iCs/>
          <w:lang w:val="en-GB"/>
        </w:rPr>
        <w:t xml:space="preserve">Metastatic colorectal cancer with wild-type </w:t>
      </w:r>
      <w:r w:rsidR="00E90318" w:rsidRPr="00C05F58">
        <w:rPr>
          <w:rFonts w:cs="Arial"/>
          <w:bCs/>
          <w:i/>
          <w:iCs/>
          <w:lang w:val="en-GB"/>
        </w:rPr>
        <w:t>K</w:t>
      </w:r>
      <w:r w:rsidR="00FC4AD8" w:rsidRPr="00C05F58">
        <w:rPr>
          <w:rFonts w:cs="Arial"/>
          <w:bCs/>
          <w:i/>
          <w:iCs/>
          <w:lang w:val="en-GB"/>
        </w:rPr>
        <w:t>RAS</w:t>
      </w:r>
      <w:r w:rsidR="00FC4AD8" w:rsidRPr="00C05F58">
        <w:rPr>
          <w:rFonts w:cs="Arial"/>
          <w:bCs/>
          <w:iCs/>
          <w:lang w:val="en-GB"/>
        </w:rPr>
        <w:t xml:space="preserve"> </w:t>
      </w:r>
      <w:r w:rsidR="00147F2F" w:rsidRPr="00C05F58">
        <w:rPr>
          <w:rFonts w:cs="Arial"/>
          <w:bCs/>
          <w:iCs/>
          <w:lang w:val="en-GB"/>
        </w:rPr>
        <w:t xml:space="preserve">(exon 2) </w:t>
      </w:r>
      <w:r w:rsidRPr="00C05F58">
        <w:rPr>
          <w:rFonts w:cs="Arial"/>
          <w:bCs/>
          <w:iCs/>
          <w:lang w:val="en-GB"/>
        </w:rPr>
        <w:t>status</w:t>
      </w:r>
    </w:p>
    <w:p w14:paraId="43E2C69A" w14:textId="77777777" w:rsidR="00AE5755" w:rsidRPr="00C05F58" w:rsidRDefault="00AE5755" w:rsidP="00A06D9C">
      <w:pPr>
        <w:tabs>
          <w:tab w:val="left" w:pos="851"/>
        </w:tabs>
        <w:rPr>
          <w:rFonts w:cs="Arial"/>
          <w:bCs/>
          <w:iCs/>
          <w:lang w:val="en-GB"/>
        </w:rPr>
      </w:pPr>
    </w:p>
    <w:p w14:paraId="6DE9C980" w14:textId="77777777" w:rsidR="00036CAE" w:rsidRPr="00C05F58" w:rsidRDefault="005D7A6E">
      <w:pPr>
        <w:tabs>
          <w:tab w:val="left" w:pos="851"/>
        </w:tabs>
        <w:jc w:val="center"/>
        <w:rPr>
          <w:rFonts w:cs="Arial"/>
          <w:b/>
          <w:bCs/>
          <w:iCs/>
          <w:lang w:val="en-GB"/>
        </w:rPr>
      </w:pPr>
      <w:r w:rsidRPr="00C05F58">
        <w:rPr>
          <w:rFonts w:cs="Arial"/>
          <w:b/>
          <w:bCs/>
          <w:iCs/>
          <w:lang w:val="en-GB"/>
        </w:rPr>
        <w:t>Clinical trial phase II</w:t>
      </w:r>
    </w:p>
    <w:p w14:paraId="3CE41F3F" w14:textId="77777777" w:rsidR="00036CAE" w:rsidRPr="00C05F58" w:rsidRDefault="00036CAE" w:rsidP="00A06D9C">
      <w:pPr>
        <w:tabs>
          <w:tab w:val="left" w:pos="851"/>
        </w:tabs>
        <w:rPr>
          <w:rFonts w:cs="Arial"/>
          <w:iCs/>
          <w:lang w:val="en-GB"/>
        </w:rPr>
      </w:pPr>
    </w:p>
    <w:p w14:paraId="168F9585" w14:textId="77777777" w:rsidR="00036CAE" w:rsidRPr="00C05F58" w:rsidRDefault="00C91616">
      <w:pPr>
        <w:tabs>
          <w:tab w:val="left" w:pos="851"/>
        </w:tabs>
        <w:jc w:val="center"/>
        <w:rPr>
          <w:rFonts w:cs="Arial"/>
          <w:b/>
          <w:bCs/>
          <w:sz w:val="28"/>
          <w:szCs w:val="28"/>
          <w:lang w:val="en-GB"/>
        </w:rPr>
      </w:pPr>
      <w:r w:rsidRPr="00C05F58">
        <w:rPr>
          <w:rFonts w:cs="Arial"/>
          <w:b/>
          <w:bCs/>
          <w:sz w:val="28"/>
          <w:szCs w:val="28"/>
          <w:lang w:val="en-GB"/>
        </w:rPr>
        <w:t xml:space="preserve">Short </w:t>
      </w:r>
      <w:r w:rsidR="0095520A" w:rsidRPr="00C05F58">
        <w:rPr>
          <w:rFonts w:cs="Arial"/>
          <w:b/>
          <w:bCs/>
          <w:sz w:val="28"/>
          <w:szCs w:val="28"/>
          <w:lang w:val="en-GB"/>
        </w:rPr>
        <w:t xml:space="preserve">Title </w:t>
      </w:r>
      <w:r w:rsidRPr="00C05F58">
        <w:rPr>
          <w:rFonts w:cs="Arial"/>
          <w:b/>
          <w:bCs/>
          <w:sz w:val="28"/>
          <w:szCs w:val="28"/>
          <w:lang w:val="en-GB"/>
        </w:rPr>
        <w:t xml:space="preserve">/ Acronym: </w:t>
      </w:r>
      <w:r w:rsidR="00AE5755" w:rsidRPr="00C05F58">
        <w:rPr>
          <w:rFonts w:cs="Arial"/>
          <w:b/>
          <w:bCs/>
          <w:sz w:val="28"/>
          <w:szCs w:val="28"/>
          <w:lang w:val="en-GB"/>
        </w:rPr>
        <w:t>Cebifox</w:t>
      </w:r>
    </w:p>
    <w:p w14:paraId="1D67DCCB" w14:textId="77777777" w:rsidR="00AE5755" w:rsidRPr="00C05F58" w:rsidRDefault="00AE5755" w:rsidP="00A06D9C">
      <w:pPr>
        <w:tabs>
          <w:tab w:val="left" w:pos="851"/>
        </w:tabs>
        <w:rPr>
          <w:rFonts w:cs="Arial"/>
          <w:bCs/>
          <w:lang w:val="en-GB"/>
        </w:rPr>
      </w:pPr>
    </w:p>
    <w:p w14:paraId="348E2A8B" w14:textId="77777777" w:rsidR="00036CAE" w:rsidRPr="00C05F58" w:rsidRDefault="00C91616">
      <w:pPr>
        <w:tabs>
          <w:tab w:val="left" w:pos="851"/>
        </w:tabs>
        <w:jc w:val="center"/>
        <w:rPr>
          <w:rFonts w:cs="Arial"/>
          <w:b/>
          <w:bCs/>
          <w:sz w:val="28"/>
          <w:szCs w:val="28"/>
          <w:lang w:val="en-GB"/>
        </w:rPr>
      </w:pPr>
      <w:r w:rsidRPr="00C05F58">
        <w:rPr>
          <w:rFonts w:cs="Arial"/>
          <w:b/>
          <w:bCs/>
          <w:sz w:val="28"/>
          <w:szCs w:val="28"/>
          <w:lang w:val="en-GB"/>
        </w:rPr>
        <w:t xml:space="preserve">EudraCT Number: </w:t>
      </w:r>
      <w:r w:rsidR="00AE5755" w:rsidRPr="00C05F58">
        <w:rPr>
          <w:rFonts w:cs="Arial"/>
          <w:b/>
          <w:bCs/>
          <w:sz w:val="28"/>
          <w:szCs w:val="28"/>
          <w:lang w:val="en-GB"/>
        </w:rPr>
        <w:t>2007-000460-24</w:t>
      </w:r>
    </w:p>
    <w:p w14:paraId="4D02E552" w14:textId="77777777" w:rsidR="00036CAE" w:rsidRPr="00C05F58" w:rsidRDefault="00036CAE" w:rsidP="00A06D9C">
      <w:pPr>
        <w:tabs>
          <w:tab w:val="left" w:pos="851"/>
        </w:tabs>
        <w:rPr>
          <w:rFonts w:cs="Arial"/>
          <w:iCs/>
          <w:lang w:val="en-GB"/>
        </w:rPr>
      </w:pPr>
    </w:p>
    <w:p w14:paraId="032457EE" w14:textId="77777777" w:rsidR="00036CAE" w:rsidRPr="00C05F58" w:rsidRDefault="00C91616" w:rsidP="00A06D9C">
      <w:pPr>
        <w:tabs>
          <w:tab w:val="left" w:pos="851"/>
        </w:tabs>
        <w:spacing w:after="20"/>
        <w:jc w:val="center"/>
        <w:rPr>
          <w:rFonts w:cs="Arial"/>
          <w:b/>
          <w:bCs/>
          <w:sz w:val="28"/>
          <w:szCs w:val="28"/>
          <w:lang w:val="en-GB"/>
        </w:rPr>
      </w:pPr>
      <w:r w:rsidRPr="00C05F58">
        <w:rPr>
          <w:rFonts w:cs="Arial"/>
          <w:b/>
          <w:bCs/>
          <w:lang w:val="en-GB"/>
        </w:rPr>
        <w:t xml:space="preserve">Study </w:t>
      </w:r>
      <w:r w:rsidR="0095520A" w:rsidRPr="00C05F58">
        <w:rPr>
          <w:rFonts w:cs="Arial"/>
          <w:b/>
          <w:bCs/>
          <w:lang w:val="en-GB"/>
        </w:rPr>
        <w:t xml:space="preserve">start </w:t>
      </w:r>
      <w:r w:rsidRPr="00C05F58">
        <w:rPr>
          <w:rFonts w:cs="Arial"/>
          <w:b/>
          <w:bCs/>
          <w:lang w:val="en-GB"/>
        </w:rPr>
        <w:t xml:space="preserve">date – study </w:t>
      </w:r>
      <w:r w:rsidR="0095520A" w:rsidRPr="00C05F58">
        <w:rPr>
          <w:rFonts w:cs="Arial"/>
          <w:b/>
          <w:bCs/>
          <w:lang w:val="en-GB"/>
        </w:rPr>
        <w:t xml:space="preserve">end </w:t>
      </w:r>
      <w:r w:rsidRPr="00C05F58">
        <w:rPr>
          <w:rFonts w:cs="Arial"/>
          <w:b/>
          <w:bCs/>
          <w:lang w:val="en-GB"/>
        </w:rPr>
        <w:t>date</w:t>
      </w:r>
    </w:p>
    <w:p w14:paraId="244DF079" w14:textId="77777777" w:rsidR="00036CAE" w:rsidRPr="00C05F58" w:rsidRDefault="005D7A6E" w:rsidP="00A57167">
      <w:pPr>
        <w:tabs>
          <w:tab w:val="left" w:pos="851"/>
        </w:tabs>
        <w:jc w:val="center"/>
        <w:rPr>
          <w:rFonts w:cs="Arial"/>
          <w:iCs/>
          <w:lang w:val="en-GB"/>
        </w:rPr>
      </w:pPr>
      <w:r w:rsidRPr="00C05F58">
        <w:rPr>
          <w:rFonts w:cs="Arial"/>
          <w:iCs/>
          <w:lang w:val="en-GB"/>
        </w:rPr>
        <w:t>First patient in:</w:t>
      </w:r>
      <w:r w:rsidR="00A57167" w:rsidRPr="00C05F58">
        <w:rPr>
          <w:lang w:val="en-GB"/>
        </w:rPr>
        <w:t xml:space="preserve"> </w:t>
      </w:r>
      <w:r w:rsidR="00A57167" w:rsidRPr="00C05F58">
        <w:rPr>
          <w:rFonts w:cs="Arial"/>
          <w:iCs/>
          <w:lang w:val="en-GB"/>
        </w:rPr>
        <w:t>14-Aug-2009 – Last patient out: 23-Sep-2016</w:t>
      </w:r>
    </w:p>
    <w:p w14:paraId="5D0F0F79" w14:textId="77777777" w:rsidR="00036CAE" w:rsidRPr="00C05F58" w:rsidRDefault="00036CAE">
      <w:pPr>
        <w:tabs>
          <w:tab w:val="left" w:pos="851"/>
        </w:tabs>
        <w:jc w:val="both"/>
        <w:rPr>
          <w:rFonts w:cs="Arial"/>
          <w:bCs/>
          <w:lang w:val="en-GB"/>
        </w:rPr>
      </w:pPr>
    </w:p>
    <w:p w14:paraId="25D18AAC" w14:textId="77777777" w:rsidR="006111B6" w:rsidRPr="00C05F58" w:rsidRDefault="006111B6">
      <w:pPr>
        <w:tabs>
          <w:tab w:val="left" w:pos="851"/>
        </w:tabs>
        <w:jc w:val="center"/>
        <w:rPr>
          <w:rFonts w:cs="Arial"/>
          <w:bCs/>
          <w:sz w:val="40"/>
          <w:szCs w:val="40"/>
          <w:u w:val="single"/>
          <w:lang w:val="en-GB"/>
        </w:rPr>
      </w:pPr>
    </w:p>
    <w:p w14:paraId="72C1A9AB" w14:textId="6B36F30E" w:rsidR="00036CAE" w:rsidRPr="00C05F58" w:rsidRDefault="00C91616">
      <w:pPr>
        <w:tabs>
          <w:tab w:val="left" w:pos="851"/>
        </w:tabs>
        <w:jc w:val="center"/>
        <w:rPr>
          <w:rFonts w:cs="Arial"/>
          <w:b/>
          <w:bCs/>
          <w:sz w:val="40"/>
          <w:szCs w:val="40"/>
          <w:u w:val="single"/>
          <w:lang w:val="en-GB"/>
        </w:rPr>
      </w:pPr>
      <w:r w:rsidRPr="00C05F58">
        <w:rPr>
          <w:rFonts w:cs="Arial"/>
          <w:b/>
          <w:bCs/>
          <w:sz w:val="40"/>
          <w:szCs w:val="40"/>
          <w:u w:val="single"/>
          <w:lang w:val="en-GB"/>
        </w:rPr>
        <w:t>Clinical Study Report</w:t>
      </w:r>
    </w:p>
    <w:p w14:paraId="0A970660" w14:textId="77777777" w:rsidR="00036CAE" w:rsidRPr="00C05F58" w:rsidRDefault="00036CAE">
      <w:pPr>
        <w:tabs>
          <w:tab w:val="left" w:pos="851"/>
        </w:tabs>
        <w:jc w:val="center"/>
        <w:rPr>
          <w:rFonts w:cs="Arial"/>
          <w:bCs/>
          <w:sz w:val="28"/>
          <w:szCs w:val="28"/>
          <w:lang w:val="en-GB"/>
        </w:rPr>
      </w:pPr>
    </w:p>
    <w:p w14:paraId="5EDC5116" w14:textId="77777777" w:rsidR="00AE5755" w:rsidRPr="00C05F58" w:rsidRDefault="00AE5755" w:rsidP="0029569D">
      <w:pPr>
        <w:tabs>
          <w:tab w:val="left" w:pos="851"/>
        </w:tabs>
        <w:rPr>
          <w:rFonts w:cs="Arial"/>
          <w:bCs/>
          <w:sz w:val="28"/>
          <w:szCs w:val="28"/>
          <w:lang w:val="en-GB"/>
        </w:rPr>
      </w:pPr>
    </w:p>
    <w:p w14:paraId="451FAC62" w14:textId="77777777" w:rsidR="00036CAE" w:rsidRPr="00C05F58" w:rsidRDefault="00C91616">
      <w:pPr>
        <w:tabs>
          <w:tab w:val="left" w:pos="851"/>
        </w:tabs>
        <w:jc w:val="center"/>
        <w:rPr>
          <w:rFonts w:cs="Arial"/>
          <w:b/>
          <w:bCs/>
          <w:sz w:val="32"/>
          <w:szCs w:val="32"/>
          <w:lang w:val="en-GB"/>
        </w:rPr>
      </w:pPr>
      <w:r w:rsidRPr="00C05F58">
        <w:rPr>
          <w:rFonts w:cs="Arial"/>
          <w:b/>
          <w:bCs/>
          <w:sz w:val="32"/>
          <w:szCs w:val="32"/>
          <w:lang w:val="en-GB"/>
        </w:rPr>
        <w:t>Sponsor of the Clinical Trial:</w:t>
      </w:r>
    </w:p>
    <w:p w14:paraId="6B24FAF3" w14:textId="77777777" w:rsidR="006111B6" w:rsidRPr="00E86759" w:rsidRDefault="006111B6" w:rsidP="006111B6">
      <w:pPr>
        <w:tabs>
          <w:tab w:val="left" w:pos="851"/>
        </w:tabs>
        <w:rPr>
          <w:rFonts w:cs="Arial"/>
          <w:iCs/>
          <w:szCs w:val="22"/>
        </w:rPr>
      </w:pPr>
      <w:r w:rsidRPr="00C05F58">
        <w:rPr>
          <w:rFonts w:cs="Arial"/>
          <w:iCs/>
          <w:szCs w:val="22"/>
          <w:lang w:val="en-GB"/>
        </w:rPr>
        <w:tab/>
      </w:r>
      <w:r w:rsidRPr="00C05F58">
        <w:rPr>
          <w:rFonts w:cs="Arial"/>
          <w:iCs/>
          <w:szCs w:val="22"/>
          <w:lang w:val="en-GB"/>
        </w:rPr>
        <w:tab/>
      </w:r>
      <w:r w:rsidRPr="00C05F58">
        <w:rPr>
          <w:rFonts w:cs="Arial"/>
          <w:iCs/>
          <w:szCs w:val="22"/>
          <w:lang w:val="en-GB"/>
        </w:rPr>
        <w:tab/>
      </w:r>
      <w:r w:rsidRPr="00C05F58">
        <w:rPr>
          <w:rFonts w:cs="Arial"/>
          <w:iCs/>
          <w:szCs w:val="22"/>
          <w:lang w:val="en-GB"/>
        </w:rPr>
        <w:tab/>
      </w:r>
      <w:r w:rsidRPr="00E86759">
        <w:rPr>
          <w:rFonts w:cs="Arial"/>
          <w:iCs/>
          <w:szCs w:val="22"/>
        </w:rPr>
        <w:t>University of Duisburg-Essen</w:t>
      </w:r>
    </w:p>
    <w:p w14:paraId="04BC23D5" w14:textId="77777777" w:rsidR="006111B6" w:rsidRPr="00E86759" w:rsidRDefault="006111B6" w:rsidP="006111B6">
      <w:pPr>
        <w:tabs>
          <w:tab w:val="left" w:pos="851"/>
        </w:tabs>
        <w:rPr>
          <w:rFonts w:cs="Arial"/>
          <w:iCs/>
          <w:szCs w:val="22"/>
        </w:rPr>
      </w:pPr>
      <w:r w:rsidRPr="00E86759">
        <w:rPr>
          <w:rFonts w:cs="Arial"/>
          <w:iCs/>
          <w:szCs w:val="22"/>
        </w:rPr>
        <w:tab/>
      </w:r>
      <w:r w:rsidRPr="00E86759">
        <w:rPr>
          <w:rFonts w:cs="Arial"/>
          <w:iCs/>
          <w:szCs w:val="22"/>
        </w:rPr>
        <w:tab/>
      </w:r>
      <w:r w:rsidRPr="00E86759">
        <w:rPr>
          <w:rFonts w:cs="Arial"/>
          <w:iCs/>
          <w:szCs w:val="22"/>
        </w:rPr>
        <w:tab/>
      </w:r>
      <w:r w:rsidRPr="00E86759">
        <w:rPr>
          <w:rFonts w:cs="Arial"/>
          <w:iCs/>
          <w:szCs w:val="22"/>
        </w:rPr>
        <w:tab/>
        <w:t>Hufelandstraße 55</w:t>
      </w:r>
    </w:p>
    <w:p w14:paraId="40B7570E" w14:textId="77777777" w:rsidR="00036CAE" w:rsidRPr="00E86759" w:rsidRDefault="006111B6" w:rsidP="006111B6">
      <w:pPr>
        <w:tabs>
          <w:tab w:val="left" w:pos="851"/>
        </w:tabs>
        <w:rPr>
          <w:rFonts w:cs="Arial"/>
          <w:iCs/>
          <w:szCs w:val="22"/>
          <w:lang w:val="en-US"/>
        </w:rPr>
      </w:pPr>
      <w:r w:rsidRPr="00E86759">
        <w:rPr>
          <w:rFonts w:cs="Arial"/>
          <w:iCs/>
          <w:szCs w:val="22"/>
        </w:rPr>
        <w:tab/>
      </w:r>
      <w:r w:rsidRPr="00E86759">
        <w:rPr>
          <w:rFonts w:cs="Arial"/>
          <w:iCs/>
          <w:szCs w:val="22"/>
        </w:rPr>
        <w:tab/>
      </w:r>
      <w:r w:rsidRPr="00E86759">
        <w:rPr>
          <w:rFonts w:cs="Arial"/>
          <w:iCs/>
          <w:szCs w:val="22"/>
        </w:rPr>
        <w:tab/>
      </w:r>
      <w:r w:rsidRPr="00E86759">
        <w:rPr>
          <w:rFonts w:cs="Arial"/>
          <w:iCs/>
          <w:szCs w:val="22"/>
        </w:rPr>
        <w:tab/>
      </w:r>
      <w:r w:rsidR="00A57167" w:rsidRPr="00E86759">
        <w:rPr>
          <w:rFonts w:cs="Arial"/>
          <w:iCs/>
          <w:szCs w:val="22"/>
          <w:lang w:val="en-US"/>
        </w:rPr>
        <w:t xml:space="preserve">D-45122 Essen, </w:t>
      </w:r>
      <w:r w:rsidRPr="00E86759">
        <w:rPr>
          <w:rFonts w:cs="Arial"/>
          <w:iCs/>
          <w:szCs w:val="22"/>
          <w:lang w:val="en-US"/>
        </w:rPr>
        <w:t>Germany</w:t>
      </w:r>
    </w:p>
    <w:p w14:paraId="54938229" w14:textId="7217914B" w:rsidR="00AE5755" w:rsidRPr="00C05F58" w:rsidRDefault="00AE5755" w:rsidP="006111B6">
      <w:pPr>
        <w:tabs>
          <w:tab w:val="left" w:pos="851"/>
        </w:tabs>
        <w:rPr>
          <w:rFonts w:cs="Arial"/>
          <w:iCs/>
          <w:szCs w:val="22"/>
          <w:lang w:val="en-GB"/>
        </w:rPr>
      </w:pPr>
      <w:r w:rsidRPr="00E86759">
        <w:rPr>
          <w:rFonts w:cs="Arial"/>
          <w:iCs/>
          <w:szCs w:val="22"/>
          <w:lang w:val="en-US"/>
        </w:rPr>
        <w:tab/>
      </w:r>
      <w:r w:rsidRPr="00E86759">
        <w:rPr>
          <w:rFonts w:cs="Arial"/>
          <w:iCs/>
          <w:szCs w:val="22"/>
          <w:lang w:val="en-US"/>
        </w:rPr>
        <w:tab/>
      </w:r>
      <w:r w:rsidRPr="00E86759">
        <w:rPr>
          <w:rFonts w:cs="Arial"/>
          <w:iCs/>
          <w:szCs w:val="22"/>
          <w:lang w:val="en-US"/>
        </w:rPr>
        <w:tab/>
      </w:r>
      <w:r w:rsidRPr="00E86759">
        <w:rPr>
          <w:rFonts w:cs="Arial"/>
          <w:iCs/>
          <w:szCs w:val="22"/>
          <w:lang w:val="en-US"/>
        </w:rPr>
        <w:tab/>
      </w:r>
      <w:r w:rsidR="00242750" w:rsidRPr="00C05F58">
        <w:rPr>
          <w:rFonts w:cs="Arial"/>
          <w:iCs/>
          <w:szCs w:val="22"/>
          <w:lang w:val="en-GB"/>
        </w:rPr>
        <w:t>Phone</w:t>
      </w:r>
      <w:r w:rsidRPr="00C05F58">
        <w:rPr>
          <w:rFonts w:cs="Arial"/>
          <w:iCs/>
          <w:szCs w:val="22"/>
          <w:lang w:val="en-GB"/>
        </w:rPr>
        <w:t>: 0201 / 723-20 00</w:t>
      </w:r>
    </w:p>
    <w:p w14:paraId="39F54313" w14:textId="77777777" w:rsidR="00AE5755" w:rsidRPr="00C05F58" w:rsidRDefault="00AE5755" w:rsidP="006111B6">
      <w:pPr>
        <w:tabs>
          <w:tab w:val="left" w:pos="851"/>
        </w:tabs>
        <w:rPr>
          <w:rFonts w:cs="Arial"/>
          <w:iCs/>
          <w:szCs w:val="22"/>
          <w:lang w:val="en-GB"/>
        </w:rPr>
      </w:pPr>
      <w:r w:rsidRPr="00C05F58">
        <w:rPr>
          <w:rFonts w:cs="Arial"/>
          <w:iCs/>
          <w:szCs w:val="22"/>
          <w:lang w:val="en-GB"/>
        </w:rPr>
        <w:tab/>
      </w:r>
      <w:r w:rsidRPr="00C05F58">
        <w:rPr>
          <w:rFonts w:cs="Arial"/>
          <w:iCs/>
          <w:szCs w:val="22"/>
          <w:lang w:val="en-GB"/>
        </w:rPr>
        <w:tab/>
      </w:r>
      <w:r w:rsidRPr="00C05F58">
        <w:rPr>
          <w:rFonts w:cs="Arial"/>
          <w:iCs/>
          <w:szCs w:val="22"/>
          <w:lang w:val="en-GB"/>
        </w:rPr>
        <w:tab/>
      </w:r>
      <w:r w:rsidRPr="00C05F58">
        <w:rPr>
          <w:rFonts w:cs="Arial"/>
          <w:iCs/>
          <w:szCs w:val="22"/>
          <w:lang w:val="en-GB"/>
        </w:rPr>
        <w:tab/>
        <w:t>Email: martin.schuler@uk-essen.de</w:t>
      </w:r>
    </w:p>
    <w:p w14:paraId="111B0420" w14:textId="77777777" w:rsidR="00036CAE" w:rsidRPr="00C05F58" w:rsidRDefault="00036CAE">
      <w:pPr>
        <w:tabs>
          <w:tab w:val="left" w:pos="851"/>
        </w:tabs>
        <w:jc w:val="center"/>
        <w:rPr>
          <w:rFonts w:cs="Arial"/>
          <w:lang w:val="en-GB"/>
        </w:rPr>
      </w:pPr>
    </w:p>
    <w:p w14:paraId="5479F965" w14:textId="77777777" w:rsidR="00036CAE" w:rsidRPr="00C05F58" w:rsidRDefault="00C91616">
      <w:pPr>
        <w:tabs>
          <w:tab w:val="left" w:pos="851"/>
        </w:tabs>
        <w:jc w:val="center"/>
        <w:rPr>
          <w:rFonts w:cs="Arial"/>
          <w:b/>
          <w:bCs/>
          <w:sz w:val="32"/>
          <w:szCs w:val="32"/>
          <w:lang w:val="en-GB"/>
        </w:rPr>
      </w:pPr>
      <w:r w:rsidRPr="00C05F58">
        <w:rPr>
          <w:rFonts w:cs="Arial"/>
          <w:b/>
          <w:bCs/>
          <w:sz w:val="32"/>
          <w:szCs w:val="32"/>
          <w:lang w:val="en-GB"/>
        </w:rPr>
        <w:t>National Coordinat</w:t>
      </w:r>
      <w:r w:rsidR="00A52A5F" w:rsidRPr="00C05F58">
        <w:rPr>
          <w:rFonts w:cs="Arial"/>
          <w:b/>
          <w:bCs/>
          <w:sz w:val="32"/>
          <w:szCs w:val="32"/>
          <w:lang w:val="en-GB"/>
        </w:rPr>
        <w:t>ing Investigator</w:t>
      </w:r>
      <w:r w:rsidRPr="00C05F58">
        <w:rPr>
          <w:rFonts w:cs="Arial"/>
          <w:b/>
          <w:bCs/>
          <w:sz w:val="32"/>
          <w:szCs w:val="32"/>
          <w:lang w:val="en-GB"/>
        </w:rPr>
        <w:t xml:space="preserve"> / Investigator:</w:t>
      </w:r>
    </w:p>
    <w:p w14:paraId="66617340" w14:textId="77777777" w:rsidR="006111B6" w:rsidRPr="00C05F58" w:rsidRDefault="006111B6" w:rsidP="006111B6">
      <w:pPr>
        <w:pStyle w:val="c5"/>
        <w:tabs>
          <w:tab w:val="left" w:pos="851"/>
        </w:tabs>
        <w:ind w:right="-709"/>
        <w:jc w:val="left"/>
        <w:rPr>
          <w:rFonts w:cs="Arial"/>
          <w:iCs/>
          <w:szCs w:val="22"/>
          <w:lang w:val="en-GB"/>
        </w:rPr>
      </w:pPr>
      <w:r w:rsidRPr="00C05F58">
        <w:rPr>
          <w:rFonts w:cs="Arial"/>
          <w:iCs/>
          <w:szCs w:val="22"/>
          <w:lang w:val="en-GB"/>
        </w:rPr>
        <w:tab/>
      </w:r>
      <w:r w:rsidRPr="00C05F58">
        <w:rPr>
          <w:rFonts w:cs="Arial"/>
          <w:iCs/>
          <w:szCs w:val="22"/>
          <w:lang w:val="en-GB"/>
        </w:rPr>
        <w:tab/>
      </w:r>
      <w:r w:rsidRPr="00C05F58">
        <w:rPr>
          <w:rFonts w:cs="Arial"/>
          <w:iCs/>
          <w:szCs w:val="22"/>
          <w:lang w:val="en-GB"/>
        </w:rPr>
        <w:tab/>
      </w:r>
      <w:r w:rsidRPr="00C05F58">
        <w:rPr>
          <w:rFonts w:cs="Arial"/>
          <w:iCs/>
          <w:szCs w:val="22"/>
          <w:lang w:val="en-GB"/>
        </w:rPr>
        <w:tab/>
        <w:t>Prof. Dr. med. Martin Schuler</w:t>
      </w:r>
    </w:p>
    <w:p w14:paraId="438F5D1B" w14:textId="77777777" w:rsidR="006111B6" w:rsidRPr="00C05F58" w:rsidRDefault="006111B6" w:rsidP="006111B6">
      <w:pPr>
        <w:pStyle w:val="c5"/>
        <w:tabs>
          <w:tab w:val="left" w:pos="851"/>
        </w:tabs>
        <w:ind w:right="-709"/>
        <w:jc w:val="left"/>
        <w:rPr>
          <w:rFonts w:cs="Arial"/>
          <w:iCs/>
          <w:szCs w:val="22"/>
          <w:lang w:val="en-GB"/>
        </w:rPr>
      </w:pPr>
      <w:r w:rsidRPr="00C05F58">
        <w:rPr>
          <w:rFonts w:cs="Arial"/>
          <w:iCs/>
          <w:szCs w:val="22"/>
          <w:lang w:val="en-GB"/>
        </w:rPr>
        <w:tab/>
      </w:r>
      <w:r w:rsidRPr="00C05F58">
        <w:rPr>
          <w:rFonts w:cs="Arial"/>
          <w:iCs/>
          <w:szCs w:val="22"/>
          <w:lang w:val="en-GB"/>
        </w:rPr>
        <w:tab/>
      </w:r>
      <w:r w:rsidRPr="00C05F58">
        <w:rPr>
          <w:rFonts w:cs="Arial"/>
          <w:iCs/>
          <w:szCs w:val="22"/>
          <w:lang w:val="en-GB"/>
        </w:rPr>
        <w:tab/>
      </w:r>
      <w:r w:rsidRPr="00C05F58">
        <w:rPr>
          <w:rFonts w:cs="Arial"/>
          <w:iCs/>
          <w:szCs w:val="22"/>
          <w:lang w:val="en-GB"/>
        </w:rPr>
        <w:tab/>
        <w:t>University of Duisburg-Essen Medical School</w:t>
      </w:r>
    </w:p>
    <w:p w14:paraId="6DF39C23" w14:textId="77777777" w:rsidR="006111B6" w:rsidRPr="00C05F58" w:rsidRDefault="006111B6" w:rsidP="006111B6">
      <w:pPr>
        <w:pStyle w:val="c5"/>
        <w:tabs>
          <w:tab w:val="left" w:pos="851"/>
        </w:tabs>
        <w:ind w:left="2836" w:right="-709"/>
        <w:jc w:val="left"/>
        <w:rPr>
          <w:rFonts w:cs="Arial"/>
          <w:iCs/>
          <w:szCs w:val="22"/>
          <w:lang w:val="en-GB"/>
        </w:rPr>
      </w:pPr>
      <w:r w:rsidRPr="00C05F58">
        <w:rPr>
          <w:rFonts w:cs="Arial"/>
          <w:iCs/>
          <w:szCs w:val="22"/>
          <w:lang w:val="en-GB"/>
        </w:rPr>
        <w:t>West German Cancer Center</w:t>
      </w:r>
    </w:p>
    <w:p w14:paraId="35B9E7EC" w14:textId="77777777" w:rsidR="006111B6" w:rsidRPr="00C05F58" w:rsidRDefault="006111B6" w:rsidP="006111B6">
      <w:pPr>
        <w:pStyle w:val="c5"/>
        <w:tabs>
          <w:tab w:val="left" w:pos="851"/>
        </w:tabs>
        <w:ind w:left="2836" w:right="-709"/>
        <w:jc w:val="left"/>
        <w:rPr>
          <w:rFonts w:cs="Arial"/>
          <w:iCs/>
          <w:szCs w:val="22"/>
          <w:lang w:val="en-GB"/>
        </w:rPr>
      </w:pPr>
      <w:r w:rsidRPr="00C05F58">
        <w:rPr>
          <w:rFonts w:cs="Arial"/>
          <w:iCs/>
          <w:szCs w:val="22"/>
          <w:lang w:val="en-GB"/>
        </w:rPr>
        <w:t>Hufelandstraße 55</w:t>
      </w:r>
    </w:p>
    <w:p w14:paraId="3803104B" w14:textId="77777777" w:rsidR="006111B6" w:rsidRPr="00C05F58" w:rsidRDefault="00A57167" w:rsidP="00A57167">
      <w:pPr>
        <w:pStyle w:val="c5"/>
        <w:tabs>
          <w:tab w:val="left" w:pos="851"/>
        </w:tabs>
        <w:ind w:left="2836" w:right="-709"/>
        <w:jc w:val="left"/>
        <w:rPr>
          <w:rFonts w:cs="Arial"/>
          <w:iCs/>
          <w:szCs w:val="22"/>
          <w:lang w:val="en-GB"/>
        </w:rPr>
      </w:pPr>
      <w:r w:rsidRPr="00C05F58">
        <w:rPr>
          <w:rFonts w:cs="Arial"/>
          <w:iCs/>
          <w:szCs w:val="22"/>
          <w:lang w:val="en-GB"/>
        </w:rPr>
        <w:t xml:space="preserve">D-45122 Essen, </w:t>
      </w:r>
      <w:r w:rsidR="006111B6" w:rsidRPr="00C05F58">
        <w:rPr>
          <w:rFonts w:cs="Arial"/>
          <w:iCs/>
          <w:szCs w:val="22"/>
          <w:lang w:val="en-GB"/>
        </w:rPr>
        <w:t>Germany</w:t>
      </w:r>
    </w:p>
    <w:p w14:paraId="6894D2A1" w14:textId="35A7AE07" w:rsidR="006111B6" w:rsidRPr="00C05F58" w:rsidRDefault="00242750" w:rsidP="006111B6">
      <w:pPr>
        <w:pStyle w:val="c5"/>
        <w:tabs>
          <w:tab w:val="left" w:pos="851"/>
        </w:tabs>
        <w:ind w:left="2836" w:right="-709"/>
        <w:jc w:val="left"/>
        <w:rPr>
          <w:rFonts w:cs="Arial"/>
          <w:iCs/>
          <w:szCs w:val="22"/>
          <w:lang w:val="en-GB"/>
        </w:rPr>
      </w:pPr>
      <w:r w:rsidRPr="00C05F58">
        <w:rPr>
          <w:rFonts w:cs="Arial"/>
          <w:iCs/>
          <w:szCs w:val="22"/>
          <w:lang w:val="en-GB"/>
        </w:rPr>
        <w:t>Phone</w:t>
      </w:r>
      <w:r w:rsidR="00AE5755" w:rsidRPr="00C05F58">
        <w:rPr>
          <w:rFonts w:cs="Arial"/>
          <w:iCs/>
          <w:szCs w:val="22"/>
          <w:lang w:val="en-GB"/>
        </w:rPr>
        <w:t>: 02</w:t>
      </w:r>
      <w:r w:rsidR="006111B6" w:rsidRPr="00C05F58">
        <w:rPr>
          <w:rFonts w:cs="Arial"/>
          <w:iCs/>
          <w:szCs w:val="22"/>
          <w:lang w:val="en-GB"/>
        </w:rPr>
        <w:t>01 / 723-20 00</w:t>
      </w:r>
    </w:p>
    <w:p w14:paraId="30614BF9" w14:textId="77777777" w:rsidR="006111B6" w:rsidRPr="00C05F58" w:rsidRDefault="00AE5755" w:rsidP="006111B6">
      <w:pPr>
        <w:pStyle w:val="c5"/>
        <w:tabs>
          <w:tab w:val="left" w:pos="851"/>
        </w:tabs>
        <w:ind w:left="2836" w:right="-709"/>
        <w:jc w:val="left"/>
        <w:rPr>
          <w:rFonts w:cs="Arial"/>
          <w:iCs/>
          <w:szCs w:val="22"/>
          <w:lang w:val="en-GB"/>
        </w:rPr>
      </w:pPr>
      <w:r w:rsidRPr="00C05F58">
        <w:rPr>
          <w:rFonts w:cs="Arial"/>
          <w:iCs/>
          <w:szCs w:val="22"/>
          <w:lang w:val="en-GB"/>
        </w:rPr>
        <w:t>Fax: 02</w:t>
      </w:r>
      <w:r w:rsidR="006111B6" w:rsidRPr="00C05F58">
        <w:rPr>
          <w:rFonts w:cs="Arial"/>
          <w:iCs/>
          <w:szCs w:val="22"/>
          <w:lang w:val="en-GB"/>
        </w:rPr>
        <w:t>01 / 723-59 24</w:t>
      </w:r>
    </w:p>
    <w:p w14:paraId="1FAC4F00" w14:textId="22A3FE04" w:rsidR="00036CAE" w:rsidRPr="00C05F58" w:rsidRDefault="006111B6" w:rsidP="00A57167">
      <w:pPr>
        <w:pStyle w:val="c5"/>
        <w:widowControl/>
        <w:tabs>
          <w:tab w:val="left" w:pos="851"/>
        </w:tabs>
        <w:spacing w:line="240" w:lineRule="auto"/>
        <w:ind w:left="2836" w:right="-709"/>
        <w:jc w:val="left"/>
        <w:rPr>
          <w:rFonts w:cs="Arial"/>
          <w:iCs/>
          <w:szCs w:val="22"/>
          <w:lang w:val="en-GB"/>
        </w:rPr>
      </w:pPr>
      <w:r w:rsidRPr="00C05F58">
        <w:rPr>
          <w:rFonts w:cs="Arial"/>
          <w:iCs/>
          <w:szCs w:val="22"/>
          <w:lang w:val="en-GB"/>
        </w:rPr>
        <w:t xml:space="preserve">Email: </w:t>
      </w:r>
      <w:r w:rsidR="00AB207B" w:rsidRPr="00AB207B">
        <w:rPr>
          <w:rFonts w:cs="Arial"/>
          <w:iCs/>
          <w:szCs w:val="22"/>
          <w:lang w:val="en-GB"/>
        </w:rPr>
        <w:t>martin.schuler@uk-essen.de</w:t>
      </w:r>
    </w:p>
    <w:p w14:paraId="305F67AD" w14:textId="77777777" w:rsidR="0029569D" w:rsidRPr="00C05F58" w:rsidRDefault="0029569D" w:rsidP="00A57167">
      <w:pPr>
        <w:pStyle w:val="c5"/>
        <w:widowControl/>
        <w:tabs>
          <w:tab w:val="left" w:pos="851"/>
        </w:tabs>
        <w:spacing w:line="240" w:lineRule="auto"/>
        <w:ind w:left="2836" w:right="-709"/>
        <w:jc w:val="left"/>
        <w:rPr>
          <w:rFonts w:cs="Arial"/>
          <w:iCs/>
          <w:szCs w:val="22"/>
          <w:lang w:val="en-GB"/>
        </w:rPr>
      </w:pPr>
    </w:p>
    <w:p w14:paraId="571925EC" w14:textId="77777777" w:rsidR="0029569D" w:rsidRPr="00C05F58" w:rsidRDefault="0029569D" w:rsidP="0029569D">
      <w:pPr>
        <w:pStyle w:val="c5"/>
        <w:widowControl/>
        <w:tabs>
          <w:tab w:val="left" w:pos="851"/>
        </w:tabs>
        <w:spacing w:line="240" w:lineRule="auto"/>
        <w:ind w:right="-709"/>
        <w:rPr>
          <w:rFonts w:cs="Arial"/>
          <w:iCs/>
          <w:szCs w:val="22"/>
          <w:lang w:val="en-GB"/>
        </w:rPr>
      </w:pPr>
    </w:p>
    <w:p w14:paraId="7AD0B2E9" w14:textId="77777777" w:rsidR="0029569D" w:rsidRPr="00C05F58" w:rsidRDefault="0029569D" w:rsidP="0029569D">
      <w:pPr>
        <w:tabs>
          <w:tab w:val="left" w:pos="851"/>
        </w:tabs>
        <w:jc w:val="center"/>
        <w:rPr>
          <w:rFonts w:cs="Arial"/>
          <w:b/>
          <w:bCs/>
          <w:sz w:val="28"/>
          <w:szCs w:val="28"/>
          <w:lang w:val="en-GB"/>
        </w:rPr>
      </w:pPr>
      <w:r w:rsidRPr="00C05F58">
        <w:rPr>
          <w:rFonts w:cs="Arial"/>
          <w:b/>
          <w:bCs/>
          <w:sz w:val="28"/>
          <w:szCs w:val="28"/>
          <w:lang w:val="en-GB"/>
        </w:rPr>
        <w:t xml:space="preserve">Version </w:t>
      </w:r>
      <w:r w:rsidR="0045361F" w:rsidRPr="00C05F58">
        <w:rPr>
          <w:rFonts w:cs="Arial"/>
          <w:b/>
          <w:bCs/>
          <w:sz w:val="28"/>
          <w:szCs w:val="28"/>
          <w:lang w:val="en-GB"/>
        </w:rPr>
        <w:t>1</w:t>
      </w:r>
      <w:r w:rsidRPr="00C05F58">
        <w:rPr>
          <w:rFonts w:cs="Arial"/>
          <w:b/>
          <w:bCs/>
          <w:sz w:val="28"/>
          <w:szCs w:val="28"/>
          <w:lang w:val="en-GB"/>
        </w:rPr>
        <w:t>.</w:t>
      </w:r>
      <w:r w:rsidR="00810E76">
        <w:rPr>
          <w:rFonts w:cs="Arial"/>
          <w:b/>
          <w:bCs/>
          <w:sz w:val="28"/>
          <w:szCs w:val="28"/>
          <w:lang w:val="en-GB"/>
        </w:rPr>
        <w:t>1</w:t>
      </w:r>
      <w:r w:rsidR="00DD1043" w:rsidRPr="00C05F58">
        <w:rPr>
          <w:rFonts w:cs="Arial"/>
          <w:b/>
          <w:bCs/>
          <w:sz w:val="28"/>
          <w:szCs w:val="28"/>
          <w:lang w:val="en-GB"/>
        </w:rPr>
        <w:t xml:space="preserve"> </w:t>
      </w:r>
      <w:r w:rsidR="0045361F" w:rsidRPr="00C05F58">
        <w:rPr>
          <w:rFonts w:cs="Arial"/>
          <w:b/>
          <w:bCs/>
          <w:sz w:val="28"/>
          <w:szCs w:val="28"/>
          <w:lang w:val="en-GB"/>
        </w:rPr>
        <w:t>final</w:t>
      </w:r>
      <w:r w:rsidRPr="00C05F58">
        <w:rPr>
          <w:rFonts w:cs="Arial"/>
          <w:b/>
          <w:bCs/>
          <w:sz w:val="28"/>
          <w:szCs w:val="28"/>
          <w:lang w:val="en-GB"/>
        </w:rPr>
        <w:t xml:space="preserve">, dated </w:t>
      </w:r>
      <w:r w:rsidR="00916AC3">
        <w:rPr>
          <w:rFonts w:cs="Arial"/>
          <w:b/>
          <w:bCs/>
          <w:sz w:val="28"/>
          <w:szCs w:val="28"/>
          <w:lang w:val="en-GB"/>
        </w:rPr>
        <w:t>14</w:t>
      </w:r>
      <w:r w:rsidR="00024BF7">
        <w:rPr>
          <w:rFonts w:cs="Arial"/>
          <w:b/>
          <w:bCs/>
          <w:sz w:val="28"/>
          <w:szCs w:val="28"/>
          <w:lang w:val="en-GB"/>
        </w:rPr>
        <w:t>Oct</w:t>
      </w:r>
      <w:r w:rsidRPr="00C05F58">
        <w:rPr>
          <w:rFonts w:cs="Arial"/>
          <w:b/>
          <w:bCs/>
          <w:sz w:val="28"/>
          <w:szCs w:val="28"/>
          <w:lang w:val="en-GB"/>
        </w:rPr>
        <w:t>-201</w:t>
      </w:r>
      <w:r w:rsidR="0045361F" w:rsidRPr="00C05F58">
        <w:rPr>
          <w:rFonts w:cs="Arial"/>
          <w:b/>
          <w:bCs/>
          <w:sz w:val="28"/>
          <w:szCs w:val="28"/>
          <w:lang w:val="en-GB"/>
        </w:rPr>
        <w:t>9</w:t>
      </w:r>
    </w:p>
    <w:p w14:paraId="336C8F3A" w14:textId="77777777" w:rsidR="00036CAE" w:rsidRPr="00C05F58" w:rsidRDefault="00C91616" w:rsidP="003C4298">
      <w:pPr>
        <w:pStyle w:val="berschrift1"/>
        <w:numPr>
          <w:ilvl w:val="0"/>
          <w:numId w:val="0"/>
        </w:numPr>
        <w:rPr>
          <w:rFonts w:cs="Arial"/>
          <w:lang w:val="en-GB"/>
        </w:rPr>
      </w:pPr>
      <w:r w:rsidRPr="00C05F58">
        <w:rPr>
          <w:lang w:val="en-GB"/>
        </w:rPr>
        <w:br w:type="page"/>
      </w:r>
      <w:bookmarkStart w:id="1" w:name="_Toc24013375"/>
      <w:r w:rsidRPr="00C05F58">
        <w:rPr>
          <w:rFonts w:cs="Arial"/>
          <w:lang w:val="en-GB"/>
        </w:rPr>
        <w:lastRenderedPageBreak/>
        <w:t>Synopsis</w:t>
      </w:r>
      <w:bookmarkEnd w:id="1"/>
    </w:p>
    <w:p w14:paraId="5C3F9A74" w14:textId="77777777" w:rsidR="00036CAE" w:rsidRPr="00C05F58" w:rsidRDefault="00036CAE">
      <w:pPr>
        <w:jc w:val="both"/>
        <w:rPr>
          <w:rFonts w:cs="Arial"/>
          <w:lang w:val="en-GB"/>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71"/>
        <w:gridCol w:w="3969"/>
        <w:gridCol w:w="3828"/>
      </w:tblGrid>
      <w:tr w:rsidR="00036CAE" w:rsidRPr="00CF003B" w14:paraId="3A5E0A2F" w14:textId="77777777" w:rsidTr="00667C46">
        <w:tc>
          <w:tcPr>
            <w:tcW w:w="9568" w:type="dxa"/>
            <w:gridSpan w:val="3"/>
            <w:tcBorders>
              <w:top w:val="single" w:sz="12" w:space="0" w:color="auto"/>
            </w:tcBorders>
          </w:tcPr>
          <w:p w14:paraId="4DDE4EEA" w14:textId="77777777" w:rsidR="004C4483" w:rsidRPr="00667C46" w:rsidRDefault="00C91616">
            <w:pPr>
              <w:jc w:val="both"/>
              <w:rPr>
                <w:rFonts w:eastAsiaTheme="minorEastAsia" w:cs="Arial"/>
                <w:sz w:val="20"/>
                <w:szCs w:val="20"/>
              </w:rPr>
            </w:pPr>
            <w:r w:rsidRPr="00667C46">
              <w:rPr>
                <w:rFonts w:eastAsiaTheme="minorEastAsia" w:cs="Arial"/>
                <w:b/>
                <w:bCs/>
                <w:sz w:val="20"/>
                <w:szCs w:val="20"/>
              </w:rPr>
              <w:t>Sponsor:</w:t>
            </w:r>
            <w:r w:rsidRPr="00667C46">
              <w:rPr>
                <w:rFonts w:eastAsiaTheme="minorEastAsia" w:cs="Arial"/>
                <w:sz w:val="20"/>
                <w:szCs w:val="20"/>
              </w:rPr>
              <w:t xml:space="preserve"> </w:t>
            </w:r>
          </w:p>
          <w:p w14:paraId="3F38A1D4" w14:textId="77777777" w:rsidR="004C4483" w:rsidRPr="00667C46" w:rsidRDefault="004C4483">
            <w:pPr>
              <w:jc w:val="both"/>
              <w:rPr>
                <w:rFonts w:eastAsiaTheme="minorEastAsia" w:cs="Arial"/>
                <w:sz w:val="20"/>
                <w:szCs w:val="20"/>
              </w:rPr>
            </w:pPr>
            <w:r w:rsidRPr="00667C46">
              <w:rPr>
                <w:rFonts w:eastAsiaTheme="minorEastAsia" w:cs="Arial"/>
                <w:sz w:val="20"/>
                <w:szCs w:val="20"/>
              </w:rPr>
              <w:t xml:space="preserve">University of Duisburg-Essen, Hufelandstraße 55, D-45122 Essen, Germany </w:t>
            </w:r>
          </w:p>
          <w:p w14:paraId="6AA19E12" w14:textId="77777777" w:rsidR="00036CAE" w:rsidRPr="00667C46" w:rsidRDefault="004C4483">
            <w:pPr>
              <w:jc w:val="both"/>
              <w:rPr>
                <w:rFonts w:eastAsiaTheme="minorEastAsia" w:cs="Arial"/>
                <w:sz w:val="20"/>
                <w:szCs w:val="20"/>
                <w:lang w:val="en-GB"/>
              </w:rPr>
            </w:pPr>
            <w:r w:rsidRPr="00667C46">
              <w:rPr>
                <w:rFonts w:eastAsiaTheme="minorEastAsia" w:cs="Arial"/>
                <w:sz w:val="20"/>
                <w:szCs w:val="20"/>
                <w:lang w:val="en-GB"/>
              </w:rPr>
              <w:t>represented by Prof. Martin Schuler</w:t>
            </w:r>
          </w:p>
          <w:p w14:paraId="60F08B81" w14:textId="6FE5D2B3" w:rsidR="004C4483" w:rsidRPr="00667C46" w:rsidRDefault="00242750">
            <w:pPr>
              <w:jc w:val="both"/>
              <w:rPr>
                <w:rFonts w:eastAsiaTheme="minorEastAsia" w:cs="Arial"/>
                <w:sz w:val="20"/>
                <w:szCs w:val="20"/>
                <w:lang w:val="en-GB"/>
              </w:rPr>
            </w:pPr>
            <w:r w:rsidRPr="00667C46">
              <w:rPr>
                <w:rFonts w:eastAsiaTheme="minorEastAsia" w:cs="Arial"/>
                <w:sz w:val="20"/>
                <w:szCs w:val="20"/>
                <w:lang w:val="en-GB"/>
              </w:rPr>
              <w:t>Phone</w:t>
            </w:r>
            <w:r w:rsidR="004C4483" w:rsidRPr="00667C46">
              <w:rPr>
                <w:rFonts w:eastAsiaTheme="minorEastAsia" w:cs="Arial"/>
                <w:sz w:val="20"/>
                <w:szCs w:val="20"/>
                <w:lang w:val="en-GB"/>
              </w:rPr>
              <w:t>: 0201 / 723-20 00</w:t>
            </w:r>
          </w:p>
          <w:p w14:paraId="73D141C8" w14:textId="3DD58274" w:rsidR="00242750" w:rsidRPr="00667C46" w:rsidRDefault="00242750">
            <w:pPr>
              <w:jc w:val="both"/>
              <w:rPr>
                <w:rFonts w:cs="Arial"/>
                <w:iCs/>
                <w:sz w:val="20"/>
                <w:szCs w:val="20"/>
                <w:lang w:val="en-GB"/>
              </w:rPr>
            </w:pPr>
            <w:r w:rsidRPr="00667C46">
              <w:rPr>
                <w:rFonts w:cs="Arial"/>
                <w:iCs/>
                <w:sz w:val="20"/>
                <w:szCs w:val="20"/>
                <w:lang w:val="en-GB"/>
              </w:rPr>
              <w:t>Fax: 0201 / 723-59 24</w:t>
            </w:r>
          </w:p>
          <w:p w14:paraId="668BE461" w14:textId="1FC546BD" w:rsidR="00242750" w:rsidRPr="00667C46" w:rsidRDefault="00242750">
            <w:pPr>
              <w:jc w:val="both"/>
              <w:rPr>
                <w:rFonts w:eastAsiaTheme="minorEastAsia" w:cs="Arial"/>
                <w:sz w:val="20"/>
                <w:szCs w:val="20"/>
                <w:lang w:val="en-GB"/>
              </w:rPr>
            </w:pPr>
            <w:r w:rsidRPr="00667C46">
              <w:rPr>
                <w:rFonts w:cs="Arial"/>
                <w:iCs/>
                <w:sz w:val="20"/>
                <w:szCs w:val="20"/>
                <w:lang w:val="en-GB"/>
              </w:rPr>
              <w:t>Email: martin.schuler@uk-essen.de</w:t>
            </w:r>
          </w:p>
          <w:p w14:paraId="0F152CA2" w14:textId="100312AF" w:rsidR="004C4483" w:rsidRPr="00C05F58" w:rsidRDefault="004C4483">
            <w:pPr>
              <w:jc w:val="both"/>
              <w:rPr>
                <w:rFonts w:eastAsiaTheme="minorEastAsia" w:cs="Arial"/>
                <w:szCs w:val="22"/>
                <w:lang w:val="en-GB"/>
              </w:rPr>
            </w:pPr>
          </w:p>
        </w:tc>
      </w:tr>
      <w:tr w:rsidR="00036CAE" w:rsidRPr="00667C46" w14:paraId="1C0695DB" w14:textId="77777777">
        <w:trPr>
          <w:tblHeader/>
        </w:trPr>
        <w:tc>
          <w:tcPr>
            <w:tcW w:w="9568" w:type="dxa"/>
            <w:gridSpan w:val="3"/>
          </w:tcPr>
          <w:p w14:paraId="44B983EB" w14:textId="55A1C9DE" w:rsidR="00036CAE" w:rsidRPr="00667C46" w:rsidRDefault="00C91616">
            <w:pPr>
              <w:jc w:val="both"/>
              <w:rPr>
                <w:rFonts w:eastAsiaTheme="minorEastAsia" w:cs="Arial"/>
                <w:sz w:val="20"/>
                <w:szCs w:val="20"/>
                <w:lang w:val="en-GB"/>
              </w:rPr>
            </w:pPr>
            <w:r w:rsidRPr="00667C46">
              <w:rPr>
                <w:rFonts w:eastAsiaTheme="minorEastAsia" w:cs="Arial"/>
                <w:b/>
                <w:bCs/>
                <w:sz w:val="20"/>
                <w:szCs w:val="20"/>
                <w:lang w:val="en-GB"/>
              </w:rPr>
              <w:t xml:space="preserve">Investigational </w:t>
            </w:r>
            <w:r w:rsidR="000F367C" w:rsidRPr="00667C46">
              <w:rPr>
                <w:rFonts w:eastAsiaTheme="minorEastAsia" w:cs="Arial"/>
                <w:b/>
                <w:bCs/>
                <w:sz w:val="20"/>
                <w:szCs w:val="20"/>
                <w:lang w:val="en-GB"/>
              </w:rPr>
              <w:t xml:space="preserve">medicinal </w:t>
            </w:r>
            <w:r w:rsidRPr="00667C46">
              <w:rPr>
                <w:rFonts w:eastAsiaTheme="minorEastAsia" w:cs="Arial"/>
                <w:b/>
                <w:bCs/>
                <w:sz w:val="20"/>
                <w:szCs w:val="20"/>
                <w:lang w:val="en-GB"/>
              </w:rPr>
              <w:t xml:space="preserve">product: </w:t>
            </w:r>
            <w:r w:rsidR="004C4483" w:rsidRPr="00667C46">
              <w:rPr>
                <w:rFonts w:eastAsiaTheme="minorEastAsia" w:cs="Arial"/>
                <w:bCs/>
                <w:sz w:val="20"/>
                <w:szCs w:val="20"/>
                <w:lang w:val="en-GB"/>
              </w:rPr>
              <w:t>Erbitux</w:t>
            </w:r>
            <w:r w:rsidR="004C4483" w:rsidRPr="00667C46">
              <w:rPr>
                <w:rFonts w:eastAsiaTheme="minorEastAsia" w:cs="Arial"/>
                <w:bCs/>
                <w:sz w:val="20"/>
                <w:szCs w:val="20"/>
                <w:vertAlign w:val="superscript"/>
                <w:lang w:val="en-GB"/>
              </w:rPr>
              <w:t>®</w:t>
            </w:r>
          </w:p>
        </w:tc>
      </w:tr>
      <w:tr w:rsidR="00036CAE" w:rsidRPr="00667C46" w14:paraId="4625260F" w14:textId="77777777">
        <w:trPr>
          <w:tblHeader/>
        </w:trPr>
        <w:tc>
          <w:tcPr>
            <w:tcW w:w="9568" w:type="dxa"/>
            <w:gridSpan w:val="3"/>
          </w:tcPr>
          <w:p w14:paraId="43AFB0F9" w14:textId="2FB5DFD0" w:rsidR="00036CAE" w:rsidRPr="00667C46" w:rsidRDefault="00C91616">
            <w:pPr>
              <w:jc w:val="both"/>
              <w:rPr>
                <w:rFonts w:eastAsiaTheme="minorEastAsia" w:cs="Arial"/>
                <w:sz w:val="20"/>
                <w:szCs w:val="20"/>
                <w:lang w:val="en-GB"/>
              </w:rPr>
            </w:pPr>
            <w:r w:rsidRPr="00667C46">
              <w:rPr>
                <w:rFonts w:eastAsiaTheme="minorEastAsia" w:cs="Arial"/>
                <w:b/>
                <w:bCs/>
                <w:sz w:val="20"/>
                <w:szCs w:val="20"/>
                <w:lang w:val="en-GB"/>
              </w:rPr>
              <w:t>Drug substance:</w:t>
            </w:r>
            <w:r w:rsidR="004C4483" w:rsidRPr="00667C46">
              <w:rPr>
                <w:rFonts w:eastAsiaTheme="minorEastAsia" w:cs="Arial"/>
                <w:b/>
                <w:bCs/>
                <w:sz w:val="20"/>
                <w:szCs w:val="20"/>
                <w:lang w:val="en-GB"/>
              </w:rPr>
              <w:t xml:space="preserve"> </w:t>
            </w:r>
            <w:r w:rsidR="004C4483" w:rsidRPr="00667C46">
              <w:rPr>
                <w:rFonts w:eastAsiaTheme="minorEastAsia" w:cs="Arial"/>
                <w:bCs/>
                <w:sz w:val="20"/>
                <w:szCs w:val="20"/>
                <w:lang w:val="en-GB"/>
              </w:rPr>
              <w:t>Cetuximab</w:t>
            </w:r>
          </w:p>
        </w:tc>
      </w:tr>
      <w:tr w:rsidR="00036CAE" w:rsidRPr="00CF003B" w14:paraId="09433F62" w14:textId="77777777">
        <w:tc>
          <w:tcPr>
            <w:tcW w:w="9568" w:type="dxa"/>
            <w:gridSpan w:val="3"/>
          </w:tcPr>
          <w:p w14:paraId="34591515" w14:textId="77777777" w:rsidR="001B1EB6" w:rsidRPr="00C05F58" w:rsidRDefault="00D9586B">
            <w:pPr>
              <w:jc w:val="both"/>
              <w:rPr>
                <w:rFonts w:eastAsiaTheme="minorEastAsia" w:cs="Arial"/>
                <w:sz w:val="20"/>
                <w:szCs w:val="20"/>
                <w:lang w:val="en-GB"/>
              </w:rPr>
            </w:pPr>
            <w:r w:rsidRPr="00C05F58">
              <w:rPr>
                <w:rFonts w:eastAsiaTheme="minorEastAsia" w:cs="Arial"/>
                <w:b/>
                <w:sz w:val="20"/>
                <w:szCs w:val="20"/>
                <w:lang w:val="en-GB"/>
              </w:rPr>
              <w:t>Registration:</w:t>
            </w:r>
            <w:r w:rsidRPr="00C05F58">
              <w:rPr>
                <w:rFonts w:eastAsiaTheme="minorEastAsia" w:cs="Arial"/>
                <w:sz w:val="20"/>
                <w:szCs w:val="20"/>
                <w:lang w:val="en-GB"/>
              </w:rPr>
              <w:t xml:space="preserve"> </w:t>
            </w:r>
          </w:p>
          <w:p w14:paraId="4F830B80" w14:textId="23EFDD00" w:rsidR="001B1EB6" w:rsidRPr="00C05F58" w:rsidRDefault="001B1EB6">
            <w:pPr>
              <w:jc w:val="both"/>
              <w:rPr>
                <w:rFonts w:eastAsiaTheme="minorEastAsia" w:cs="Arial"/>
                <w:sz w:val="20"/>
                <w:szCs w:val="20"/>
                <w:lang w:val="en-GB"/>
              </w:rPr>
            </w:pPr>
            <w:r w:rsidRPr="00C05F58">
              <w:rPr>
                <w:rFonts w:eastAsiaTheme="minorEastAsia" w:cs="Arial"/>
                <w:sz w:val="20"/>
                <w:szCs w:val="20"/>
                <w:lang w:val="en-GB"/>
              </w:rPr>
              <w:t>ClinicalTrials.gov registration number: NCT01051167</w:t>
            </w:r>
          </w:p>
          <w:p w14:paraId="1A31F2FB" w14:textId="5E232AA0" w:rsidR="00036CAE" w:rsidRPr="00C05F58" w:rsidRDefault="00036CAE">
            <w:pPr>
              <w:jc w:val="both"/>
              <w:rPr>
                <w:rFonts w:eastAsiaTheme="minorEastAsia" w:cs="Arial"/>
                <w:sz w:val="20"/>
                <w:szCs w:val="20"/>
                <w:lang w:val="en-GB"/>
              </w:rPr>
            </w:pPr>
          </w:p>
        </w:tc>
      </w:tr>
      <w:tr w:rsidR="00036CAE" w:rsidRPr="00CF003B" w14:paraId="1F6425AD" w14:textId="77777777">
        <w:tc>
          <w:tcPr>
            <w:tcW w:w="9568" w:type="dxa"/>
            <w:gridSpan w:val="3"/>
          </w:tcPr>
          <w:p w14:paraId="529C6789" w14:textId="77777777" w:rsidR="004C4483" w:rsidRPr="00C05F58" w:rsidRDefault="00C91616" w:rsidP="004C4483">
            <w:pPr>
              <w:pStyle w:val="Textkrper"/>
              <w:spacing w:before="100"/>
              <w:jc w:val="both"/>
              <w:rPr>
                <w:rFonts w:eastAsiaTheme="minorEastAsia" w:cs="Arial"/>
                <w:b/>
                <w:sz w:val="20"/>
                <w:szCs w:val="20"/>
                <w:lang w:val="en-GB"/>
              </w:rPr>
            </w:pPr>
            <w:r w:rsidRPr="00C05F58">
              <w:rPr>
                <w:rFonts w:eastAsiaTheme="minorEastAsia" w:cs="Arial"/>
                <w:b/>
                <w:sz w:val="20"/>
                <w:szCs w:val="20"/>
                <w:lang w:val="en-GB"/>
              </w:rPr>
              <w:t>Study title</w:t>
            </w:r>
            <w:r w:rsidR="004C4483" w:rsidRPr="00C05F58">
              <w:rPr>
                <w:rFonts w:eastAsiaTheme="minorEastAsia" w:cs="Arial"/>
                <w:b/>
                <w:sz w:val="20"/>
                <w:szCs w:val="20"/>
                <w:lang w:val="en-GB"/>
              </w:rPr>
              <w:t xml:space="preserve">: </w:t>
            </w:r>
          </w:p>
          <w:p w14:paraId="5DD50116" w14:textId="68A27F09" w:rsidR="001B1EB6" w:rsidRPr="00C05F58" w:rsidRDefault="004C4483" w:rsidP="004C4483">
            <w:pPr>
              <w:pStyle w:val="Textkrper"/>
              <w:spacing w:before="100"/>
              <w:jc w:val="both"/>
              <w:rPr>
                <w:rFonts w:eastAsiaTheme="minorEastAsia" w:cs="Arial"/>
                <w:sz w:val="20"/>
                <w:szCs w:val="20"/>
                <w:lang w:val="en-GB"/>
              </w:rPr>
            </w:pPr>
            <w:r w:rsidRPr="00C05F58">
              <w:rPr>
                <w:rFonts w:eastAsiaTheme="minorEastAsia" w:cs="Arial"/>
                <w:sz w:val="20"/>
                <w:szCs w:val="20"/>
                <w:lang w:val="en-GB"/>
              </w:rPr>
              <w:t>Bi-weekly Cetuximab combined with FOLFOX-6 as first-line treatment in metastatic colorectal cancer patients with wild-type KRAS status</w:t>
            </w:r>
          </w:p>
          <w:p w14:paraId="72576FAD" w14:textId="77777777" w:rsidR="00036CAE" w:rsidRPr="00C05F58" w:rsidRDefault="00036CAE" w:rsidP="004C4483">
            <w:pPr>
              <w:pStyle w:val="Textkrper"/>
              <w:spacing w:before="100" w:after="100"/>
              <w:jc w:val="both"/>
              <w:rPr>
                <w:rFonts w:eastAsiaTheme="minorEastAsia" w:cs="Arial"/>
                <w:sz w:val="20"/>
                <w:szCs w:val="20"/>
                <w:lang w:val="en-GB"/>
              </w:rPr>
            </w:pPr>
          </w:p>
        </w:tc>
      </w:tr>
      <w:tr w:rsidR="00036CAE" w:rsidRPr="00CF003B" w14:paraId="113BC660" w14:textId="77777777">
        <w:tc>
          <w:tcPr>
            <w:tcW w:w="9568" w:type="dxa"/>
            <w:gridSpan w:val="3"/>
          </w:tcPr>
          <w:p w14:paraId="600631FE" w14:textId="77777777" w:rsidR="00036CAE" w:rsidRPr="00C05F58" w:rsidRDefault="00C91616">
            <w:pPr>
              <w:jc w:val="both"/>
              <w:rPr>
                <w:rFonts w:eastAsiaTheme="minorEastAsia" w:cs="Arial"/>
                <w:sz w:val="20"/>
                <w:szCs w:val="20"/>
                <w:lang w:val="en-GB"/>
              </w:rPr>
            </w:pPr>
            <w:r w:rsidRPr="00C05F58">
              <w:rPr>
                <w:rFonts w:eastAsiaTheme="minorEastAsia" w:cs="Arial"/>
                <w:b/>
                <w:bCs/>
                <w:sz w:val="20"/>
                <w:szCs w:val="20"/>
                <w:lang w:val="en-GB"/>
              </w:rPr>
              <w:t>National Coordinat</w:t>
            </w:r>
            <w:r w:rsidR="005336BF" w:rsidRPr="00C05F58">
              <w:rPr>
                <w:rFonts w:eastAsiaTheme="minorEastAsia" w:cs="Arial"/>
                <w:b/>
                <w:bCs/>
                <w:sz w:val="20"/>
                <w:szCs w:val="20"/>
                <w:lang w:val="en-GB"/>
              </w:rPr>
              <w:t>ing Investigator</w:t>
            </w:r>
            <w:r w:rsidRPr="00C05F58">
              <w:rPr>
                <w:rFonts w:eastAsiaTheme="minorEastAsia" w:cs="Arial"/>
                <w:b/>
                <w:bCs/>
                <w:sz w:val="20"/>
                <w:szCs w:val="20"/>
                <w:lang w:val="en-GB"/>
              </w:rPr>
              <w:t xml:space="preserve">: </w:t>
            </w:r>
            <w:r w:rsidRPr="00C05F58">
              <w:rPr>
                <w:rFonts w:eastAsiaTheme="minorEastAsia" w:cs="Arial"/>
                <w:sz w:val="20"/>
                <w:szCs w:val="20"/>
                <w:lang w:val="en-GB"/>
              </w:rPr>
              <w:t xml:space="preserve"> </w:t>
            </w:r>
          </w:p>
          <w:p w14:paraId="05F8192E" w14:textId="19EAB236" w:rsidR="004C4483" w:rsidRPr="00C05F58" w:rsidRDefault="004C4483">
            <w:pPr>
              <w:jc w:val="both"/>
              <w:rPr>
                <w:rFonts w:cs="Arial"/>
                <w:iCs/>
                <w:sz w:val="20"/>
                <w:szCs w:val="20"/>
                <w:lang w:val="en-GB"/>
              </w:rPr>
            </w:pPr>
            <w:r w:rsidRPr="00C05F58">
              <w:rPr>
                <w:rFonts w:cs="Arial"/>
                <w:iCs/>
                <w:sz w:val="20"/>
                <w:szCs w:val="20"/>
                <w:lang w:val="en-GB"/>
              </w:rPr>
              <w:t>Prof. Dr. med. Martin Schuler</w:t>
            </w:r>
          </w:p>
          <w:p w14:paraId="22DA2078" w14:textId="251C70A4" w:rsidR="004C4483" w:rsidRPr="00C05F58" w:rsidRDefault="004C4483">
            <w:pPr>
              <w:jc w:val="both"/>
              <w:rPr>
                <w:rFonts w:cs="Arial"/>
                <w:iCs/>
                <w:sz w:val="20"/>
                <w:szCs w:val="20"/>
                <w:lang w:val="en-GB"/>
              </w:rPr>
            </w:pPr>
            <w:r w:rsidRPr="00C05F58">
              <w:rPr>
                <w:rFonts w:cs="Arial"/>
                <w:iCs/>
                <w:sz w:val="20"/>
                <w:szCs w:val="20"/>
                <w:lang w:val="en-GB"/>
              </w:rPr>
              <w:t>University of Duisburg-Essen Medical School</w:t>
            </w:r>
          </w:p>
          <w:p w14:paraId="4F19FD46" w14:textId="04F9FFB5" w:rsidR="004C4483" w:rsidRPr="00C05F58" w:rsidRDefault="004C4483">
            <w:pPr>
              <w:jc w:val="both"/>
              <w:rPr>
                <w:rFonts w:cs="Arial"/>
                <w:iCs/>
                <w:sz w:val="20"/>
                <w:szCs w:val="20"/>
                <w:lang w:val="en-GB"/>
              </w:rPr>
            </w:pPr>
            <w:r w:rsidRPr="00C05F58">
              <w:rPr>
                <w:rFonts w:cs="Arial"/>
                <w:iCs/>
                <w:sz w:val="20"/>
                <w:szCs w:val="20"/>
                <w:lang w:val="en-GB"/>
              </w:rPr>
              <w:t>West German Cancer Center</w:t>
            </w:r>
          </w:p>
          <w:p w14:paraId="05D376D5" w14:textId="78B0245F" w:rsidR="004C4483" w:rsidRPr="00C05F58" w:rsidRDefault="004C4483">
            <w:pPr>
              <w:jc w:val="both"/>
              <w:rPr>
                <w:rFonts w:cs="Arial"/>
                <w:iCs/>
                <w:sz w:val="20"/>
                <w:szCs w:val="20"/>
                <w:lang w:val="en-GB"/>
              </w:rPr>
            </w:pPr>
            <w:r w:rsidRPr="00C05F58">
              <w:rPr>
                <w:rFonts w:cs="Arial"/>
                <w:iCs/>
                <w:sz w:val="20"/>
                <w:szCs w:val="20"/>
                <w:lang w:val="en-GB"/>
              </w:rPr>
              <w:t>Hufelandstraße 55</w:t>
            </w:r>
          </w:p>
          <w:p w14:paraId="18704CD2" w14:textId="6D08E685" w:rsidR="004C4483" w:rsidRPr="00C05F58" w:rsidRDefault="004C4483">
            <w:pPr>
              <w:jc w:val="both"/>
              <w:rPr>
                <w:rFonts w:cs="Arial"/>
                <w:iCs/>
                <w:sz w:val="20"/>
                <w:szCs w:val="20"/>
                <w:lang w:val="en-GB"/>
              </w:rPr>
            </w:pPr>
            <w:r w:rsidRPr="00C05F58">
              <w:rPr>
                <w:rFonts w:cs="Arial"/>
                <w:iCs/>
                <w:sz w:val="20"/>
                <w:szCs w:val="20"/>
                <w:lang w:val="en-GB"/>
              </w:rPr>
              <w:t>D-45122 Essen, Germany</w:t>
            </w:r>
          </w:p>
          <w:p w14:paraId="19EB0438" w14:textId="489DC700" w:rsidR="00D538E8" w:rsidRPr="00C05F58" w:rsidRDefault="00D538E8" w:rsidP="00D538E8">
            <w:pPr>
              <w:jc w:val="both"/>
              <w:rPr>
                <w:rFonts w:eastAsiaTheme="minorEastAsia" w:cs="Arial"/>
                <w:sz w:val="20"/>
                <w:szCs w:val="20"/>
                <w:lang w:val="en-GB"/>
              </w:rPr>
            </w:pPr>
            <w:r w:rsidRPr="00C05F58">
              <w:rPr>
                <w:rFonts w:eastAsiaTheme="minorEastAsia" w:cs="Arial"/>
                <w:sz w:val="20"/>
                <w:szCs w:val="20"/>
                <w:lang w:val="en-GB"/>
              </w:rPr>
              <w:t>Phone: 0201 / 723-20 00</w:t>
            </w:r>
          </w:p>
          <w:p w14:paraId="680D854C" w14:textId="77777777" w:rsidR="00D538E8" w:rsidRPr="00C05F58" w:rsidRDefault="00D538E8" w:rsidP="00D538E8">
            <w:pPr>
              <w:jc w:val="both"/>
              <w:rPr>
                <w:rFonts w:eastAsiaTheme="minorEastAsia" w:cs="Arial"/>
                <w:sz w:val="20"/>
                <w:szCs w:val="20"/>
                <w:lang w:val="en-GB"/>
              </w:rPr>
            </w:pPr>
            <w:r w:rsidRPr="00C05F58">
              <w:rPr>
                <w:rFonts w:eastAsiaTheme="minorEastAsia" w:cs="Arial"/>
                <w:sz w:val="20"/>
                <w:szCs w:val="20"/>
                <w:lang w:val="en-GB"/>
              </w:rPr>
              <w:t>Fax: 0201 / 723-59 24</w:t>
            </w:r>
          </w:p>
          <w:p w14:paraId="0586F5D4" w14:textId="69BFB436" w:rsidR="00D538E8" w:rsidRPr="00C05F58" w:rsidRDefault="00D538E8" w:rsidP="00D538E8">
            <w:pPr>
              <w:jc w:val="both"/>
              <w:rPr>
                <w:rFonts w:eastAsiaTheme="minorEastAsia" w:cs="Arial"/>
                <w:sz w:val="20"/>
                <w:szCs w:val="20"/>
                <w:lang w:val="en-GB"/>
              </w:rPr>
            </w:pPr>
            <w:r w:rsidRPr="00C05F58">
              <w:rPr>
                <w:rFonts w:eastAsiaTheme="minorEastAsia" w:cs="Arial"/>
                <w:sz w:val="20"/>
                <w:szCs w:val="20"/>
                <w:lang w:val="en-GB"/>
              </w:rPr>
              <w:t>Email: martin.schuler@uk-essen.de</w:t>
            </w:r>
          </w:p>
          <w:p w14:paraId="68B8B670" w14:textId="77777777" w:rsidR="00036CAE" w:rsidRPr="00C05F58" w:rsidRDefault="00036CAE">
            <w:pPr>
              <w:jc w:val="both"/>
              <w:rPr>
                <w:rFonts w:eastAsiaTheme="minorEastAsia" w:cs="Arial"/>
                <w:sz w:val="20"/>
                <w:szCs w:val="20"/>
                <w:lang w:val="en-GB"/>
              </w:rPr>
            </w:pPr>
          </w:p>
        </w:tc>
      </w:tr>
      <w:tr w:rsidR="00036CAE" w:rsidRPr="00CF003B" w14:paraId="5F46E60D" w14:textId="77777777">
        <w:tc>
          <w:tcPr>
            <w:tcW w:w="9568" w:type="dxa"/>
            <w:gridSpan w:val="3"/>
          </w:tcPr>
          <w:p w14:paraId="3D3602A1" w14:textId="3A7741F8" w:rsidR="00036CAE" w:rsidRPr="00C05F58" w:rsidRDefault="00C91616">
            <w:pPr>
              <w:jc w:val="both"/>
              <w:rPr>
                <w:rFonts w:eastAsiaTheme="minorEastAsia" w:cs="Arial"/>
                <w:sz w:val="20"/>
                <w:szCs w:val="20"/>
                <w:lang w:val="en-GB"/>
              </w:rPr>
            </w:pPr>
            <w:r w:rsidRPr="00C05F58">
              <w:rPr>
                <w:rFonts w:eastAsiaTheme="minorEastAsia" w:cs="Arial"/>
                <w:b/>
                <w:bCs/>
                <w:sz w:val="20"/>
                <w:szCs w:val="20"/>
                <w:lang w:val="en-GB"/>
              </w:rPr>
              <w:t>Study sites:</w:t>
            </w:r>
            <w:r w:rsidRPr="00C05F58">
              <w:rPr>
                <w:rFonts w:eastAsiaTheme="minorEastAsia" w:cs="Arial"/>
                <w:sz w:val="20"/>
                <w:szCs w:val="20"/>
                <w:lang w:val="en-GB"/>
              </w:rPr>
              <w:t xml:space="preserve"> </w:t>
            </w:r>
            <w:r w:rsidR="004C4483" w:rsidRPr="00C05F58">
              <w:rPr>
                <w:rFonts w:eastAsiaTheme="minorEastAsia" w:cs="Arial"/>
                <w:sz w:val="20"/>
                <w:szCs w:val="20"/>
                <w:lang w:val="en-GB"/>
              </w:rPr>
              <w:t xml:space="preserve">6 </w:t>
            </w:r>
            <w:r w:rsidR="00D81F4E" w:rsidRPr="00C05F58">
              <w:rPr>
                <w:rFonts w:eastAsiaTheme="minorEastAsia" w:cs="Arial"/>
                <w:sz w:val="20"/>
                <w:szCs w:val="20"/>
                <w:lang w:val="en-GB"/>
              </w:rPr>
              <w:t xml:space="preserve">active </w:t>
            </w:r>
            <w:r w:rsidR="004C4483" w:rsidRPr="00C05F58">
              <w:rPr>
                <w:rFonts w:eastAsiaTheme="minorEastAsia" w:cs="Arial"/>
                <w:sz w:val="20"/>
                <w:szCs w:val="20"/>
                <w:lang w:val="en-GB"/>
              </w:rPr>
              <w:t>sites (medical practices as well as hospitals) in Germany</w:t>
            </w:r>
          </w:p>
          <w:p w14:paraId="5C0FA557" w14:textId="77777777" w:rsidR="00036CAE" w:rsidRPr="00C05F58" w:rsidRDefault="00C91616">
            <w:pPr>
              <w:jc w:val="both"/>
              <w:rPr>
                <w:rFonts w:eastAsiaTheme="minorEastAsia" w:cs="Arial"/>
                <w:sz w:val="20"/>
                <w:szCs w:val="20"/>
                <w:lang w:val="en-GB"/>
              </w:rPr>
            </w:pPr>
            <w:r w:rsidRPr="00C05F58">
              <w:rPr>
                <w:rFonts w:eastAsiaTheme="minorEastAsia" w:cs="Arial"/>
                <w:sz w:val="20"/>
                <w:szCs w:val="20"/>
                <w:lang w:val="en-GB"/>
              </w:rPr>
              <w:t xml:space="preserve"> </w:t>
            </w:r>
          </w:p>
        </w:tc>
      </w:tr>
      <w:tr w:rsidR="00036CAE" w:rsidRPr="00C05F58" w14:paraId="018C117B" w14:textId="77777777">
        <w:tc>
          <w:tcPr>
            <w:tcW w:w="9568" w:type="dxa"/>
            <w:gridSpan w:val="3"/>
          </w:tcPr>
          <w:p w14:paraId="3DF46CB2" w14:textId="57A94D5B" w:rsidR="00036CAE" w:rsidRPr="00C05F58" w:rsidRDefault="00C91616">
            <w:pPr>
              <w:jc w:val="both"/>
              <w:rPr>
                <w:rFonts w:eastAsiaTheme="minorEastAsia" w:cs="Arial"/>
                <w:b/>
                <w:bCs/>
                <w:sz w:val="20"/>
                <w:szCs w:val="20"/>
                <w:lang w:val="en-GB"/>
              </w:rPr>
            </w:pPr>
            <w:r w:rsidRPr="00C05F58">
              <w:rPr>
                <w:rFonts w:eastAsiaTheme="minorEastAsia" w:cs="Arial"/>
                <w:b/>
                <w:bCs/>
                <w:sz w:val="20"/>
                <w:szCs w:val="20"/>
                <w:lang w:val="en-GB"/>
              </w:rPr>
              <w:t xml:space="preserve">Publication: </w:t>
            </w:r>
          </w:p>
          <w:p w14:paraId="7646C5FA" w14:textId="4825D6A3" w:rsidR="001D1BC4" w:rsidRPr="00C05F58" w:rsidRDefault="001D1BC4" w:rsidP="001D1BC4">
            <w:pPr>
              <w:pStyle w:val="EndNoteBibliography"/>
              <w:rPr>
                <w:noProof w:val="0"/>
                <w:sz w:val="20"/>
                <w:szCs w:val="20"/>
                <w:lang w:val="en-GB"/>
              </w:rPr>
            </w:pPr>
            <w:r w:rsidRPr="00C05F58">
              <w:rPr>
                <w:noProof w:val="0"/>
                <w:sz w:val="20"/>
                <w:szCs w:val="20"/>
                <w:lang w:val="en-GB"/>
              </w:rPr>
              <w:t>Kasper, S., et al. (2015). "Cetuximab biweekly plus mFOLFOX6 as first-line therapy in patients (pts) with KRAS wild-type (wt) (exon 2) metastatic colorectal cancer (mCRC): Primary endpoint and subgroup analysis of the CEBIFOX trial." Journal of Clinical Oncology 33(15): 3568-3568.</w:t>
            </w:r>
          </w:p>
          <w:p w14:paraId="37A40A7E" w14:textId="77777777" w:rsidR="001D1BC4" w:rsidRPr="00C05F58" w:rsidRDefault="001D1BC4">
            <w:pPr>
              <w:jc w:val="both"/>
              <w:rPr>
                <w:rFonts w:eastAsiaTheme="minorEastAsia" w:cs="Arial"/>
                <w:b/>
                <w:bCs/>
                <w:sz w:val="20"/>
                <w:szCs w:val="20"/>
                <w:lang w:val="en-GB"/>
              </w:rPr>
            </w:pPr>
          </w:p>
          <w:p w14:paraId="68F06660" w14:textId="75F1201A" w:rsidR="001D1BC4" w:rsidRPr="00C05F58" w:rsidRDefault="001D1BC4" w:rsidP="0045361F">
            <w:pPr>
              <w:tabs>
                <w:tab w:val="num" w:pos="1004"/>
              </w:tabs>
              <w:autoSpaceDE/>
              <w:autoSpaceDN/>
              <w:spacing w:afterLines="100" w:after="240" w:line="240" w:lineRule="auto"/>
              <w:jc w:val="both"/>
              <w:rPr>
                <w:rStyle w:val="Fett"/>
                <w:rFonts w:cs="Arial"/>
                <w:b w:val="0"/>
                <w:color w:val="000000"/>
                <w:sz w:val="20"/>
                <w:szCs w:val="20"/>
                <w:lang w:val="en-GB"/>
              </w:rPr>
            </w:pPr>
            <w:r w:rsidRPr="00C05F58">
              <w:rPr>
                <w:rFonts w:cs="Arial"/>
                <w:color w:val="2A2A2A"/>
                <w:sz w:val="20"/>
                <w:szCs w:val="20"/>
                <w:lang w:val="en-GB"/>
              </w:rPr>
              <w:t>Kasper</w:t>
            </w:r>
            <w:r w:rsidR="008E746B" w:rsidRPr="00C05F58">
              <w:rPr>
                <w:rFonts w:cs="Arial"/>
                <w:color w:val="2A2A2A"/>
                <w:sz w:val="20"/>
                <w:szCs w:val="20"/>
                <w:lang w:val="en-GB"/>
              </w:rPr>
              <w:t xml:space="preserve"> S, </w:t>
            </w:r>
            <w:r w:rsidRPr="00C05F58">
              <w:rPr>
                <w:rFonts w:cs="Arial"/>
                <w:color w:val="2A2A2A"/>
                <w:sz w:val="20"/>
                <w:szCs w:val="20"/>
                <w:lang w:val="en-GB"/>
              </w:rPr>
              <w:t>Meiler</w:t>
            </w:r>
            <w:r w:rsidR="008E746B" w:rsidRPr="00C05F58">
              <w:rPr>
                <w:rFonts w:cs="Arial"/>
                <w:color w:val="2A2A2A"/>
                <w:sz w:val="20"/>
                <w:szCs w:val="20"/>
                <w:lang w:val="en-GB"/>
              </w:rPr>
              <w:t xml:space="preserve"> J, </w:t>
            </w:r>
            <w:r w:rsidRPr="00C05F58">
              <w:rPr>
                <w:rFonts w:cs="Arial"/>
                <w:color w:val="2A2A2A"/>
                <w:sz w:val="20"/>
                <w:szCs w:val="20"/>
                <w:lang w:val="en-GB"/>
              </w:rPr>
              <w:t>Knipp</w:t>
            </w:r>
            <w:r w:rsidR="008E746B" w:rsidRPr="00C05F58">
              <w:rPr>
                <w:rFonts w:cs="Arial"/>
                <w:color w:val="2A2A2A"/>
                <w:sz w:val="20"/>
                <w:szCs w:val="20"/>
                <w:lang w:val="en-GB"/>
              </w:rPr>
              <w:t xml:space="preserve"> H, </w:t>
            </w:r>
            <w:r w:rsidRPr="00C05F58">
              <w:rPr>
                <w:rFonts w:cs="Arial"/>
                <w:color w:val="2A2A2A"/>
                <w:sz w:val="20"/>
                <w:szCs w:val="20"/>
                <w:lang w:val="en-GB"/>
              </w:rPr>
              <w:t>Höhler</w:t>
            </w:r>
            <w:r w:rsidR="008E746B" w:rsidRPr="00C05F58">
              <w:rPr>
                <w:rFonts w:cs="Arial"/>
                <w:color w:val="2A2A2A"/>
                <w:sz w:val="20"/>
                <w:szCs w:val="20"/>
                <w:lang w:val="en-GB"/>
              </w:rPr>
              <w:t xml:space="preserve"> T, </w:t>
            </w:r>
            <w:r w:rsidRPr="00C05F58">
              <w:rPr>
                <w:rFonts w:cs="Arial"/>
                <w:color w:val="2A2A2A"/>
                <w:sz w:val="20"/>
                <w:szCs w:val="20"/>
                <w:lang w:val="en-GB"/>
              </w:rPr>
              <w:t>Reimer</w:t>
            </w:r>
            <w:r w:rsidR="008E746B" w:rsidRPr="00C05F58">
              <w:rPr>
                <w:rFonts w:cs="Arial"/>
                <w:color w:val="2A2A2A"/>
                <w:sz w:val="20"/>
                <w:szCs w:val="20"/>
                <w:lang w:val="en-GB"/>
              </w:rPr>
              <w:t xml:space="preserve"> P, </w:t>
            </w:r>
            <w:r w:rsidRPr="00C05F58">
              <w:rPr>
                <w:rFonts w:cs="Arial"/>
                <w:color w:val="2A2A2A"/>
                <w:sz w:val="20"/>
                <w:szCs w:val="20"/>
                <w:lang w:val="en-GB"/>
              </w:rPr>
              <w:t>Steinmetz</w:t>
            </w:r>
            <w:r w:rsidR="008E746B" w:rsidRPr="00C05F58">
              <w:rPr>
                <w:rFonts w:cs="Arial"/>
                <w:color w:val="2A2A2A"/>
                <w:sz w:val="20"/>
                <w:szCs w:val="20"/>
                <w:lang w:val="en-GB"/>
              </w:rPr>
              <w:t xml:space="preserve"> HT, </w:t>
            </w:r>
            <w:r w:rsidRPr="00C05F58">
              <w:rPr>
                <w:rFonts w:cs="Arial"/>
                <w:color w:val="2A2A2A"/>
                <w:sz w:val="20"/>
                <w:szCs w:val="20"/>
                <w:lang w:val="en-GB"/>
              </w:rPr>
              <w:t>Berger</w:t>
            </w:r>
            <w:r w:rsidR="008E746B" w:rsidRPr="00C05F58">
              <w:rPr>
                <w:rFonts w:cs="Arial"/>
                <w:color w:val="2A2A2A"/>
                <w:sz w:val="20"/>
                <w:szCs w:val="20"/>
                <w:lang w:val="en-GB"/>
              </w:rPr>
              <w:t xml:space="preserve"> W,</w:t>
            </w:r>
            <w:r w:rsidRPr="00C05F58">
              <w:rPr>
                <w:rFonts w:cs="Arial"/>
                <w:color w:val="2A2A2A"/>
                <w:sz w:val="20"/>
                <w:szCs w:val="20"/>
                <w:lang w:val="en-GB"/>
              </w:rPr>
              <w:t xml:space="preserve"> Linden</w:t>
            </w:r>
            <w:r w:rsidR="008E746B" w:rsidRPr="00C05F58">
              <w:rPr>
                <w:rFonts w:cs="Arial"/>
                <w:color w:val="2A2A2A"/>
                <w:sz w:val="20"/>
                <w:szCs w:val="20"/>
                <w:lang w:val="en-GB"/>
              </w:rPr>
              <w:t xml:space="preserve"> G, </w:t>
            </w:r>
            <w:r w:rsidRPr="00C05F58">
              <w:rPr>
                <w:rFonts w:cs="Arial"/>
                <w:color w:val="2A2A2A"/>
                <w:sz w:val="20"/>
                <w:szCs w:val="20"/>
                <w:lang w:val="en-GB"/>
              </w:rPr>
              <w:t>Ting</w:t>
            </w:r>
            <w:r w:rsidR="008E746B" w:rsidRPr="00C05F58">
              <w:rPr>
                <w:rFonts w:cs="Arial"/>
                <w:color w:val="2A2A2A"/>
                <w:sz w:val="20"/>
                <w:szCs w:val="20"/>
                <w:lang w:val="en-GB"/>
              </w:rPr>
              <w:t xml:space="preserve"> S, </w:t>
            </w:r>
            <w:r w:rsidRPr="00C05F58">
              <w:rPr>
                <w:rFonts w:cs="Arial"/>
                <w:color w:val="2A2A2A"/>
                <w:sz w:val="20"/>
                <w:szCs w:val="20"/>
                <w:lang w:val="en-GB"/>
              </w:rPr>
              <w:t>Markus</w:t>
            </w:r>
            <w:r w:rsidR="008E746B" w:rsidRPr="00C05F58">
              <w:rPr>
                <w:rFonts w:cs="Arial"/>
                <w:color w:val="2A2A2A"/>
                <w:sz w:val="20"/>
                <w:szCs w:val="20"/>
                <w:lang w:val="en-GB"/>
              </w:rPr>
              <w:t xml:space="preserve"> P</w:t>
            </w:r>
            <w:r w:rsidRPr="00C05F58">
              <w:rPr>
                <w:rFonts w:cs="Arial"/>
                <w:color w:val="2A2A2A"/>
                <w:sz w:val="20"/>
                <w:szCs w:val="20"/>
                <w:lang w:val="en-GB"/>
              </w:rPr>
              <w:t>,  Paul</w:t>
            </w:r>
            <w:r w:rsidR="008E746B" w:rsidRPr="00C05F58">
              <w:rPr>
                <w:rFonts w:cs="Arial"/>
                <w:color w:val="2A2A2A"/>
                <w:sz w:val="20"/>
                <w:szCs w:val="20"/>
                <w:lang w:val="en-GB"/>
              </w:rPr>
              <w:t xml:space="preserve"> A, </w:t>
            </w:r>
            <w:r w:rsidRPr="00C05F58">
              <w:rPr>
                <w:rFonts w:cs="Arial"/>
                <w:color w:val="2A2A2A"/>
                <w:sz w:val="20"/>
                <w:szCs w:val="20"/>
                <w:lang w:val="en-GB"/>
              </w:rPr>
              <w:t>Dechêne</w:t>
            </w:r>
            <w:r w:rsidR="008E746B" w:rsidRPr="00C05F58">
              <w:rPr>
                <w:rFonts w:cs="Arial"/>
                <w:color w:val="2A2A2A"/>
                <w:sz w:val="20"/>
                <w:szCs w:val="20"/>
                <w:lang w:val="en-GB"/>
              </w:rPr>
              <w:t xml:space="preserve"> A, </w:t>
            </w:r>
            <w:r w:rsidRPr="00C05F58">
              <w:rPr>
                <w:rFonts w:cs="Arial"/>
                <w:color w:val="2A2A2A"/>
                <w:sz w:val="20"/>
                <w:szCs w:val="20"/>
                <w:lang w:val="en-GB"/>
              </w:rPr>
              <w:t>Schumacher</w:t>
            </w:r>
            <w:r w:rsidR="008E746B" w:rsidRPr="00C05F58">
              <w:rPr>
                <w:rFonts w:cs="Arial"/>
                <w:color w:val="2A2A2A"/>
                <w:sz w:val="20"/>
                <w:szCs w:val="20"/>
                <w:lang w:val="en-GB"/>
              </w:rPr>
              <w:t xml:space="preserve"> B, </w:t>
            </w:r>
            <w:r w:rsidRPr="00C05F58">
              <w:rPr>
                <w:rFonts w:cs="Arial"/>
                <w:color w:val="2A2A2A"/>
                <w:sz w:val="20"/>
                <w:szCs w:val="20"/>
                <w:lang w:val="en-GB"/>
              </w:rPr>
              <w:t>Kostbade</w:t>
            </w:r>
            <w:r w:rsidR="008E746B" w:rsidRPr="00C05F58">
              <w:rPr>
                <w:rFonts w:cs="Arial"/>
                <w:color w:val="2A2A2A"/>
                <w:sz w:val="20"/>
                <w:szCs w:val="20"/>
                <w:lang w:val="en-GB"/>
              </w:rPr>
              <w:t xml:space="preserve"> K, </w:t>
            </w:r>
            <w:r w:rsidRPr="00C05F58">
              <w:rPr>
                <w:rFonts w:cs="Arial"/>
                <w:color w:val="2A2A2A"/>
                <w:sz w:val="20"/>
                <w:szCs w:val="20"/>
                <w:lang w:val="en-GB"/>
              </w:rPr>
              <w:t>Worm</w:t>
            </w:r>
            <w:r w:rsidR="008E746B" w:rsidRPr="00C05F58">
              <w:rPr>
                <w:rFonts w:cs="Arial"/>
                <w:color w:val="2A2A2A"/>
                <w:sz w:val="20"/>
                <w:szCs w:val="20"/>
                <w:lang w:val="en-GB"/>
              </w:rPr>
              <w:t xml:space="preserve"> K, </w:t>
            </w:r>
            <w:r w:rsidRPr="00C05F58">
              <w:rPr>
                <w:rFonts w:cs="Arial"/>
                <w:color w:val="2A2A2A"/>
                <w:sz w:val="20"/>
                <w:szCs w:val="20"/>
                <w:lang w:val="en-GB"/>
              </w:rPr>
              <w:t>Schmid</w:t>
            </w:r>
            <w:r w:rsidR="008E746B" w:rsidRPr="00C05F58">
              <w:rPr>
                <w:rFonts w:cs="Arial"/>
                <w:color w:val="2A2A2A"/>
                <w:sz w:val="20"/>
                <w:szCs w:val="20"/>
                <w:lang w:val="en-GB"/>
              </w:rPr>
              <w:t xml:space="preserve"> KW, </w:t>
            </w:r>
            <w:r w:rsidRPr="00C05F58">
              <w:rPr>
                <w:rFonts w:cs="Arial"/>
                <w:color w:val="2A2A2A"/>
                <w:sz w:val="20"/>
                <w:szCs w:val="20"/>
                <w:lang w:val="en-GB"/>
              </w:rPr>
              <w:t>Herold</w:t>
            </w:r>
            <w:r w:rsidR="008E746B" w:rsidRPr="00C05F58">
              <w:rPr>
                <w:rFonts w:cs="Arial"/>
                <w:color w:val="2A2A2A"/>
                <w:sz w:val="20"/>
                <w:szCs w:val="20"/>
                <w:lang w:val="en-GB"/>
              </w:rPr>
              <w:t xml:space="preserve"> T, </w:t>
            </w:r>
            <w:r w:rsidRPr="00C05F58">
              <w:rPr>
                <w:rFonts w:cs="Arial"/>
                <w:color w:val="2A2A2A"/>
                <w:sz w:val="20"/>
                <w:szCs w:val="20"/>
                <w:lang w:val="en-GB"/>
              </w:rPr>
              <w:t>Schuler</w:t>
            </w:r>
            <w:r w:rsidR="008E746B" w:rsidRPr="00C05F58">
              <w:rPr>
                <w:rFonts w:cs="Arial"/>
                <w:color w:val="2A2A2A"/>
                <w:sz w:val="20"/>
                <w:szCs w:val="20"/>
                <w:lang w:val="en-GB"/>
              </w:rPr>
              <w:t xml:space="preserve"> M, </w:t>
            </w:r>
            <w:r w:rsidRPr="00C05F58">
              <w:rPr>
                <w:rFonts w:cs="Arial"/>
                <w:color w:val="2A2A2A"/>
                <w:sz w:val="20"/>
                <w:szCs w:val="20"/>
                <w:lang w:val="en-GB"/>
              </w:rPr>
              <w:t>Trarbach</w:t>
            </w:r>
            <w:r w:rsidR="008E746B" w:rsidRPr="00C05F58">
              <w:rPr>
                <w:rFonts w:cs="Arial"/>
                <w:color w:val="2A2A2A"/>
                <w:sz w:val="20"/>
                <w:szCs w:val="20"/>
                <w:lang w:val="en-GB"/>
              </w:rPr>
              <w:t xml:space="preserve"> T</w:t>
            </w:r>
            <w:r w:rsidR="0045361F" w:rsidRPr="00C05F58">
              <w:rPr>
                <w:rFonts w:cs="Arial"/>
                <w:color w:val="2A2A2A"/>
                <w:sz w:val="20"/>
                <w:szCs w:val="20"/>
                <w:lang w:val="en-GB"/>
              </w:rPr>
              <w:t>. (2016)</w:t>
            </w:r>
            <w:r w:rsidRPr="00C05F58">
              <w:rPr>
                <w:rFonts w:cs="Arial"/>
                <w:color w:val="2A2A2A"/>
                <w:sz w:val="20"/>
                <w:szCs w:val="20"/>
                <w:lang w:val="en-GB"/>
              </w:rPr>
              <w:t xml:space="preserve"> Cetuximab biweekly (q2w) plus mFOLFOX6 as 1st line therapy in patients (pts) with KRAS wild-type (wt) (exon 2) metastatic colorectal cancer (mCRC) – Primary endpoint and subgroup analysis of the CEBIFOX trial, </w:t>
            </w:r>
            <w:r w:rsidRPr="00C05F58">
              <w:rPr>
                <w:rStyle w:val="Hervorhebung"/>
                <w:rFonts w:cs="Arial"/>
                <w:color w:val="2A2A2A"/>
                <w:sz w:val="20"/>
                <w:szCs w:val="20"/>
                <w:lang w:val="en-GB"/>
              </w:rPr>
              <w:t>Annals of Oncology</w:t>
            </w:r>
            <w:r w:rsidRPr="00C05F58">
              <w:rPr>
                <w:rFonts w:cs="Arial"/>
                <w:color w:val="2A2A2A"/>
                <w:sz w:val="20"/>
                <w:szCs w:val="20"/>
                <w:lang w:val="en-GB"/>
              </w:rPr>
              <w:t>, Volume 27, Issue suppl_6, 1 October 2016, 508P</w:t>
            </w:r>
          </w:p>
          <w:p w14:paraId="41EDE506" w14:textId="7F332A72" w:rsidR="001D1BC4" w:rsidRPr="00C05F58" w:rsidRDefault="001D1BC4" w:rsidP="0045361F">
            <w:pPr>
              <w:tabs>
                <w:tab w:val="num" w:pos="1004"/>
              </w:tabs>
              <w:autoSpaceDE/>
              <w:autoSpaceDN/>
              <w:spacing w:afterLines="100" w:after="240" w:line="240" w:lineRule="auto"/>
              <w:jc w:val="both"/>
              <w:rPr>
                <w:rFonts w:cs="Arial"/>
                <w:sz w:val="20"/>
                <w:szCs w:val="20"/>
                <w:lang w:val="en-GB"/>
              </w:rPr>
            </w:pPr>
            <w:r w:rsidRPr="00C05F58">
              <w:rPr>
                <w:rStyle w:val="Fett"/>
                <w:rFonts w:cs="Arial"/>
                <w:b w:val="0"/>
                <w:color w:val="000000"/>
                <w:sz w:val="20"/>
                <w:szCs w:val="20"/>
                <w:lang w:val="en-GB"/>
              </w:rPr>
              <w:t xml:space="preserve">Kasper S, Meiler J, Knipp H, Hoehler T, Reimer P, Steinmetz T, Linden G, Ting S, Markus P, Paul A, Tometten M, Schuler M, Trarbach T. (2013) </w:t>
            </w:r>
            <w:r w:rsidRPr="00C05F58">
              <w:rPr>
                <w:rFonts w:cs="Arial"/>
                <w:sz w:val="20"/>
                <w:szCs w:val="20"/>
                <w:lang w:val="en-GB"/>
              </w:rPr>
              <w:t>Cetuximab biweekly plus mFOLFOX6 as first-line therapy in patients (pts) with KRAS wild-type (wt) metastatic colorectal cancer (mCRC) – an interim analysis of the CEBIFOX trial</w:t>
            </w:r>
            <w:r w:rsidRPr="00C05F58">
              <w:rPr>
                <w:rFonts w:cs="Arial"/>
                <w:i/>
                <w:sz w:val="20"/>
                <w:szCs w:val="20"/>
                <w:lang w:val="en-GB"/>
              </w:rPr>
              <w:t xml:space="preserve"> Onkologie</w:t>
            </w:r>
            <w:r w:rsidRPr="00C05F58">
              <w:rPr>
                <w:rFonts w:cs="Arial"/>
                <w:sz w:val="20"/>
                <w:szCs w:val="20"/>
                <w:lang w:val="en-GB"/>
              </w:rPr>
              <w:t>; 36:105</w:t>
            </w:r>
          </w:p>
          <w:p w14:paraId="64FAB8B0" w14:textId="7B007297" w:rsidR="00036CAE" w:rsidRPr="00C05F58" w:rsidRDefault="001D1BC4" w:rsidP="008E746B">
            <w:pPr>
              <w:spacing w:line="240" w:lineRule="auto"/>
              <w:jc w:val="both"/>
              <w:rPr>
                <w:rFonts w:eastAsiaTheme="minorEastAsia" w:cs="Arial"/>
                <w:b/>
                <w:bCs/>
                <w:sz w:val="20"/>
                <w:szCs w:val="20"/>
                <w:lang w:val="en-GB"/>
              </w:rPr>
            </w:pPr>
            <w:r w:rsidRPr="00C05F58">
              <w:rPr>
                <w:rStyle w:val="Fett"/>
                <w:rFonts w:cs="Arial"/>
                <w:b w:val="0"/>
                <w:color w:val="000000"/>
                <w:sz w:val="20"/>
                <w:szCs w:val="20"/>
                <w:lang w:val="en-GB"/>
              </w:rPr>
              <w:t xml:space="preserve">Kasper S, Meiler J, Knipp H, Hoehler T, Reimer P, Steinmetz T, Berger W, Linden G, Ting S, Markus P, Paul A, Schuler M, Trarbach T. (2013) </w:t>
            </w:r>
            <w:r w:rsidRPr="00C05F58">
              <w:rPr>
                <w:rFonts w:cs="Arial"/>
                <w:color w:val="000000"/>
                <w:sz w:val="20"/>
                <w:szCs w:val="20"/>
                <w:lang w:val="en-GB"/>
              </w:rPr>
              <w:t xml:space="preserve">Cetuximab biweekly plus mFOLFOX6 as first-line therapy in patients (pts) with KRAS wild-type (wt) metastatic colorectal cancer (mCRC): An interim analysis of the CEBIFOX trial. </w:t>
            </w:r>
            <w:r w:rsidRPr="00C05F58">
              <w:rPr>
                <w:rFonts w:cs="Arial"/>
                <w:i/>
                <w:iCs/>
                <w:color w:val="000000"/>
                <w:sz w:val="20"/>
                <w:szCs w:val="20"/>
                <w:lang w:val="en-GB"/>
              </w:rPr>
              <w:t xml:space="preserve">J Clin Oncol; </w:t>
            </w:r>
            <w:r w:rsidRPr="00C05F58">
              <w:rPr>
                <w:rFonts w:cs="Arial"/>
                <w:iCs/>
                <w:color w:val="000000"/>
                <w:sz w:val="20"/>
                <w:szCs w:val="20"/>
                <w:lang w:val="en-GB"/>
              </w:rPr>
              <w:t>31:e14502</w:t>
            </w:r>
          </w:p>
        </w:tc>
      </w:tr>
      <w:tr w:rsidR="00036CAE" w:rsidRPr="00C05F58" w14:paraId="6A7011A4" w14:textId="77777777">
        <w:trPr>
          <w:cantSplit/>
        </w:trPr>
        <w:tc>
          <w:tcPr>
            <w:tcW w:w="5740" w:type="dxa"/>
            <w:gridSpan w:val="2"/>
            <w:tcBorders>
              <w:bottom w:val="nil"/>
            </w:tcBorders>
          </w:tcPr>
          <w:p w14:paraId="7587517B" w14:textId="3B90E70A" w:rsidR="00036CAE" w:rsidRPr="00C05F58" w:rsidRDefault="00C91616">
            <w:pPr>
              <w:spacing w:before="60" w:after="60"/>
              <w:jc w:val="both"/>
              <w:rPr>
                <w:rFonts w:eastAsiaTheme="minorEastAsia" w:cs="Arial"/>
                <w:sz w:val="20"/>
                <w:szCs w:val="20"/>
                <w:lang w:val="en-GB"/>
              </w:rPr>
            </w:pPr>
            <w:r w:rsidRPr="00C05F58">
              <w:rPr>
                <w:rFonts w:eastAsiaTheme="minorEastAsia" w:cs="Arial"/>
                <w:b/>
                <w:bCs/>
                <w:sz w:val="20"/>
                <w:szCs w:val="20"/>
                <w:lang w:val="en-GB"/>
              </w:rPr>
              <w:t>First patient in:</w:t>
            </w:r>
            <w:r w:rsidRPr="00C05F58">
              <w:rPr>
                <w:rFonts w:eastAsiaTheme="minorEastAsia" w:cs="Arial"/>
                <w:sz w:val="20"/>
                <w:szCs w:val="20"/>
                <w:lang w:val="en-GB"/>
              </w:rPr>
              <w:t xml:space="preserve"> </w:t>
            </w:r>
            <w:r w:rsidR="004C4483" w:rsidRPr="00C05F58">
              <w:rPr>
                <w:rFonts w:eastAsiaTheme="minorEastAsia" w:cs="Arial"/>
                <w:sz w:val="20"/>
                <w:szCs w:val="20"/>
                <w:lang w:val="en-GB"/>
              </w:rPr>
              <w:t>14-Aug-2009</w:t>
            </w:r>
          </w:p>
          <w:p w14:paraId="634DC58E" w14:textId="04D091FF" w:rsidR="00036CAE" w:rsidRPr="00C05F58" w:rsidRDefault="00C91616">
            <w:pPr>
              <w:spacing w:before="60" w:after="60"/>
              <w:jc w:val="both"/>
              <w:rPr>
                <w:rFonts w:eastAsiaTheme="minorEastAsia" w:cs="Arial"/>
                <w:sz w:val="20"/>
                <w:szCs w:val="20"/>
                <w:lang w:val="en-GB"/>
              </w:rPr>
            </w:pPr>
            <w:r w:rsidRPr="00C05F58">
              <w:rPr>
                <w:rFonts w:eastAsiaTheme="minorEastAsia" w:cs="Arial"/>
                <w:b/>
                <w:bCs/>
                <w:sz w:val="20"/>
                <w:szCs w:val="20"/>
                <w:lang w:val="en-GB"/>
              </w:rPr>
              <w:t xml:space="preserve">Last patient out: </w:t>
            </w:r>
            <w:r w:rsidR="004C4483" w:rsidRPr="00C05F58">
              <w:rPr>
                <w:rFonts w:eastAsiaTheme="minorEastAsia" w:cs="Arial"/>
                <w:bCs/>
                <w:sz w:val="20"/>
                <w:szCs w:val="20"/>
                <w:lang w:val="en-GB"/>
              </w:rPr>
              <w:t>23-Sep-2016</w:t>
            </w:r>
          </w:p>
        </w:tc>
        <w:tc>
          <w:tcPr>
            <w:tcW w:w="3828" w:type="dxa"/>
            <w:tcBorders>
              <w:top w:val="nil"/>
              <w:bottom w:val="nil"/>
            </w:tcBorders>
          </w:tcPr>
          <w:p w14:paraId="39A0D74A" w14:textId="34202644" w:rsidR="00036CAE" w:rsidRPr="00C05F58" w:rsidRDefault="00C91616">
            <w:pPr>
              <w:spacing w:before="60" w:after="60"/>
              <w:jc w:val="both"/>
              <w:rPr>
                <w:rFonts w:eastAsiaTheme="minorEastAsia" w:cs="Arial"/>
                <w:sz w:val="20"/>
                <w:szCs w:val="20"/>
                <w:lang w:val="en-GB"/>
              </w:rPr>
            </w:pPr>
            <w:r w:rsidRPr="00C05F58">
              <w:rPr>
                <w:rFonts w:eastAsiaTheme="minorEastAsia" w:cs="Arial"/>
                <w:b/>
                <w:bCs/>
                <w:sz w:val="20"/>
                <w:szCs w:val="20"/>
                <w:lang w:val="en-GB"/>
              </w:rPr>
              <w:t xml:space="preserve">Phase: </w:t>
            </w:r>
            <w:r w:rsidR="004C4483" w:rsidRPr="00C05F58">
              <w:rPr>
                <w:rFonts w:eastAsiaTheme="minorEastAsia" w:cs="Arial"/>
                <w:bCs/>
                <w:sz w:val="20"/>
                <w:szCs w:val="20"/>
                <w:lang w:val="en-GB"/>
              </w:rPr>
              <w:t>II</w:t>
            </w:r>
          </w:p>
        </w:tc>
      </w:tr>
      <w:tr w:rsidR="00036CAE" w:rsidRPr="005870C1" w14:paraId="0437037E" w14:textId="77777777">
        <w:tc>
          <w:tcPr>
            <w:tcW w:w="9568" w:type="dxa"/>
            <w:gridSpan w:val="3"/>
          </w:tcPr>
          <w:p w14:paraId="43FE0E62" w14:textId="77777777" w:rsidR="00036CAE" w:rsidRPr="00C05F58" w:rsidRDefault="00C91616">
            <w:pPr>
              <w:spacing w:before="60" w:after="60"/>
              <w:jc w:val="both"/>
              <w:rPr>
                <w:rFonts w:eastAsiaTheme="minorEastAsia" w:cs="Arial"/>
                <w:b/>
                <w:bCs/>
                <w:sz w:val="20"/>
                <w:szCs w:val="20"/>
                <w:lang w:val="en-GB"/>
              </w:rPr>
            </w:pPr>
            <w:bookmarkStart w:id="2" w:name="_Hlk530747"/>
            <w:r w:rsidRPr="00C05F58">
              <w:rPr>
                <w:rFonts w:eastAsiaTheme="minorEastAsia" w:cs="Arial"/>
                <w:b/>
                <w:bCs/>
                <w:sz w:val="20"/>
                <w:szCs w:val="20"/>
                <w:lang w:val="en-GB"/>
              </w:rPr>
              <w:lastRenderedPageBreak/>
              <w:t>Study objective(s):</w:t>
            </w:r>
            <w:r w:rsidRPr="00C05F58">
              <w:rPr>
                <w:rFonts w:eastAsiaTheme="minorEastAsia" w:cs="Arial"/>
                <w:b/>
                <w:bCs/>
                <w:sz w:val="20"/>
                <w:szCs w:val="20"/>
                <w:lang w:val="en-GB"/>
              </w:rPr>
              <w:tab/>
            </w:r>
          </w:p>
          <w:p w14:paraId="6794C5E9" w14:textId="222AC8B4" w:rsidR="001B1EB6" w:rsidRPr="00C05F58" w:rsidRDefault="001B1EB6">
            <w:pPr>
              <w:spacing w:before="60" w:after="60"/>
              <w:jc w:val="both"/>
              <w:rPr>
                <w:rFonts w:eastAsiaTheme="minorEastAsia" w:cs="Arial"/>
                <w:bCs/>
                <w:sz w:val="20"/>
                <w:szCs w:val="20"/>
                <w:lang w:val="en-GB"/>
              </w:rPr>
            </w:pPr>
            <w:r w:rsidRPr="00C05F58">
              <w:rPr>
                <w:rFonts w:eastAsiaTheme="minorEastAsia" w:cs="Arial"/>
                <w:bCs/>
                <w:sz w:val="20"/>
                <w:szCs w:val="20"/>
                <w:u w:val="single"/>
                <w:lang w:val="en-GB"/>
              </w:rPr>
              <w:t>Primary objective:</w:t>
            </w:r>
            <w:r w:rsidRPr="00C05F58">
              <w:rPr>
                <w:rFonts w:eastAsiaTheme="minorEastAsia" w:cs="Arial"/>
                <w:bCs/>
                <w:sz w:val="20"/>
                <w:szCs w:val="20"/>
                <w:lang w:val="en-GB"/>
              </w:rPr>
              <w:t xml:space="preserve"> </w:t>
            </w:r>
            <w:r w:rsidR="00D538E8" w:rsidRPr="00C05F58">
              <w:rPr>
                <w:rFonts w:eastAsiaTheme="minorEastAsia" w:cs="Arial"/>
                <w:bCs/>
                <w:sz w:val="20"/>
                <w:szCs w:val="20"/>
                <w:lang w:val="en-GB"/>
              </w:rPr>
              <w:t>Response rate using RECIST</w:t>
            </w:r>
            <w:r w:rsidR="00573F82" w:rsidRPr="00C05F58">
              <w:rPr>
                <w:rFonts w:eastAsiaTheme="minorEastAsia" w:cs="Arial"/>
                <w:bCs/>
                <w:sz w:val="20"/>
                <w:szCs w:val="20"/>
                <w:lang w:val="en-GB"/>
              </w:rPr>
              <w:t xml:space="preserve"> </w:t>
            </w:r>
            <w:r w:rsidR="00D538E8" w:rsidRPr="00C05F58">
              <w:rPr>
                <w:rFonts w:eastAsiaTheme="minorEastAsia" w:cs="Arial"/>
                <w:bCs/>
                <w:sz w:val="20"/>
                <w:szCs w:val="20"/>
                <w:lang w:val="en-GB"/>
              </w:rPr>
              <w:t>Criteria</w:t>
            </w:r>
            <w:r w:rsidR="000E1BD5" w:rsidRPr="00C05F58">
              <w:rPr>
                <w:rFonts w:eastAsiaTheme="minorEastAsia" w:cs="Arial"/>
                <w:bCs/>
                <w:sz w:val="20"/>
                <w:szCs w:val="20"/>
                <w:lang w:val="en-GB"/>
              </w:rPr>
              <w:t xml:space="preserve"> </w:t>
            </w:r>
            <w:r w:rsidR="00573F82" w:rsidRPr="00C05F58">
              <w:rPr>
                <w:rFonts w:eastAsiaTheme="minorEastAsia" w:cs="Arial"/>
                <w:bCs/>
                <w:sz w:val="20"/>
                <w:szCs w:val="20"/>
                <w:lang w:val="en-GB"/>
              </w:rPr>
              <w:t>V.</w:t>
            </w:r>
            <w:r w:rsidR="000E1BD5" w:rsidRPr="00C05F58">
              <w:rPr>
                <w:rFonts w:eastAsiaTheme="minorEastAsia" w:cs="Arial"/>
                <w:bCs/>
                <w:sz w:val="20"/>
                <w:szCs w:val="20"/>
                <w:lang w:val="en-GB"/>
              </w:rPr>
              <w:t xml:space="preserve"> 1.0</w:t>
            </w:r>
          </w:p>
          <w:p w14:paraId="5253B2FC" w14:textId="77777777" w:rsidR="001B1EB6" w:rsidRPr="00C05F58" w:rsidRDefault="001B1EB6" w:rsidP="001B1EB6">
            <w:pPr>
              <w:spacing w:before="60" w:after="60"/>
              <w:jc w:val="both"/>
              <w:rPr>
                <w:rFonts w:eastAsiaTheme="minorEastAsia" w:cs="Arial"/>
                <w:sz w:val="20"/>
                <w:szCs w:val="20"/>
                <w:lang w:val="en-GB"/>
              </w:rPr>
            </w:pPr>
            <w:r w:rsidRPr="00C05F58">
              <w:rPr>
                <w:rFonts w:eastAsiaTheme="minorEastAsia" w:cs="Arial"/>
                <w:sz w:val="20"/>
                <w:szCs w:val="20"/>
                <w:lang w:val="en-GB"/>
              </w:rPr>
              <w:t xml:space="preserve">Secondary objectives: </w:t>
            </w:r>
          </w:p>
          <w:p w14:paraId="0F42EA6E" w14:textId="700650E6" w:rsidR="001B1EB6" w:rsidRPr="00C05F58" w:rsidRDefault="001B1EB6" w:rsidP="005870C1">
            <w:pPr>
              <w:pStyle w:val="Listenabsatz"/>
              <w:numPr>
                <w:ilvl w:val="0"/>
                <w:numId w:val="23"/>
              </w:numPr>
              <w:spacing w:before="60" w:after="60"/>
              <w:jc w:val="both"/>
              <w:rPr>
                <w:rFonts w:eastAsiaTheme="minorEastAsia" w:cs="Arial"/>
                <w:sz w:val="20"/>
                <w:szCs w:val="20"/>
                <w:lang w:val="en-GB"/>
              </w:rPr>
            </w:pPr>
            <w:r w:rsidRPr="00C05F58">
              <w:rPr>
                <w:rFonts w:eastAsiaTheme="minorEastAsia" w:cs="Arial"/>
                <w:sz w:val="20"/>
                <w:szCs w:val="20"/>
                <w:lang w:val="en-GB"/>
              </w:rPr>
              <w:t>Safety</w:t>
            </w:r>
          </w:p>
          <w:p w14:paraId="506C398A" w14:textId="7132C327" w:rsidR="005870C1" w:rsidRDefault="005870C1" w:rsidP="005870C1">
            <w:pPr>
              <w:pStyle w:val="Listenabsatz"/>
              <w:numPr>
                <w:ilvl w:val="0"/>
                <w:numId w:val="23"/>
              </w:numPr>
              <w:spacing w:before="60" w:after="60"/>
              <w:jc w:val="both"/>
              <w:rPr>
                <w:rFonts w:eastAsiaTheme="minorEastAsia" w:cs="Arial"/>
                <w:sz w:val="20"/>
                <w:szCs w:val="20"/>
                <w:lang w:val="en-GB"/>
              </w:rPr>
            </w:pPr>
            <w:r>
              <w:rPr>
                <w:rFonts w:eastAsiaTheme="minorEastAsia" w:cs="Arial"/>
                <w:sz w:val="20"/>
                <w:szCs w:val="20"/>
                <w:lang w:val="en-GB"/>
              </w:rPr>
              <w:t>Disease control rate</w:t>
            </w:r>
          </w:p>
          <w:p w14:paraId="395C2DB8" w14:textId="01109039" w:rsidR="00847B0A" w:rsidRDefault="00847B0A" w:rsidP="005870C1">
            <w:pPr>
              <w:pStyle w:val="Listenabsatz"/>
              <w:numPr>
                <w:ilvl w:val="0"/>
                <w:numId w:val="23"/>
              </w:numPr>
              <w:spacing w:before="60" w:after="60"/>
              <w:jc w:val="both"/>
              <w:rPr>
                <w:rFonts w:eastAsiaTheme="minorEastAsia" w:cs="Arial"/>
                <w:sz w:val="20"/>
                <w:szCs w:val="20"/>
                <w:lang w:val="en-GB"/>
              </w:rPr>
            </w:pPr>
            <w:r>
              <w:rPr>
                <w:rFonts w:eastAsiaTheme="minorEastAsia" w:cs="Arial"/>
                <w:sz w:val="20"/>
                <w:szCs w:val="20"/>
                <w:lang w:val="en-GB"/>
              </w:rPr>
              <w:t>Treatment duration</w:t>
            </w:r>
          </w:p>
          <w:p w14:paraId="4B3B2AF5" w14:textId="73A91A20" w:rsidR="005870C1" w:rsidRDefault="005870C1" w:rsidP="005870C1">
            <w:pPr>
              <w:pStyle w:val="Listenabsatz"/>
              <w:numPr>
                <w:ilvl w:val="0"/>
                <w:numId w:val="23"/>
              </w:numPr>
              <w:spacing w:before="60" w:after="60"/>
              <w:jc w:val="both"/>
              <w:rPr>
                <w:rFonts w:eastAsiaTheme="minorEastAsia" w:cs="Arial"/>
                <w:sz w:val="20"/>
                <w:szCs w:val="20"/>
                <w:lang w:val="en-GB"/>
              </w:rPr>
            </w:pPr>
            <w:r>
              <w:rPr>
                <w:rFonts w:eastAsiaTheme="minorEastAsia" w:cs="Arial"/>
                <w:sz w:val="20"/>
                <w:szCs w:val="20"/>
                <w:lang w:val="en-GB"/>
              </w:rPr>
              <w:t>Duration of response</w:t>
            </w:r>
          </w:p>
          <w:p w14:paraId="2E0BD412" w14:textId="3E151E60" w:rsidR="000E1BD5" w:rsidRPr="00C05F58" w:rsidRDefault="001B1EB6" w:rsidP="005870C1">
            <w:pPr>
              <w:pStyle w:val="Listenabsatz"/>
              <w:numPr>
                <w:ilvl w:val="0"/>
                <w:numId w:val="23"/>
              </w:numPr>
              <w:spacing w:before="60" w:after="60"/>
              <w:jc w:val="both"/>
              <w:rPr>
                <w:rFonts w:eastAsiaTheme="minorEastAsia" w:cs="Arial"/>
                <w:sz w:val="20"/>
                <w:szCs w:val="20"/>
                <w:lang w:val="en-GB"/>
              </w:rPr>
            </w:pPr>
            <w:r w:rsidRPr="00C05F58">
              <w:rPr>
                <w:rFonts w:eastAsiaTheme="minorEastAsia" w:cs="Arial"/>
                <w:sz w:val="20"/>
                <w:szCs w:val="20"/>
                <w:lang w:val="en-GB"/>
              </w:rPr>
              <w:t>Progression-free survival time</w:t>
            </w:r>
            <w:r w:rsidR="000E1BD5" w:rsidRPr="00C05F58">
              <w:rPr>
                <w:rFonts w:eastAsiaTheme="minorEastAsia" w:cs="Arial"/>
                <w:sz w:val="20"/>
                <w:szCs w:val="20"/>
                <w:lang w:val="en-GB"/>
              </w:rPr>
              <w:t xml:space="preserve"> </w:t>
            </w:r>
          </w:p>
          <w:p w14:paraId="41B58A98" w14:textId="1A96C4F8" w:rsidR="001B1EB6" w:rsidRPr="00C05F58" w:rsidRDefault="001B1EB6" w:rsidP="005870C1">
            <w:pPr>
              <w:pStyle w:val="Listenabsatz"/>
              <w:numPr>
                <w:ilvl w:val="0"/>
                <w:numId w:val="23"/>
              </w:numPr>
              <w:spacing w:before="60" w:after="60"/>
              <w:jc w:val="both"/>
              <w:rPr>
                <w:rFonts w:eastAsiaTheme="minorEastAsia" w:cs="Arial"/>
                <w:sz w:val="20"/>
                <w:szCs w:val="20"/>
                <w:lang w:val="en-GB"/>
              </w:rPr>
            </w:pPr>
            <w:r w:rsidRPr="00C05F58">
              <w:rPr>
                <w:rFonts w:eastAsiaTheme="minorEastAsia" w:cs="Arial"/>
                <w:sz w:val="20"/>
                <w:szCs w:val="20"/>
                <w:lang w:val="en-GB"/>
              </w:rPr>
              <w:t>Overall survival time</w:t>
            </w:r>
            <w:r w:rsidR="000E1BD5" w:rsidRPr="00C05F58">
              <w:rPr>
                <w:rFonts w:eastAsiaTheme="minorEastAsia" w:cs="Arial"/>
                <w:sz w:val="20"/>
                <w:szCs w:val="20"/>
                <w:lang w:val="en-GB"/>
              </w:rPr>
              <w:t xml:space="preserve"> </w:t>
            </w:r>
          </w:p>
          <w:p w14:paraId="35787376" w14:textId="77777777" w:rsidR="005870C1" w:rsidRDefault="005870C1" w:rsidP="005870C1">
            <w:pPr>
              <w:pStyle w:val="Listenabsatz"/>
              <w:numPr>
                <w:ilvl w:val="0"/>
                <w:numId w:val="23"/>
              </w:numPr>
              <w:spacing w:before="60" w:after="60"/>
              <w:jc w:val="both"/>
              <w:rPr>
                <w:rFonts w:eastAsiaTheme="minorEastAsia" w:cs="Arial"/>
                <w:sz w:val="20"/>
                <w:szCs w:val="20"/>
                <w:lang w:val="en-GB"/>
              </w:rPr>
            </w:pPr>
            <w:r>
              <w:rPr>
                <w:rFonts w:eastAsiaTheme="minorEastAsia" w:cs="Arial"/>
                <w:sz w:val="20"/>
                <w:szCs w:val="20"/>
                <w:lang w:val="en-GB"/>
              </w:rPr>
              <w:t>Resection rate of metastases</w:t>
            </w:r>
          </w:p>
          <w:p w14:paraId="6C92B68B" w14:textId="1B198F45" w:rsidR="001B1EB6" w:rsidRPr="00C05F58" w:rsidRDefault="00AB207B" w:rsidP="005870C1">
            <w:pPr>
              <w:pStyle w:val="Listenabsatz"/>
              <w:numPr>
                <w:ilvl w:val="0"/>
                <w:numId w:val="23"/>
              </w:numPr>
              <w:spacing w:before="60" w:after="60"/>
              <w:jc w:val="both"/>
              <w:rPr>
                <w:rFonts w:eastAsiaTheme="minorEastAsia" w:cs="Arial"/>
                <w:sz w:val="20"/>
                <w:szCs w:val="20"/>
                <w:lang w:val="en-GB"/>
              </w:rPr>
            </w:pPr>
            <w:r>
              <w:rPr>
                <w:rFonts w:eastAsiaTheme="minorEastAsia" w:cs="Arial"/>
                <w:sz w:val="20"/>
                <w:szCs w:val="20"/>
                <w:lang w:val="en-GB"/>
              </w:rPr>
              <w:t xml:space="preserve">R0 </w:t>
            </w:r>
            <w:r w:rsidR="001B1EB6" w:rsidRPr="00C05F58">
              <w:rPr>
                <w:rFonts w:eastAsiaTheme="minorEastAsia" w:cs="Arial"/>
                <w:sz w:val="20"/>
                <w:szCs w:val="20"/>
                <w:lang w:val="en-GB"/>
              </w:rPr>
              <w:t>Resec</w:t>
            </w:r>
            <w:r>
              <w:rPr>
                <w:rFonts w:eastAsiaTheme="minorEastAsia" w:cs="Arial"/>
                <w:sz w:val="20"/>
                <w:szCs w:val="20"/>
                <w:lang w:val="en-GB"/>
              </w:rPr>
              <w:t>tion</w:t>
            </w:r>
            <w:r w:rsidR="001B1EB6" w:rsidRPr="00C05F58">
              <w:rPr>
                <w:rFonts w:eastAsiaTheme="minorEastAsia" w:cs="Arial"/>
                <w:sz w:val="20"/>
                <w:szCs w:val="20"/>
                <w:lang w:val="en-GB"/>
              </w:rPr>
              <w:t xml:space="preserve"> rate</w:t>
            </w:r>
            <w:r w:rsidR="002416BC">
              <w:rPr>
                <w:rFonts w:eastAsiaTheme="minorEastAsia" w:cs="Arial"/>
                <w:sz w:val="20"/>
                <w:szCs w:val="20"/>
                <w:lang w:val="en-GB"/>
              </w:rPr>
              <w:t xml:space="preserve"> of metastases</w:t>
            </w:r>
          </w:p>
          <w:p w14:paraId="68619FA9" w14:textId="557D4937" w:rsidR="005870C1" w:rsidRPr="003227CA" w:rsidRDefault="001B1EB6" w:rsidP="003227CA">
            <w:pPr>
              <w:pStyle w:val="Listenabsatz"/>
              <w:numPr>
                <w:ilvl w:val="0"/>
                <w:numId w:val="23"/>
              </w:numPr>
              <w:spacing w:before="60" w:after="60"/>
              <w:jc w:val="both"/>
              <w:rPr>
                <w:rFonts w:eastAsiaTheme="minorEastAsia" w:cs="Arial"/>
                <w:sz w:val="20"/>
                <w:szCs w:val="20"/>
                <w:lang w:val="en-GB"/>
              </w:rPr>
            </w:pPr>
            <w:r w:rsidRPr="00C05F58">
              <w:rPr>
                <w:rFonts w:eastAsiaTheme="minorEastAsia" w:cs="Arial"/>
                <w:sz w:val="20"/>
                <w:szCs w:val="20"/>
                <w:lang w:val="en-GB"/>
              </w:rPr>
              <w:t>Quality of life</w:t>
            </w:r>
          </w:p>
        </w:tc>
      </w:tr>
      <w:tr w:rsidR="00B2103B" w:rsidRPr="00CF003B" w14:paraId="51C7C5E2" w14:textId="77777777">
        <w:tc>
          <w:tcPr>
            <w:tcW w:w="9568" w:type="dxa"/>
            <w:gridSpan w:val="3"/>
          </w:tcPr>
          <w:p w14:paraId="03839181" w14:textId="77777777" w:rsidR="00B2103B" w:rsidRPr="00C05F58" w:rsidRDefault="00B2103B">
            <w:pPr>
              <w:spacing w:after="60"/>
              <w:jc w:val="both"/>
              <w:rPr>
                <w:rFonts w:eastAsiaTheme="minorEastAsia" w:cs="Arial"/>
                <w:b/>
                <w:bCs/>
                <w:sz w:val="20"/>
                <w:szCs w:val="20"/>
                <w:lang w:val="en-GB"/>
              </w:rPr>
            </w:pPr>
            <w:r w:rsidRPr="00C05F58">
              <w:rPr>
                <w:rFonts w:eastAsiaTheme="minorEastAsia" w:cs="Arial"/>
                <w:b/>
                <w:bCs/>
                <w:sz w:val="20"/>
                <w:szCs w:val="20"/>
                <w:lang w:val="en-GB"/>
              </w:rPr>
              <w:t>Trial design:</w:t>
            </w:r>
          </w:p>
          <w:p w14:paraId="4D8DBE3B" w14:textId="7E033172" w:rsidR="00B66B5C" w:rsidRPr="00C05F58" w:rsidRDefault="001B1EB6" w:rsidP="009F1FD3">
            <w:pPr>
              <w:spacing w:after="60"/>
              <w:jc w:val="both"/>
              <w:rPr>
                <w:rFonts w:eastAsiaTheme="minorEastAsia" w:cs="Arial"/>
                <w:bCs/>
                <w:sz w:val="20"/>
                <w:szCs w:val="20"/>
                <w:lang w:val="en-GB"/>
              </w:rPr>
            </w:pPr>
            <w:r w:rsidRPr="00C05F58">
              <w:rPr>
                <w:rFonts w:eastAsiaTheme="minorEastAsia" w:cs="Arial"/>
                <w:bCs/>
                <w:sz w:val="20"/>
                <w:szCs w:val="20"/>
                <w:lang w:val="en-GB"/>
              </w:rPr>
              <w:t xml:space="preserve">Open, prospective, multicenter phase II study </w:t>
            </w:r>
          </w:p>
        </w:tc>
      </w:tr>
      <w:tr w:rsidR="00036CAE" w:rsidRPr="00CF003B" w14:paraId="18CEC984" w14:textId="77777777">
        <w:tc>
          <w:tcPr>
            <w:tcW w:w="9568" w:type="dxa"/>
            <w:gridSpan w:val="3"/>
          </w:tcPr>
          <w:p w14:paraId="7D68677D" w14:textId="6E8F94DD" w:rsidR="00036CAE" w:rsidRPr="00C05F58" w:rsidRDefault="00C91616">
            <w:pPr>
              <w:spacing w:after="60"/>
              <w:jc w:val="both"/>
              <w:rPr>
                <w:rFonts w:eastAsiaTheme="minorEastAsia" w:cs="Arial"/>
                <w:b/>
                <w:bCs/>
                <w:sz w:val="20"/>
                <w:szCs w:val="20"/>
                <w:lang w:val="en-GB"/>
              </w:rPr>
            </w:pPr>
            <w:r w:rsidRPr="00C05F58">
              <w:rPr>
                <w:rFonts w:eastAsiaTheme="minorEastAsia" w:cs="Arial"/>
                <w:b/>
                <w:bCs/>
                <w:sz w:val="20"/>
                <w:szCs w:val="20"/>
                <w:lang w:val="en-GB"/>
              </w:rPr>
              <w:t>Methods:</w:t>
            </w:r>
          </w:p>
          <w:p w14:paraId="261B0304" w14:textId="4BC4F7C8" w:rsidR="00B66B5C" w:rsidRPr="00C05F58" w:rsidRDefault="00B66B5C" w:rsidP="004846E3">
            <w:pPr>
              <w:jc w:val="both"/>
              <w:rPr>
                <w:rFonts w:eastAsiaTheme="minorEastAsia" w:cs="Arial"/>
                <w:sz w:val="20"/>
                <w:szCs w:val="20"/>
                <w:lang w:val="en-GB"/>
              </w:rPr>
            </w:pPr>
            <w:r w:rsidRPr="00C05F58">
              <w:rPr>
                <w:rFonts w:eastAsiaTheme="minorEastAsia" w:cs="Arial"/>
                <w:sz w:val="20"/>
                <w:szCs w:val="20"/>
                <w:lang w:val="en-GB"/>
              </w:rPr>
              <w:t>This study evaluated the efficacy and safety of a bi-weekly combination of cetuximab with FOLFOX. Out of the various FOLFOX regimens the most convenient FOLFOX-6 schedule was chosen for the study, which has been tested before in two studies in combination with the standard weekly schedule of cetuximab.</w:t>
            </w:r>
          </w:p>
          <w:p w14:paraId="0DA320CD" w14:textId="5D86F626" w:rsidR="001B1EB6" w:rsidRPr="00C05F58" w:rsidRDefault="001B1EB6" w:rsidP="004846E3">
            <w:pPr>
              <w:jc w:val="both"/>
              <w:rPr>
                <w:rFonts w:eastAsiaTheme="minorEastAsia" w:cs="Arial"/>
                <w:sz w:val="20"/>
                <w:szCs w:val="20"/>
                <w:lang w:val="en-GB"/>
              </w:rPr>
            </w:pPr>
            <w:r w:rsidRPr="00C05F58">
              <w:rPr>
                <w:rFonts w:eastAsiaTheme="minorEastAsia" w:cs="Arial"/>
                <w:sz w:val="20"/>
                <w:szCs w:val="20"/>
                <w:lang w:val="en-GB"/>
              </w:rPr>
              <w:t xml:space="preserve">Upon obtaining signed informed consent, screening evaluations were performed to confirm eligibility and to obtain baseline safety data. Enrolled patients </w:t>
            </w:r>
            <w:r w:rsidR="009F1FD3" w:rsidRPr="00C05F58">
              <w:rPr>
                <w:rFonts w:eastAsiaTheme="minorEastAsia" w:cs="Arial"/>
                <w:sz w:val="20"/>
                <w:szCs w:val="20"/>
                <w:lang w:val="en-GB"/>
              </w:rPr>
              <w:t xml:space="preserve">with metastatic colorectal carcinoma with wild-type </w:t>
            </w:r>
            <w:r w:rsidR="003939C6" w:rsidRPr="00C05F58">
              <w:rPr>
                <w:rFonts w:eastAsiaTheme="minorEastAsia" w:cs="Arial"/>
                <w:i/>
                <w:sz w:val="20"/>
                <w:szCs w:val="20"/>
                <w:lang w:val="en-GB"/>
              </w:rPr>
              <w:t>KRAS (Exon 2)</w:t>
            </w:r>
            <w:r w:rsidR="009F1FD3" w:rsidRPr="00C05F58">
              <w:rPr>
                <w:rFonts w:eastAsiaTheme="minorEastAsia" w:cs="Arial"/>
                <w:i/>
                <w:sz w:val="20"/>
                <w:szCs w:val="20"/>
                <w:lang w:val="en-GB"/>
              </w:rPr>
              <w:t xml:space="preserve"> </w:t>
            </w:r>
            <w:r w:rsidRPr="00C05F58">
              <w:rPr>
                <w:rFonts w:eastAsiaTheme="minorEastAsia" w:cs="Arial"/>
                <w:sz w:val="20"/>
                <w:szCs w:val="20"/>
                <w:lang w:val="en-GB"/>
              </w:rPr>
              <w:t>received a</w:t>
            </w:r>
            <w:r w:rsidR="009F1FD3" w:rsidRPr="00C05F58">
              <w:rPr>
                <w:sz w:val="20"/>
                <w:szCs w:val="20"/>
                <w:lang w:val="en-GB"/>
              </w:rPr>
              <w:t xml:space="preserve"> </w:t>
            </w:r>
            <w:r w:rsidR="009F1FD3" w:rsidRPr="00C05F58">
              <w:rPr>
                <w:rFonts w:eastAsiaTheme="minorEastAsia" w:cs="Arial"/>
                <w:sz w:val="20"/>
                <w:szCs w:val="20"/>
                <w:lang w:val="en-GB"/>
              </w:rPr>
              <w:t xml:space="preserve">bi-weekly cetuximab </w:t>
            </w:r>
            <w:r w:rsidR="003C5C0A" w:rsidRPr="00C05F58">
              <w:rPr>
                <w:rFonts w:eastAsiaTheme="minorEastAsia" w:cs="Arial"/>
                <w:sz w:val="20"/>
                <w:szCs w:val="20"/>
                <w:lang w:val="en-GB"/>
              </w:rPr>
              <w:t>administration</w:t>
            </w:r>
            <w:r w:rsidR="009F1FD3" w:rsidRPr="00C05F58">
              <w:rPr>
                <w:rFonts w:eastAsiaTheme="minorEastAsia" w:cs="Arial"/>
                <w:sz w:val="20"/>
                <w:szCs w:val="20"/>
                <w:lang w:val="en-GB"/>
              </w:rPr>
              <w:t xml:space="preserve"> in combination with FOLFOX-6 regimen. Treatment was continued until progressive disease was documented or unacceptable toxicity occurred.</w:t>
            </w:r>
          </w:p>
          <w:p w14:paraId="32F5BD9B" w14:textId="77777777" w:rsidR="009F1FD3" w:rsidRPr="00C05F58" w:rsidRDefault="009F1FD3" w:rsidP="004846E3">
            <w:pPr>
              <w:jc w:val="both"/>
              <w:rPr>
                <w:rFonts w:eastAsiaTheme="minorEastAsia" w:cs="Arial"/>
                <w:sz w:val="20"/>
                <w:szCs w:val="20"/>
                <w:lang w:val="en-GB"/>
              </w:rPr>
            </w:pPr>
            <w:r w:rsidRPr="00C05F58">
              <w:rPr>
                <w:rFonts w:eastAsiaTheme="minorEastAsia" w:cs="Arial"/>
                <w:sz w:val="20"/>
                <w:szCs w:val="20"/>
                <w:lang w:val="en-GB"/>
              </w:rPr>
              <w:t>Response was assessed on CT- or MRI-scans every 8 weeks until progression of disease.</w:t>
            </w:r>
          </w:p>
          <w:p w14:paraId="4B0BC366" w14:textId="05BDCB51" w:rsidR="00B66B5C" w:rsidRPr="00C05F58" w:rsidRDefault="00B66B5C" w:rsidP="004846E3">
            <w:pPr>
              <w:jc w:val="both"/>
              <w:rPr>
                <w:rFonts w:eastAsiaTheme="minorEastAsia" w:cs="Arial"/>
                <w:sz w:val="20"/>
                <w:szCs w:val="20"/>
                <w:lang w:val="en-GB"/>
              </w:rPr>
            </w:pPr>
            <w:r w:rsidRPr="00C05F58">
              <w:rPr>
                <w:rFonts w:eastAsiaTheme="minorEastAsia" w:cs="Arial"/>
                <w:sz w:val="20"/>
                <w:szCs w:val="20"/>
                <w:lang w:val="en-GB"/>
              </w:rPr>
              <w:t xml:space="preserve">Adverse events were categorized in </w:t>
            </w:r>
            <w:r w:rsidR="00573F82" w:rsidRPr="00C05F58">
              <w:rPr>
                <w:rFonts w:eastAsiaTheme="minorEastAsia" w:cs="Arial"/>
                <w:sz w:val="20"/>
                <w:szCs w:val="20"/>
                <w:lang w:val="en-GB"/>
              </w:rPr>
              <w:t xml:space="preserve">regard </w:t>
            </w:r>
            <w:r w:rsidRPr="00C05F58">
              <w:rPr>
                <w:rFonts w:eastAsiaTheme="minorEastAsia" w:cs="Arial"/>
                <w:sz w:val="20"/>
                <w:szCs w:val="20"/>
                <w:lang w:val="en-GB"/>
              </w:rPr>
              <w:t xml:space="preserve">to their relationship to treatment with cetuximab or the chemotherapeutic compounds (oxaliplatin, folinic acid, fluorouracil) using National Cancer Institute (NCI) Common Terminology Criteria for Adverse Events (CTCAE) grading (version 3.0), </w:t>
            </w:r>
            <w:r w:rsidR="00573F82" w:rsidRPr="00C05F58">
              <w:rPr>
                <w:rFonts w:eastAsiaTheme="minorEastAsia" w:cs="Arial"/>
                <w:sz w:val="20"/>
                <w:szCs w:val="20"/>
                <w:lang w:val="en-GB"/>
              </w:rPr>
              <w:t xml:space="preserve">severity, </w:t>
            </w:r>
            <w:r w:rsidRPr="00C05F58">
              <w:rPr>
                <w:rFonts w:eastAsiaTheme="minorEastAsia" w:cs="Arial"/>
                <w:sz w:val="20"/>
                <w:szCs w:val="20"/>
                <w:lang w:val="en-GB"/>
              </w:rPr>
              <w:t>action taken, and outcome.</w:t>
            </w:r>
          </w:p>
          <w:p w14:paraId="77C1A87C" w14:textId="6A234349" w:rsidR="00B66B5C" w:rsidRPr="00C05F58" w:rsidRDefault="000E1BD5" w:rsidP="004846E3">
            <w:pPr>
              <w:jc w:val="both"/>
              <w:rPr>
                <w:rFonts w:eastAsiaTheme="minorEastAsia" w:cs="Arial"/>
                <w:sz w:val="20"/>
                <w:szCs w:val="20"/>
                <w:lang w:val="en-GB"/>
              </w:rPr>
            </w:pPr>
            <w:r w:rsidRPr="00C05F58">
              <w:rPr>
                <w:rFonts w:eastAsiaTheme="minorEastAsia" w:cs="Arial"/>
                <w:sz w:val="20"/>
                <w:szCs w:val="20"/>
                <w:lang w:val="en-GB"/>
              </w:rPr>
              <w:t xml:space="preserve">For </w:t>
            </w:r>
            <w:r w:rsidR="004D3AB4" w:rsidRPr="00C05F58">
              <w:rPr>
                <w:rFonts w:eastAsiaTheme="minorEastAsia" w:cs="Arial"/>
                <w:sz w:val="20"/>
                <w:szCs w:val="20"/>
                <w:lang w:val="en-GB"/>
              </w:rPr>
              <w:t xml:space="preserve">assessment of </w:t>
            </w:r>
            <w:r w:rsidRPr="00C05F58">
              <w:rPr>
                <w:rFonts w:eastAsiaTheme="minorEastAsia" w:cs="Arial"/>
                <w:sz w:val="20"/>
                <w:szCs w:val="20"/>
                <w:lang w:val="en-GB"/>
              </w:rPr>
              <w:t>Quality of life</w:t>
            </w:r>
            <w:r w:rsidR="004D3AB4" w:rsidRPr="00C05F58">
              <w:rPr>
                <w:rFonts w:eastAsiaTheme="minorEastAsia" w:cs="Arial"/>
                <w:sz w:val="20"/>
                <w:szCs w:val="20"/>
                <w:lang w:val="en-GB"/>
              </w:rPr>
              <w:t>,</w:t>
            </w:r>
            <w:r w:rsidRPr="00C05F58">
              <w:rPr>
                <w:rFonts w:eastAsiaTheme="minorEastAsia" w:cs="Arial"/>
                <w:sz w:val="20"/>
                <w:szCs w:val="20"/>
                <w:lang w:val="en-GB"/>
              </w:rPr>
              <w:t xml:space="preserve"> EORTC-QLQ C 30 + CRC C38, DLQI and Skindex 16 questionnaires </w:t>
            </w:r>
            <w:r w:rsidR="004D3AB4" w:rsidRPr="00C05F58">
              <w:rPr>
                <w:rFonts w:eastAsiaTheme="minorEastAsia" w:cs="Arial"/>
                <w:sz w:val="20"/>
                <w:szCs w:val="20"/>
                <w:lang w:val="en-GB"/>
              </w:rPr>
              <w:t>had to</w:t>
            </w:r>
            <w:r w:rsidRPr="00C05F58">
              <w:rPr>
                <w:rFonts w:eastAsiaTheme="minorEastAsia" w:cs="Arial"/>
                <w:sz w:val="20"/>
                <w:szCs w:val="20"/>
                <w:lang w:val="en-GB"/>
              </w:rPr>
              <w:t xml:space="preserve"> be filled </w:t>
            </w:r>
            <w:r w:rsidR="004D3AB4" w:rsidRPr="00C05F58">
              <w:rPr>
                <w:rFonts w:eastAsiaTheme="minorEastAsia" w:cs="Arial"/>
                <w:sz w:val="20"/>
                <w:szCs w:val="20"/>
                <w:lang w:val="en-GB"/>
              </w:rPr>
              <w:t xml:space="preserve">in by patients </w:t>
            </w:r>
            <w:r w:rsidRPr="00C05F58">
              <w:rPr>
                <w:rFonts w:eastAsiaTheme="minorEastAsia" w:cs="Arial"/>
                <w:sz w:val="20"/>
                <w:szCs w:val="20"/>
                <w:lang w:val="en-GB"/>
              </w:rPr>
              <w:t>at baseline, every 2 weeks during study treatment, at the end of study treatment and during follow-up visits.</w:t>
            </w:r>
          </w:p>
          <w:p w14:paraId="77FF50E1" w14:textId="0FEB2589" w:rsidR="00B66B5C" w:rsidRPr="00C05F58" w:rsidRDefault="00B66B5C" w:rsidP="00B66B5C">
            <w:pPr>
              <w:spacing w:after="60"/>
              <w:jc w:val="both"/>
              <w:rPr>
                <w:rFonts w:eastAsiaTheme="minorEastAsia" w:cs="Arial"/>
                <w:sz w:val="20"/>
                <w:szCs w:val="20"/>
                <w:lang w:val="en-GB"/>
              </w:rPr>
            </w:pPr>
          </w:p>
        </w:tc>
      </w:tr>
      <w:tr w:rsidR="00036CAE" w:rsidRPr="00CF003B" w14:paraId="676225CC" w14:textId="77777777">
        <w:trPr>
          <w:cantSplit/>
          <w:trHeight w:val="158"/>
        </w:trPr>
        <w:tc>
          <w:tcPr>
            <w:tcW w:w="9568" w:type="dxa"/>
            <w:gridSpan w:val="3"/>
          </w:tcPr>
          <w:p w14:paraId="6F427146" w14:textId="3CC1B1CE" w:rsidR="00036CAE" w:rsidRPr="00C05F58" w:rsidRDefault="00C91616">
            <w:pPr>
              <w:spacing w:before="60"/>
              <w:jc w:val="both"/>
              <w:rPr>
                <w:rFonts w:eastAsia="TimesNewRoman" w:cs="Arial"/>
                <w:b/>
                <w:bCs/>
                <w:sz w:val="20"/>
                <w:szCs w:val="20"/>
                <w:lang w:val="en-GB"/>
              </w:rPr>
            </w:pPr>
            <w:r w:rsidRPr="00C05F58">
              <w:rPr>
                <w:rFonts w:eastAsia="TimesNewRoman" w:cs="Arial"/>
                <w:b/>
                <w:bCs/>
                <w:sz w:val="20"/>
                <w:szCs w:val="20"/>
                <w:lang w:val="en-GB"/>
              </w:rPr>
              <w:t>Number of patients (planned and analyzed)</w:t>
            </w:r>
          </w:p>
          <w:p w14:paraId="72CD3C87" w14:textId="11A6F6E7" w:rsidR="009F1FD3" w:rsidRPr="00C05F58" w:rsidRDefault="009F1FD3" w:rsidP="009F1FD3">
            <w:pPr>
              <w:spacing w:before="60"/>
              <w:jc w:val="both"/>
              <w:rPr>
                <w:rFonts w:eastAsia="TimesNewRoman" w:cs="Arial"/>
                <w:bCs/>
                <w:sz w:val="20"/>
                <w:szCs w:val="20"/>
                <w:lang w:val="en-GB"/>
              </w:rPr>
            </w:pPr>
            <w:r w:rsidRPr="00C05F58">
              <w:rPr>
                <w:rFonts w:eastAsia="TimesNewRoman" w:cs="Arial"/>
                <w:bCs/>
                <w:sz w:val="20"/>
                <w:szCs w:val="20"/>
                <w:u w:val="single"/>
                <w:lang w:val="en-GB"/>
              </w:rPr>
              <w:t>Planned:</w:t>
            </w:r>
            <w:r w:rsidRPr="00C05F58">
              <w:rPr>
                <w:rFonts w:eastAsia="TimesNewRoman" w:cs="Arial"/>
                <w:bCs/>
                <w:sz w:val="20"/>
                <w:szCs w:val="20"/>
                <w:lang w:val="en-GB"/>
              </w:rPr>
              <w:t xml:space="preserve"> 59 patients</w:t>
            </w:r>
            <w:r w:rsidR="00067B48">
              <w:rPr>
                <w:rFonts w:eastAsia="TimesNewRoman" w:cs="Arial"/>
                <w:bCs/>
                <w:sz w:val="20"/>
                <w:szCs w:val="20"/>
                <w:lang w:val="en-GB"/>
              </w:rPr>
              <w:t>, to have 53 evaluable patients</w:t>
            </w:r>
          </w:p>
          <w:p w14:paraId="5812AB28" w14:textId="77777777" w:rsidR="009F1FD3" w:rsidRPr="00C05F58" w:rsidRDefault="009F1FD3" w:rsidP="009F1FD3">
            <w:pPr>
              <w:spacing w:before="60"/>
              <w:jc w:val="both"/>
              <w:rPr>
                <w:rFonts w:eastAsia="TimesNewRoman" w:cs="Arial"/>
                <w:bCs/>
                <w:sz w:val="20"/>
                <w:szCs w:val="20"/>
                <w:lang w:val="en-GB"/>
              </w:rPr>
            </w:pPr>
            <w:r w:rsidRPr="00C05F58">
              <w:rPr>
                <w:rFonts w:eastAsia="TimesNewRoman" w:cs="Arial"/>
                <w:bCs/>
                <w:sz w:val="20"/>
                <w:szCs w:val="20"/>
                <w:u w:val="single"/>
                <w:lang w:val="en-GB"/>
              </w:rPr>
              <w:t>Analyzed:</w:t>
            </w:r>
            <w:r w:rsidRPr="00C05F58">
              <w:rPr>
                <w:rFonts w:eastAsia="TimesNewRoman" w:cs="Arial"/>
                <w:bCs/>
                <w:sz w:val="20"/>
                <w:szCs w:val="20"/>
                <w:lang w:val="en-GB"/>
              </w:rPr>
              <w:t xml:space="preserve"> </w:t>
            </w:r>
          </w:p>
          <w:p w14:paraId="794FF398" w14:textId="3555B197" w:rsidR="009F1FD3" w:rsidRPr="00C05F58" w:rsidRDefault="009F1FD3" w:rsidP="006D4C74">
            <w:pPr>
              <w:pStyle w:val="Listenabsatz"/>
              <w:numPr>
                <w:ilvl w:val="0"/>
                <w:numId w:val="25"/>
              </w:numPr>
              <w:spacing w:before="60"/>
              <w:jc w:val="both"/>
              <w:rPr>
                <w:rFonts w:eastAsia="TimesNewRoman" w:cs="Arial"/>
                <w:bCs/>
                <w:sz w:val="20"/>
                <w:szCs w:val="20"/>
                <w:lang w:val="en-GB"/>
              </w:rPr>
            </w:pPr>
            <w:r w:rsidRPr="00C05F58">
              <w:rPr>
                <w:rFonts w:eastAsia="TimesNewRoman" w:cs="Arial"/>
                <w:bCs/>
                <w:sz w:val="20"/>
                <w:szCs w:val="20"/>
                <w:lang w:val="en-GB"/>
              </w:rPr>
              <w:t xml:space="preserve">57 patients in ITT set (received at least one </w:t>
            </w:r>
            <w:r w:rsidR="00164F0F" w:rsidRPr="00C05F58">
              <w:rPr>
                <w:rFonts w:eastAsia="TimesNewRoman" w:cs="Arial"/>
                <w:bCs/>
                <w:sz w:val="20"/>
                <w:szCs w:val="20"/>
                <w:lang w:val="en-GB"/>
              </w:rPr>
              <w:t>dose</w:t>
            </w:r>
            <w:r w:rsidRPr="00C05F58">
              <w:rPr>
                <w:rFonts w:eastAsia="TimesNewRoman" w:cs="Arial"/>
                <w:bCs/>
                <w:sz w:val="20"/>
                <w:szCs w:val="20"/>
                <w:lang w:val="en-GB"/>
              </w:rPr>
              <w:t xml:space="preserve"> of </w:t>
            </w:r>
            <w:r w:rsidR="00164F0F" w:rsidRPr="00C05F58">
              <w:rPr>
                <w:rFonts w:eastAsia="TimesNewRoman" w:cs="Arial"/>
                <w:bCs/>
                <w:sz w:val="20"/>
                <w:szCs w:val="20"/>
                <w:lang w:val="en-GB"/>
              </w:rPr>
              <w:t>any study treatment</w:t>
            </w:r>
            <w:r w:rsidRPr="00C05F58">
              <w:rPr>
                <w:rFonts w:eastAsia="TimesNewRoman" w:cs="Arial"/>
                <w:bCs/>
                <w:sz w:val="20"/>
                <w:szCs w:val="20"/>
                <w:lang w:val="en-GB"/>
              </w:rPr>
              <w:t>)</w:t>
            </w:r>
          </w:p>
          <w:p w14:paraId="7E7946D6" w14:textId="231F87C8" w:rsidR="009F1FD3" w:rsidRPr="00C05F58" w:rsidRDefault="00BF3F50" w:rsidP="006D4C74">
            <w:pPr>
              <w:pStyle w:val="Listenabsatz"/>
              <w:numPr>
                <w:ilvl w:val="0"/>
                <w:numId w:val="25"/>
              </w:numPr>
              <w:spacing w:before="60"/>
              <w:jc w:val="both"/>
              <w:rPr>
                <w:rFonts w:eastAsia="TimesNewRoman" w:cs="Arial"/>
                <w:bCs/>
                <w:sz w:val="20"/>
                <w:szCs w:val="20"/>
                <w:lang w:val="en-GB"/>
              </w:rPr>
            </w:pPr>
            <w:r w:rsidRPr="00C05F58">
              <w:rPr>
                <w:rFonts w:eastAsia="TimesNewRoman" w:cs="Arial"/>
                <w:bCs/>
                <w:sz w:val="20"/>
                <w:szCs w:val="20"/>
                <w:lang w:val="en-GB"/>
              </w:rPr>
              <w:t xml:space="preserve">57 </w:t>
            </w:r>
            <w:r w:rsidR="009F1FD3" w:rsidRPr="00C05F58">
              <w:rPr>
                <w:rFonts w:eastAsia="TimesNewRoman" w:cs="Arial"/>
                <w:bCs/>
                <w:sz w:val="20"/>
                <w:szCs w:val="20"/>
                <w:lang w:val="en-GB"/>
              </w:rPr>
              <w:t xml:space="preserve">patients in safety set (received at least 1 </w:t>
            </w:r>
            <w:r w:rsidR="00164F0F" w:rsidRPr="00C05F58">
              <w:rPr>
                <w:rFonts w:eastAsia="TimesNewRoman" w:cs="Arial"/>
                <w:bCs/>
                <w:sz w:val="20"/>
                <w:szCs w:val="20"/>
                <w:lang w:val="en-GB"/>
              </w:rPr>
              <w:t xml:space="preserve">dose </w:t>
            </w:r>
            <w:r w:rsidR="009F1FD3" w:rsidRPr="00C05F58">
              <w:rPr>
                <w:rFonts w:eastAsia="TimesNewRoman" w:cs="Arial"/>
                <w:bCs/>
                <w:sz w:val="20"/>
                <w:szCs w:val="20"/>
                <w:lang w:val="en-GB"/>
              </w:rPr>
              <w:t xml:space="preserve">of </w:t>
            </w:r>
            <w:r w:rsidR="00164F0F" w:rsidRPr="00C05F58">
              <w:rPr>
                <w:rFonts w:eastAsia="TimesNewRoman" w:cs="Arial"/>
                <w:bCs/>
                <w:sz w:val="20"/>
                <w:szCs w:val="20"/>
                <w:lang w:val="en-GB"/>
              </w:rPr>
              <w:t xml:space="preserve">any </w:t>
            </w:r>
            <w:r w:rsidR="009F1FD3" w:rsidRPr="00C05F58">
              <w:rPr>
                <w:rFonts w:eastAsia="TimesNewRoman" w:cs="Arial"/>
                <w:bCs/>
                <w:sz w:val="20"/>
                <w:szCs w:val="20"/>
                <w:lang w:val="en-GB"/>
              </w:rPr>
              <w:t>study therapy)</w:t>
            </w:r>
          </w:p>
          <w:p w14:paraId="50159782" w14:textId="3842E4CA" w:rsidR="009F1FD3" w:rsidRPr="00C05F58" w:rsidRDefault="009F1FD3" w:rsidP="00615EBE">
            <w:pPr>
              <w:pStyle w:val="Listenabsatz"/>
              <w:spacing w:before="60"/>
              <w:jc w:val="both"/>
              <w:rPr>
                <w:rFonts w:eastAsiaTheme="minorEastAsia" w:cs="Arial"/>
                <w:bCs/>
                <w:sz w:val="20"/>
                <w:szCs w:val="20"/>
                <w:lang w:val="en-GB"/>
              </w:rPr>
            </w:pPr>
          </w:p>
        </w:tc>
      </w:tr>
      <w:tr w:rsidR="00036CAE" w:rsidRPr="00C05F58" w14:paraId="2D692C34" w14:textId="77777777" w:rsidTr="003C4298">
        <w:trPr>
          <w:trHeight w:val="385"/>
        </w:trPr>
        <w:tc>
          <w:tcPr>
            <w:tcW w:w="9568" w:type="dxa"/>
            <w:gridSpan w:val="3"/>
          </w:tcPr>
          <w:p w14:paraId="33A73C35" w14:textId="77777777" w:rsidR="00036CAE" w:rsidRPr="00C05F58" w:rsidRDefault="00C91616" w:rsidP="00004B99">
            <w:pPr>
              <w:spacing w:before="60"/>
              <w:jc w:val="both"/>
              <w:rPr>
                <w:rFonts w:eastAsiaTheme="minorEastAsia" w:cs="Arial"/>
                <w:b/>
                <w:bCs/>
                <w:sz w:val="20"/>
                <w:szCs w:val="20"/>
                <w:lang w:val="en-GB"/>
              </w:rPr>
            </w:pPr>
            <w:r w:rsidRPr="00C05F58">
              <w:rPr>
                <w:rFonts w:eastAsiaTheme="minorEastAsia" w:cs="Arial"/>
                <w:b/>
                <w:bCs/>
                <w:sz w:val="20"/>
                <w:szCs w:val="20"/>
                <w:lang w:val="en-GB"/>
              </w:rPr>
              <w:t>Diagnosis and key inclusion criteria:</w:t>
            </w:r>
          </w:p>
          <w:p w14:paraId="31BD8CD4" w14:textId="4835D75E"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 xml:space="preserve">Male and female patients aged ≥ 18 years with histologically proven metastatic colorectal cancer and no mutation in the </w:t>
            </w:r>
            <w:r w:rsidR="003939C6" w:rsidRPr="00C05F58">
              <w:rPr>
                <w:rFonts w:eastAsiaTheme="minorEastAsia" w:cs="Arial"/>
                <w:bCs/>
                <w:i/>
                <w:sz w:val="20"/>
                <w:szCs w:val="20"/>
                <w:lang w:val="en-GB"/>
              </w:rPr>
              <w:t>KRAS</w:t>
            </w:r>
            <w:r w:rsidRPr="00C05F58">
              <w:rPr>
                <w:rFonts w:eastAsiaTheme="minorEastAsia" w:cs="Arial"/>
                <w:bCs/>
                <w:sz w:val="20"/>
                <w:szCs w:val="20"/>
                <w:lang w:val="en-GB"/>
              </w:rPr>
              <w:t xml:space="preserve"> gene </w:t>
            </w:r>
            <w:r w:rsidR="003939C6" w:rsidRPr="00C05F58">
              <w:rPr>
                <w:rFonts w:eastAsiaTheme="minorEastAsia" w:cs="Arial"/>
                <w:bCs/>
                <w:sz w:val="20"/>
                <w:szCs w:val="20"/>
                <w:lang w:val="en-GB"/>
              </w:rPr>
              <w:t xml:space="preserve">(Exon 2) </w:t>
            </w:r>
            <w:r w:rsidRPr="00C05F58">
              <w:rPr>
                <w:rFonts w:eastAsiaTheme="minorEastAsia" w:cs="Arial"/>
                <w:bCs/>
                <w:sz w:val="20"/>
                <w:szCs w:val="20"/>
                <w:lang w:val="en-GB"/>
              </w:rPr>
              <w:t>of colorectal carcinoma cells</w:t>
            </w:r>
          </w:p>
          <w:p w14:paraId="2DC3599C" w14:textId="51042DB8"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1st occurrence of metastatic disease (not curatively resectable)</w:t>
            </w:r>
          </w:p>
          <w:p w14:paraId="7693D58C" w14:textId="77777777"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Life expectancy ≥ 12 weeks</w:t>
            </w:r>
          </w:p>
          <w:p w14:paraId="2C5B53C8" w14:textId="379DCED4"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Presence of at least 1 bi-dimensionally measurable index lesion (not in an irradiated area)</w:t>
            </w:r>
          </w:p>
          <w:p w14:paraId="46A9FBF8" w14:textId="1250C19D"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ECOG performance status ≤ 2 at study entry</w:t>
            </w:r>
          </w:p>
          <w:p w14:paraId="6696F28F" w14:textId="136C8C64"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Adequate bone marrow reserve: leucocytes ≥ 3.0 x 10</w:t>
            </w:r>
            <w:r w:rsidRPr="005C4090">
              <w:rPr>
                <w:rFonts w:eastAsiaTheme="minorEastAsia" w:cs="Arial"/>
                <w:bCs/>
                <w:sz w:val="20"/>
                <w:szCs w:val="20"/>
                <w:vertAlign w:val="superscript"/>
                <w:lang w:val="en-GB"/>
              </w:rPr>
              <w:t>9</w:t>
            </w:r>
            <w:r w:rsidRPr="00C05F58">
              <w:rPr>
                <w:rFonts w:eastAsiaTheme="minorEastAsia" w:cs="Arial"/>
                <w:bCs/>
                <w:sz w:val="20"/>
                <w:szCs w:val="20"/>
                <w:lang w:val="en-GB"/>
              </w:rPr>
              <w:t>/l with neutrophils ≥ 1.5 x 10</w:t>
            </w:r>
            <w:r w:rsidRPr="00C05F58">
              <w:rPr>
                <w:rFonts w:eastAsiaTheme="minorEastAsia" w:cs="Arial"/>
                <w:bCs/>
                <w:sz w:val="20"/>
                <w:szCs w:val="20"/>
                <w:vertAlign w:val="superscript"/>
                <w:lang w:val="en-GB"/>
              </w:rPr>
              <w:t>9</w:t>
            </w:r>
            <w:r w:rsidRPr="00C05F58">
              <w:rPr>
                <w:rFonts w:eastAsiaTheme="minorEastAsia" w:cs="Arial"/>
                <w:bCs/>
                <w:sz w:val="20"/>
                <w:szCs w:val="20"/>
                <w:lang w:val="en-GB"/>
              </w:rPr>
              <w:t>/l, platelets ≥ 100 x 10</w:t>
            </w:r>
            <w:r w:rsidRPr="00C05F58">
              <w:rPr>
                <w:rFonts w:eastAsiaTheme="minorEastAsia" w:cs="Arial"/>
                <w:bCs/>
                <w:sz w:val="20"/>
                <w:szCs w:val="20"/>
                <w:vertAlign w:val="superscript"/>
                <w:lang w:val="en-GB"/>
              </w:rPr>
              <w:t>9</w:t>
            </w:r>
            <w:r w:rsidRPr="00C05F58">
              <w:rPr>
                <w:rFonts w:eastAsiaTheme="minorEastAsia" w:cs="Arial"/>
                <w:bCs/>
                <w:sz w:val="20"/>
                <w:szCs w:val="20"/>
                <w:lang w:val="en-GB"/>
              </w:rPr>
              <w:t>/l, haemoglobin ≥ 6.21 mmol/l (10 g/dl)</w:t>
            </w:r>
          </w:p>
          <w:p w14:paraId="1C3C572E" w14:textId="6ADF51CD"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ASAT and ALAT ≤ 2.5 x upper reference range, in case of liver metastasis ≤ 5 x upper reference range</w:t>
            </w:r>
          </w:p>
          <w:p w14:paraId="51E94E89" w14:textId="2CC3BCF9"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Serum creatinine ≤ 1.5 x upper reference range</w:t>
            </w:r>
          </w:p>
          <w:p w14:paraId="7E76BAE7" w14:textId="36207273"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lastRenderedPageBreak/>
              <w:t>Bilirubin ≤ 1.5 x upper reference range</w:t>
            </w:r>
          </w:p>
          <w:p w14:paraId="7D553866" w14:textId="172A0B66" w:rsidR="00F42AD8" w:rsidRPr="00C05F58" w:rsidRDefault="00F42AD8" w:rsidP="003939C6">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Negative pregnancy test for female and effective</w:t>
            </w:r>
            <w:r w:rsidR="00C05F58">
              <w:rPr>
                <w:rFonts w:eastAsiaTheme="minorEastAsia" w:cs="Arial"/>
                <w:bCs/>
                <w:sz w:val="20"/>
                <w:szCs w:val="20"/>
                <w:lang w:val="en-GB"/>
              </w:rPr>
              <w:t xml:space="preserve"> </w:t>
            </w:r>
            <w:r w:rsidRPr="00C05F58">
              <w:rPr>
                <w:rFonts w:eastAsiaTheme="minorEastAsia" w:cs="Arial"/>
                <w:bCs/>
                <w:sz w:val="20"/>
                <w:szCs w:val="20"/>
                <w:lang w:val="en-GB"/>
              </w:rPr>
              <w:t>contraception for both male and female subjects if the</w:t>
            </w:r>
            <w:r w:rsidR="00C05F58">
              <w:rPr>
                <w:rFonts w:eastAsiaTheme="minorEastAsia" w:cs="Arial"/>
                <w:bCs/>
                <w:sz w:val="20"/>
                <w:szCs w:val="20"/>
                <w:lang w:val="en-GB"/>
              </w:rPr>
              <w:t xml:space="preserve"> </w:t>
            </w:r>
            <w:r w:rsidRPr="00C05F58">
              <w:rPr>
                <w:rFonts w:eastAsiaTheme="minorEastAsia" w:cs="Arial"/>
                <w:bCs/>
                <w:sz w:val="20"/>
                <w:szCs w:val="20"/>
                <w:lang w:val="en-GB"/>
              </w:rPr>
              <w:t>risk of conception exists</w:t>
            </w:r>
          </w:p>
          <w:p w14:paraId="285AD56B" w14:textId="06B8DF25" w:rsidR="00F42AD8" w:rsidRPr="00C05F58" w:rsidRDefault="00F42AD8" w:rsidP="006D4C74">
            <w:pPr>
              <w:pStyle w:val="Listenabsatz"/>
              <w:numPr>
                <w:ilvl w:val="0"/>
                <w:numId w:val="26"/>
              </w:numPr>
              <w:spacing w:before="60"/>
              <w:jc w:val="both"/>
              <w:rPr>
                <w:rFonts w:eastAsiaTheme="minorEastAsia" w:cs="Arial"/>
                <w:bCs/>
                <w:sz w:val="20"/>
                <w:szCs w:val="20"/>
                <w:lang w:val="en-GB"/>
              </w:rPr>
            </w:pPr>
            <w:r w:rsidRPr="00C05F58">
              <w:rPr>
                <w:rFonts w:eastAsiaTheme="minorEastAsia" w:cs="Arial"/>
                <w:bCs/>
                <w:sz w:val="20"/>
                <w:szCs w:val="20"/>
                <w:lang w:val="en-GB"/>
              </w:rPr>
              <w:t>Signed written informed consent</w:t>
            </w:r>
          </w:p>
          <w:p w14:paraId="3B50FF91" w14:textId="77777777" w:rsidR="00F42AD8" w:rsidRPr="00C05F58" w:rsidRDefault="00F42AD8" w:rsidP="00004B99">
            <w:pPr>
              <w:spacing w:before="60"/>
              <w:jc w:val="both"/>
              <w:rPr>
                <w:rFonts w:eastAsiaTheme="minorEastAsia" w:cs="Arial"/>
                <w:sz w:val="20"/>
                <w:szCs w:val="20"/>
                <w:lang w:val="en-GB"/>
              </w:rPr>
            </w:pPr>
          </w:p>
        </w:tc>
      </w:tr>
      <w:tr w:rsidR="00E06262" w:rsidRPr="00030E6B" w14:paraId="2EAC692D" w14:textId="77777777" w:rsidTr="003C4298">
        <w:trPr>
          <w:trHeight w:val="385"/>
        </w:trPr>
        <w:tc>
          <w:tcPr>
            <w:tcW w:w="9568" w:type="dxa"/>
            <w:gridSpan w:val="3"/>
          </w:tcPr>
          <w:p w14:paraId="57F1D831" w14:textId="77777777" w:rsidR="00E06262" w:rsidRPr="00165389" w:rsidRDefault="00E06262" w:rsidP="00004B99">
            <w:pPr>
              <w:spacing w:before="60"/>
              <w:jc w:val="both"/>
              <w:rPr>
                <w:rFonts w:eastAsiaTheme="minorEastAsia" w:cs="Arial"/>
                <w:b/>
                <w:bCs/>
                <w:sz w:val="20"/>
                <w:szCs w:val="20"/>
                <w:lang w:val="en-GB"/>
              </w:rPr>
            </w:pPr>
            <w:r w:rsidRPr="00165389">
              <w:rPr>
                <w:rFonts w:eastAsiaTheme="minorEastAsia" w:cs="Arial"/>
                <w:b/>
                <w:bCs/>
                <w:sz w:val="20"/>
                <w:szCs w:val="20"/>
                <w:lang w:val="en-GB"/>
              </w:rPr>
              <w:lastRenderedPageBreak/>
              <w:t>Key exclusion criteria:</w:t>
            </w:r>
          </w:p>
          <w:p w14:paraId="73FFC297"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 xml:space="preserve">Evidence for a mutation of the </w:t>
            </w:r>
            <w:r w:rsidRPr="00165389">
              <w:rPr>
                <w:rFonts w:cs="Arial"/>
                <w:i/>
                <w:sz w:val="20"/>
                <w:szCs w:val="20"/>
                <w:lang w:val="en-GB"/>
              </w:rPr>
              <w:t>KRAS</w:t>
            </w:r>
            <w:r w:rsidRPr="00165389">
              <w:rPr>
                <w:rFonts w:cs="Arial"/>
                <w:sz w:val="20"/>
                <w:szCs w:val="20"/>
                <w:lang w:val="en-GB"/>
              </w:rPr>
              <w:t xml:space="preserve"> gene (exon 2) in the colorectal carcinoma cells</w:t>
            </w:r>
          </w:p>
          <w:p w14:paraId="35D8FF2F"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Previous exposure to epidermal growth factor receptor-targeting therapy</w:t>
            </w:r>
          </w:p>
          <w:p w14:paraId="60C2904E"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Prior chemotherapy for metastatic disease</w:t>
            </w:r>
          </w:p>
          <w:p w14:paraId="2326DF32"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Oxaliplatin-based adjuvant chemotherapy within 1 year before registration</w:t>
            </w:r>
          </w:p>
          <w:p w14:paraId="254D595B"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Neuropathy ≥ grade 3 (NCI_CTC V3.0) during prior oxaliplatin-based chemotherapy</w:t>
            </w:r>
          </w:p>
          <w:p w14:paraId="2369C9E2"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Other previous malignancy with exception of a history of a previous curatively treated basal cell carcinoma of the skin or pre-invasive carcinoma of the cervix</w:t>
            </w:r>
          </w:p>
          <w:p w14:paraId="2C72A411"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Radiotherapy, surgery (excluding prior diagnostic biopsy) or any investigational drug in the 30 days before registration</w:t>
            </w:r>
          </w:p>
          <w:p w14:paraId="450CE629"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Concurrent chronic systemic immune therapy or hormone therapy not indicated in this study protocol</w:t>
            </w:r>
          </w:p>
          <w:p w14:paraId="1AE67F66"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Creatinine clearance &lt;30 ml/min</w:t>
            </w:r>
          </w:p>
          <w:p w14:paraId="17B230FE"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Known hypersensitivity reaction to any of the components of study treatment</w:t>
            </w:r>
          </w:p>
          <w:p w14:paraId="2A0E37F2" w14:textId="77777777" w:rsidR="00E06262" w:rsidRPr="00165389" w:rsidRDefault="00E06262" w:rsidP="00E06262">
            <w:pPr>
              <w:pStyle w:val="Listenabsatz"/>
              <w:numPr>
                <w:ilvl w:val="0"/>
                <w:numId w:val="11"/>
              </w:numPr>
              <w:adjustRightInd w:val="0"/>
              <w:spacing w:after="60"/>
              <w:ind w:left="714" w:hanging="357"/>
              <w:contextualSpacing w:val="0"/>
              <w:rPr>
                <w:rFonts w:cs="Arial"/>
                <w:sz w:val="20"/>
                <w:szCs w:val="20"/>
                <w:lang w:val="en-GB"/>
              </w:rPr>
            </w:pPr>
            <w:r w:rsidRPr="00165389">
              <w:rPr>
                <w:rFonts w:cs="Arial"/>
                <w:sz w:val="20"/>
                <w:szCs w:val="20"/>
                <w:lang w:val="en-GB"/>
              </w:rPr>
              <w:t>Pregnancy (absence to be confirmed by ß-hCG test) or lactation period</w:t>
            </w:r>
          </w:p>
          <w:p w14:paraId="7E85172D"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Clinically relevant coronary artery disease, history of myocardial infarction in the last 12 months, or high risk of uncontrolled arrhythmia</w:t>
            </w:r>
          </w:p>
          <w:p w14:paraId="52D71880"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Acute or sub-acute intestinal occlusion or history of inflammatory bowel disease</w:t>
            </w:r>
          </w:p>
          <w:p w14:paraId="20D3C9C8"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Brain metastasis (known or suspected)</w:t>
            </w:r>
          </w:p>
          <w:p w14:paraId="77F0CAFB"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Medical or psychological conditions that would not permit the subject to complete the study or sign informed consent</w:t>
            </w:r>
          </w:p>
          <w:p w14:paraId="6BA7EA67"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Known alcohol or drug abuse</w:t>
            </w:r>
          </w:p>
          <w:p w14:paraId="23D86EED"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Participation in another clinical study within the 30 days before registration</w:t>
            </w:r>
          </w:p>
          <w:p w14:paraId="4124372A"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Peripheral neuropathy &gt; grade 1</w:t>
            </w:r>
          </w:p>
          <w:p w14:paraId="25652186" w14:textId="77777777" w:rsidR="00E06262" w:rsidRPr="00165389" w:rsidRDefault="00E06262" w:rsidP="00E06262">
            <w:pPr>
              <w:pStyle w:val="Listenabsatz"/>
              <w:numPr>
                <w:ilvl w:val="0"/>
                <w:numId w:val="11"/>
              </w:numPr>
              <w:adjustRightInd w:val="0"/>
              <w:spacing w:after="60"/>
              <w:contextualSpacing w:val="0"/>
              <w:rPr>
                <w:rFonts w:cs="Arial"/>
                <w:sz w:val="20"/>
                <w:szCs w:val="20"/>
                <w:lang w:val="en-GB"/>
              </w:rPr>
            </w:pPr>
            <w:r w:rsidRPr="00165389">
              <w:rPr>
                <w:rFonts w:cs="Arial"/>
                <w:sz w:val="20"/>
                <w:szCs w:val="20"/>
                <w:lang w:val="en-GB"/>
              </w:rPr>
              <w:t>Significant disease which, in the investigator’s opinion, would exclude the patient from the study</w:t>
            </w:r>
          </w:p>
          <w:p w14:paraId="565FA792" w14:textId="33C3CE4C" w:rsidR="00E06262" w:rsidRPr="00165389" w:rsidRDefault="00E06262" w:rsidP="005C4090">
            <w:pPr>
              <w:pStyle w:val="Listenabsatz"/>
              <w:numPr>
                <w:ilvl w:val="0"/>
                <w:numId w:val="11"/>
              </w:numPr>
              <w:spacing w:before="60"/>
              <w:jc w:val="both"/>
              <w:rPr>
                <w:rFonts w:eastAsiaTheme="minorEastAsia" w:cs="Arial"/>
                <w:b/>
                <w:bCs/>
                <w:sz w:val="20"/>
                <w:szCs w:val="20"/>
                <w:lang w:val="en-GB"/>
              </w:rPr>
            </w:pPr>
            <w:r w:rsidRPr="00165389">
              <w:rPr>
                <w:rFonts w:cs="Arial"/>
                <w:sz w:val="20"/>
                <w:szCs w:val="20"/>
                <w:lang w:val="en-GB"/>
              </w:rPr>
              <w:t>Legal incapacity or limited legal capacity</w:t>
            </w:r>
          </w:p>
        </w:tc>
      </w:tr>
      <w:bookmarkEnd w:id="2"/>
      <w:tr w:rsidR="00036CAE" w:rsidRPr="00C05F58" w14:paraId="1F612207" w14:textId="77777777">
        <w:tc>
          <w:tcPr>
            <w:tcW w:w="9568" w:type="dxa"/>
            <w:gridSpan w:val="3"/>
          </w:tcPr>
          <w:p w14:paraId="3BC29C25" w14:textId="5FF9F5BB" w:rsidR="00BD0C0D" w:rsidRPr="00C05F58" w:rsidRDefault="00C91616">
            <w:pPr>
              <w:spacing w:before="60"/>
              <w:jc w:val="both"/>
              <w:rPr>
                <w:rFonts w:eastAsiaTheme="minorEastAsia" w:cs="Arial"/>
                <w:b/>
                <w:bCs/>
                <w:sz w:val="20"/>
                <w:szCs w:val="20"/>
                <w:lang w:val="en-GB"/>
              </w:rPr>
            </w:pPr>
            <w:r w:rsidRPr="00C05F58">
              <w:rPr>
                <w:rFonts w:eastAsiaTheme="minorEastAsia" w:cs="Arial"/>
                <w:b/>
                <w:bCs/>
                <w:sz w:val="20"/>
                <w:szCs w:val="20"/>
                <w:lang w:val="en-GB"/>
              </w:rPr>
              <w:t xml:space="preserve">Investigational </w:t>
            </w:r>
            <w:r w:rsidR="000F367C" w:rsidRPr="00C05F58">
              <w:rPr>
                <w:rFonts w:eastAsiaTheme="minorEastAsia" w:cs="Arial"/>
                <w:b/>
                <w:bCs/>
                <w:sz w:val="20"/>
                <w:szCs w:val="20"/>
                <w:lang w:val="en-GB"/>
              </w:rPr>
              <w:t xml:space="preserve">medicinal </w:t>
            </w:r>
            <w:r w:rsidRPr="00C05F58">
              <w:rPr>
                <w:rFonts w:eastAsiaTheme="minorEastAsia" w:cs="Arial"/>
                <w:b/>
                <w:bCs/>
                <w:sz w:val="20"/>
                <w:szCs w:val="20"/>
                <w:lang w:val="en-GB"/>
              </w:rPr>
              <w:t>product (</w:t>
            </w:r>
            <w:r w:rsidRPr="00C05F58">
              <w:rPr>
                <w:rFonts w:eastAsia="TimesNewRoman" w:cs="Arial"/>
                <w:b/>
                <w:bCs/>
                <w:sz w:val="20"/>
                <w:szCs w:val="20"/>
                <w:lang w:val="en-GB"/>
              </w:rPr>
              <w:t>dosage, method of administration, batch number</w:t>
            </w:r>
            <w:r w:rsidRPr="00C05F58">
              <w:rPr>
                <w:rFonts w:eastAsiaTheme="minorEastAsia" w:cs="Arial"/>
                <w:b/>
                <w:bCs/>
                <w:sz w:val="20"/>
                <w:szCs w:val="20"/>
                <w:lang w:val="en-GB"/>
              </w:rPr>
              <w:t>)</w:t>
            </w:r>
            <w:r w:rsidR="00BD0C0D" w:rsidRPr="00C05F58">
              <w:rPr>
                <w:rFonts w:eastAsiaTheme="minorEastAsia" w:cs="Arial"/>
                <w:b/>
                <w:bCs/>
                <w:sz w:val="20"/>
                <w:szCs w:val="20"/>
                <w:lang w:val="en-GB"/>
              </w:rPr>
              <w:t>:</w:t>
            </w:r>
          </w:p>
          <w:p w14:paraId="57EDFC6E" w14:textId="1354E4BF" w:rsidR="003239AC" w:rsidRPr="00C05F58" w:rsidRDefault="002B46B6" w:rsidP="002B46B6">
            <w:pPr>
              <w:spacing w:before="60"/>
              <w:jc w:val="both"/>
              <w:rPr>
                <w:rFonts w:eastAsiaTheme="minorEastAsia" w:cs="Arial"/>
                <w:bCs/>
                <w:sz w:val="20"/>
                <w:szCs w:val="20"/>
                <w:lang w:val="en-GB"/>
              </w:rPr>
            </w:pPr>
            <w:r w:rsidRPr="00C05F58">
              <w:rPr>
                <w:rFonts w:eastAsiaTheme="minorEastAsia" w:cs="Arial"/>
                <w:bCs/>
                <w:sz w:val="20"/>
                <w:szCs w:val="20"/>
                <w:lang w:val="en-GB"/>
              </w:rPr>
              <w:t>Cetuximab</w:t>
            </w:r>
            <w:r w:rsidR="003239AC" w:rsidRPr="00C05F58">
              <w:rPr>
                <w:rFonts w:eastAsiaTheme="minorEastAsia" w:cs="Arial"/>
                <w:bCs/>
                <w:sz w:val="20"/>
                <w:szCs w:val="20"/>
                <w:lang w:val="en-GB"/>
              </w:rPr>
              <w:t xml:space="preserve"> (supplied free of charge by the manufacturer)</w:t>
            </w:r>
          </w:p>
          <w:p w14:paraId="31B39C80" w14:textId="1CA6FEA5" w:rsidR="002B46B6" w:rsidRPr="00C05F58" w:rsidRDefault="002B46B6" w:rsidP="002B46B6">
            <w:pPr>
              <w:spacing w:before="60"/>
              <w:jc w:val="both"/>
              <w:rPr>
                <w:rFonts w:eastAsiaTheme="minorEastAsia" w:cs="Arial"/>
                <w:bCs/>
                <w:sz w:val="20"/>
                <w:szCs w:val="20"/>
                <w:lang w:val="en-GB"/>
              </w:rPr>
            </w:pPr>
            <w:r w:rsidRPr="00C05F58">
              <w:rPr>
                <w:rFonts w:eastAsiaTheme="minorEastAsia" w:cs="Arial"/>
                <w:bCs/>
                <w:sz w:val="20"/>
                <w:szCs w:val="20"/>
                <w:lang w:val="en-GB"/>
              </w:rPr>
              <w:t xml:space="preserve">500 mg/m² </w:t>
            </w:r>
            <w:r w:rsidR="005510D8" w:rsidRPr="00C05F58">
              <w:rPr>
                <w:rFonts w:eastAsiaTheme="minorEastAsia" w:cs="Arial"/>
                <w:bCs/>
                <w:sz w:val="20"/>
                <w:szCs w:val="20"/>
                <w:lang w:val="en-GB"/>
              </w:rPr>
              <w:t xml:space="preserve">body surface area (BSA) </w:t>
            </w:r>
            <w:r w:rsidRPr="00C05F58">
              <w:rPr>
                <w:rFonts w:eastAsiaTheme="minorEastAsia" w:cs="Arial"/>
                <w:bCs/>
                <w:sz w:val="20"/>
                <w:szCs w:val="20"/>
                <w:lang w:val="en-GB"/>
              </w:rPr>
              <w:t>iv</w:t>
            </w:r>
            <w:r w:rsidRPr="00C05F58">
              <w:rPr>
                <w:rFonts w:eastAsiaTheme="minorEastAsia" w:cs="Arial"/>
                <w:bCs/>
                <w:sz w:val="20"/>
                <w:szCs w:val="20"/>
                <w:lang w:val="en-GB"/>
              </w:rPr>
              <w:tab/>
              <w:t xml:space="preserve">120 min </w:t>
            </w:r>
            <w:r w:rsidRPr="00C05F58">
              <w:rPr>
                <w:rFonts w:eastAsiaTheme="minorEastAsia" w:cs="Arial"/>
                <w:bCs/>
                <w:sz w:val="20"/>
                <w:szCs w:val="20"/>
                <w:lang w:val="en-GB"/>
              </w:rPr>
              <w:tab/>
              <w:t>d 1</w:t>
            </w:r>
          </w:p>
          <w:p w14:paraId="5287A427" w14:textId="57B61F45" w:rsidR="002B46B6" w:rsidRPr="00C05F58" w:rsidRDefault="003239AC" w:rsidP="002B46B6">
            <w:pPr>
              <w:spacing w:before="60"/>
              <w:jc w:val="both"/>
              <w:rPr>
                <w:rFonts w:eastAsiaTheme="minorEastAsia" w:cs="Arial"/>
                <w:bCs/>
                <w:sz w:val="20"/>
                <w:szCs w:val="20"/>
                <w:lang w:val="en-GB"/>
              </w:rPr>
            </w:pPr>
            <w:r w:rsidRPr="00C05F58">
              <w:rPr>
                <w:rFonts w:eastAsiaTheme="minorEastAsia" w:cs="Arial"/>
                <w:bCs/>
                <w:sz w:val="20"/>
                <w:szCs w:val="20"/>
                <w:lang w:val="en-GB"/>
              </w:rPr>
              <w:tab/>
            </w:r>
            <w:r w:rsidRPr="00C05F58">
              <w:rPr>
                <w:rFonts w:eastAsiaTheme="minorEastAsia" w:cs="Arial"/>
                <w:bCs/>
                <w:sz w:val="20"/>
                <w:szCs w:val="20"/>
                <w:lang w:val="en-GB"/>
              </w:rPr>
              <w:tab/>
            </w:r>
            <w:r w:rsidR="005510D8" w:rsidRPr="00C05F58">
              <w:rPr>
                <w:rFonts w:eastAsiaTheme="minorEastAsia" w:cs="Arial"/>
                <w:bCs/>
                <w:sz w:val="20"/>
                <w:szCs w:val="20"/>
                <w:lang w:val="en-GB"/>
              </w:rPr>
              <w:tab/>
            </w:r>
            <w:r w:rsidR="005510D8" w:rsidRPr="00C05F58">
              <w:rPr>
                <w:rFonts w:eastAsiaTheme="minorEastAsia" w:cs="Arial"/>
                <w:bCs/>
                <w:sz w:val="20"/>
                <w:szCs w:val="20"/>
                <w:lang w:val="en-GB"/>
              </w:rPr>
              <w:tab/>
            </w:r>
            <w:r w:rsidR="005510D8" w:rsidRPr="00C05F58">
              <w:rPr>
                <w:rFonts w:eastAsiaTheme="minorEastAsia" w:cs="Arial"/>
                <w:bCs/>
                <w:sz w:val="20"/>
                <w:szCs w:val="20"/>
                <w:lang w:val="en-GB"/>
              </w:rPr>
              <w:tab/>
            </w:r>
            <w:r w:rsidR="005510D8" w:rsidRPr="00C05F58">
              <w:rPr>
                <w:rFonts w:eastAsiaTheme="minorEastAsia" w:cs="Arial"/>
                <w:bCs/>
                <w:sz w:val="20"/>
                <w:szCs w:val="20"/>
                <w:lang w:val="en-GB"/>
              </w:rPr>
              <w:tab/>
            </w:r>
            <w:r w:rsidR="002B46B6" w:rsidRPr="00C05F58">
              <w:rPr>
                <w:rFonts w:eastAsiaTheme="minorEastAsia" w:cs="Arial"/>
                <w:bCs/>
                <w:sz w:val="20"/>
                <w:szCs w:val="20"/>
                <w:lang w:val="en-GB"/>
              </w:rPr>
              <w:t xml:space="preserve">90 min </w:t>
            </w:r>
            <w:r w:rsidR="002B46B6" w:rsidRPr="00C05F58">
              <w:rPr>
                <w:rFonts w:eastAsiaTheme="minorEastAsia" w:cs="Arial"/>
                <w:bCs/>
                <w:sz w:val="20"/>
                <w:szCs w:val="20"/>
                <w:lang w:val="en-GB"/>
              </w:rPr>
              <w:tab/>
              <w:t>d 15</w:t>
            </w:r>
          </w:p>
          <w:p w14:paraId="38B15B36" w14:textId="148295AA" w:rsidR="002B46B6" w:rsidRPr="00C05F58" w:rsidRDefault="003239AC" w:rsidP="002B46B6">
            <w:pPr>
              <w:spacing w:before="60"/>
              <w:jc w:val="both"/>
              <w:rPr>
                <w:rFonts w:eastAsiaTheme="minorEastAsia" w:cs="Arial"/>
                <w:bCs/>
                <w:sz w:val="20"/>
                <w:szCs w:val="20"/>
                <w:lang w:val="en-GB"/>
              </w:rPr>
            </w:pPr>
            <w:r w:rsidRPr="00C05F58">
              <w:rPr>
                <w:rFonts w:eastAsiaTheme="minorEastAsia" w:cs="Arial"/>
                <w:bCs/>
                <w:sz w:val="20"/>
                <w:szCs w:val="20"/>
                <w:lang w:val="en-GB"/>
              </w:rPr>
              <w:tab/>
            </w:r>
            <w:r w:rsidRPr="00C05F58">
              <w:rPr>
                <w:rFonts w:eastAsiaTheme="minorEastAsia" w:cs="Arial"/>
                <w:bCs/>
                <w:sz w:val="20"/>
                <w:szCs w:val="20"/>
                <w:lang w:val="en-GB"/>
              </w:rPr>
              <w:tab/>
            </w:r>
            <w:r w:rsidR="002B46B6" w:rsidRPr="00C05F58">
              <w:rPr>
                <w:rFonts w:eastAsiaTheme="minorEastAsia" w:cs="Arial"/>
                <w:bCs/>
                <w:sz w:val="20"/>
                <w:szCs w:val="20"/>
                <w:lang w:val="en-GB"/>
              </w:rPr>
              <w:t xml:space="preserve"> </w:t>
            </w:r>
            <w:r w:rsidR="005510D8" w:rsidRPr="00C05F58">
              <w:rPr>
                <w:rFonts w:eastAsiaTheme="minorEastAsia" w:cs="Arial"/>
                <w:bCs/>
                <w:sz w:val="20"/>
                <w:szCs w:val="20"/>
                <w:lang w:val="en-GB"/>
              </w:rPr>
              <w:tab/>
            </w:r>
            <w:r w:rsidR="005510D8" w:rsidRPr="00C05F58">
              <w:rPr>
                <w:rFonts w:eastAsiaTheme="minorEastAsia" w:cs="Arial"/>
                <w:bCs/>
                <w:sz w:val="20"/>
                <w:szCs w:val="20"/>
                <w:lang w:val="en-GB"/>
              </w:rPr>
              <w:tab/>
            </w:r>
            <w:r w:rsidR="005510D8" w:rsidRPr="00C05F58">
              <w:rPr>
                <w:rFonts w:eastAsiaTheme="minorEastAsia" w:cs="Arial"/>
                <w:bCs/>
                <w:sz w:val="20"/>
                <w:szCs w:val="20"/>
                <w:lang w:val="en-GB"/>
              </w:rPr>
              <w:tab/>
            </w:r>
            <w:r w:rsidR="005510D8" w:rsidRPr="00C05F58">
              <w:rPr>
                <w:rFonts w:eastAsiaTheme="minorEastAsia" w:cs="Arial"/>
                <w:bCs/>
                <w:sz w:val="20"/>
                <w:szCs w:val="20"/>
                <w:lang w:val="en-GB"/>
              </w:rPr>
              <w:tab/>
            </w:r>
            <w:r w:rsidR="002B46B6" w:rsidRPr="00C05F58">
              <w:rPr>
                <w:rFonts w:eastAsiaTheme="minorEastAsia" w:cs="Arial"/>
                <w:bCs/>
                <w:sz w:val="20"/>
                <w:szCs w:val="20"/>
                <w:lang w:val="en-GB"/>
              </w:rPr>
              <w:t>60 min</w:t>
            </w:r>
            <w:r w:rsidR="002B46B6" w:rsidRPr="00C05F58">
              <w:rPr>
                <w:rFonts w:eastAsiaTheme="minorEastAsia" w:cs="Arial"/>
                <w:bCs/>
                <w:sz w:val="20"/>
                <w:szCs w:val="20"/>
                <w:lang w:val="en-GB"/>
              </w:rPr>
              <w:tab/>
            </w:r>
            <w:r w:rsidR="0045361F" w:rsidRPr="00C05F58">
              <w:rPr>
                <w:rFonts w:eastAsiaTheme="minorEastAsia" w:cs="Arial"/>
                <w:bCs/>
                <w:sz w:val="20"/>
                <w:szCs w:val="20"/>
                <w:lang w:val="en-GB"/>
              </w:rPr>
              <w:tab/>
            </w:r>
            <w:r w:rsidR="002B46B6" w:rsidRPr="00C05F58">
              <w:rPr>
                <w:rFonts w:eastAsiaTheme="minorEastAsia" w:cs="Arial"/>
                <w:bCs/>
                <w:sz w:val="20"/>
                <w:szCs w:val="20"/>
                <w:lang w:val="en-GB"/>
              </w:rPr>
              <w:t>d 29, d 43, …</w:t>
            </w:r>
          </w:p>
          <w:p w14:paraId="070507CE" w14:textId="77777777" w:rsidR="002B46B6" w:rsidRPr="00C05F58" w:rsidRDefault="002B46B6" w:rsidP="002B46B6">
            <w:pPr>
              <w:spacing w:before="60"/>
              <w:jc w:val="both"/>
              <w:rPr>
                <w:rFonts w:eastAsiaTheme="minorEastAsia" w:cs="Arial"/>
                <w:bCs/>
                <w:sz w:val="20"/>
                <w:szCs w:val="20"/>
                <w:lang w:val="en-GB"/>
              </w:rPr>
            </w:pPr>
          </w:p>
          <w:p w14:paraId="67090D80" w14:textId="5A157F68" w:rsidR="002B46B6" w:rsidRPr="00C05F58" w:rsidRDefault="002B46B6" w:rsidP="002B46B6">
            <w:pPr>
              <w:spacing w:before="60"/>
              <w:jc w:val="both"/>
              <w:rPr>
                <w:rFonts w:eastAsiaTheme="minorEastAsia" w:cs="Arial"/>
                <w:bCs/>
                <w:sz w:val="20"/>
                <w:szCs w:val="20"/>
                <w:lang w:val="en-GB"/>
              </w:rPr>
            </w:pPr>
            <w:r w:rsidRPr="00C05F58">
              <w:rPr>
                <w:rFonts w:eastAsiaTheme="minorEastAsia" w:cs="Arial"/>
                <w:bCs/>
                <w:sz w:val="20"/>
                <w:szCs w:val="20"/>
                <w:lang w:val="en-GB"/>
              </w:rPr>
              <w:t xml:space="preserve">FOLFOX-6 </w:t>
            </w:r>
            <w:r w:rsidR="003239AC" w:rsidRPr="00C05F58">
              <w:rPr>
                <w:rFonts w:eastAsiaTheme="minorEastAsia" w:cs="Arial"/>
                <w:bCs/>
                <w:sz w:val="20"/>
                <w:szCs w:val="20"/>
                <w:lang w:val="en-GB"/>
              </w:rPr>
              <w:t xml:space="preserve">(commercially available) </w:t>
            </w:r>
            <w:r w:rsidRPr="00C05F58">
              <w:rPr>
                <w:rFonts w:eastAsiaTheme="minorEastAsia" w:cs="Arial"/>
                <w:bCs/>
                <w:sz w:val="20"/>
                <w:szCs w:val="20"/>
                <w:lang w:val="en-GB"/>
              </w:rPr>
              <w:t>given after cetuximab infusion:</w:t>
            </w:r>
          </w:p>
          <w:p w14:paraId="6157D305" w14:textId="055C73D5" w:rsidR="002B46B6" w:rsidRPr="00C05F58" w:rsidRDefault="002B46B6" w:rsidP="002B46B6">
            <w:pPr>
              <w:spacing w:before="60"/>
              <w:jc w:val="both"/>
              <w:rPr>
                <w:rFonts w:eastAsiaTheme="minorEastAsia" w:cs="Arial"/>
                <w:bCs/>
                <w:sz w:val="20"/>
                <w:szCs w:val="20"/>
                <w:lang w:val="en-GB"/>
              </w:rPr>
            </w:pPr>
            <w:r w:rsidRPr="00C05F58">
              <w:rPr>
                <w:rFonts w:eastAsiaTheme="minorEastAsia" w:cs="Arial"/>
                <w:bCs/>
                <w:sz w:val="20"/>
                <w:szCs w:val="20"/>
                <w:lang w:val="en-GB"/>
              </w:rPr>
              <w:t>Oxaliplatin</w:t>
            </w:r>
            <w:r w:rsidRPr="00C05F58">
              <w:rPr>
                <w:rFonts w:eastAsiaTheme="minorEastAsia" w:cs="Arial"/>
                <w:bCs/>
                <w:sz w:val="20"/>
                <w:szCs w:val="20"/>
                <w:lang w:val="en-GB"/>
              </w:rPr>
              <w:tab/>
            </w:r>
            <w:r w:rsidRPr="00C05F58">
              <w:rPr>
                <w:rFonts w:eastAsiaTheme="minorEastAsia" w:cs="Arial"/>
                <w:bCs/>
                <w:sz w:val="20"/>
                <w:szCs w:val="20"/>
                <w:lang w:val="en-GB"/>
              </w:rPr>
              <w:tab/>
              <w:t xml:space="preserve">85 mg/m² </w:t>
            </w:r>
            <w:r w:rsidR="005510D8" w:rsidRPr="00C05F58">
              <w:rPr>
                <w:rFonts w:eastAsiaTheme="minorEastAsia" w:cs="Arial"/>
                <w:bCs/>
                <w:sz w:val="20"/>
                <w:szCs w:val="20"/>
                <w:lang w:val="en-GB"/>
              </w:rPr>
              <w:t xml:space="preserve">BSA </w:t>
            </w:r>
            <w:r w:rsidRPr="00C05F58">
              <w:rPr>
                <w:rFonts w:eastAsiaTheme="minorEastAsia" w:cs="Arial"/>
                <w:bCs/>
                <w:sz w:val="20"/>
                <w:szCs w:val="20"/>
                <w:lang w:val="en-GB"/>
              </w:rPr>
              <w:t>iv</w:t>
            </w:r>
            <w:r w:rsidRPr="00C05F58">
              <w:rPr>
                <w:rFonts w:eastAsiaTheme="minorEastAsia" w:cs="Arial"/>
                <w:bCs/>
                <w:sz w:val="20"/>
                <w:szCs w:val="20"/>
                <w:lang w:val="en-GB"/>
              </w:rPr>
              <w:tab/>
              <w:t>120 min</w:t>
            </w:r>
            <w:r w:rsidRPr="00C05F58">
              <w:rPr>
                <w:rFonts w:eastAsiaTheme="minorEastAsia" w:cs="Arial"/>
                <w:bCs/>
                <w:sz w:val="20"/>
                <w:szCs w:val="20"/>
                <w:lang w:val="en-GB"/>
              </w:rPr>
              <w:tab/>
              <w:t>q14d</w:t>
            </w:r>
          </w:p>
          <w:p w14:paraId="014759C3" w14:textId="4577CF80" w:rsidR="002B46B6" w:rsidRPr="00C05F58" w:rsidRDefault="002B46B6" w:rsidP="002B46B6">
            <w:pPr>
              <w:spacing w:before="60"/>
              <w:jc w:val="both"/>
              <w:rPr>
                <w:rFonts w:eastAsiaTheme="minorEastAsia" w:cs="Arial"/>
                <w:bCs/>
                <w:sz w:val="20"/>
                <w:szCs w:val="20"/>
                <w:lang w:val="en-GB"/>
              </w:rPr>
            </w:pPr>
            <w:r w:rsidRPr="00C05F58">
              <w:rPr>
                <w:rFonts w:eastAsiaTheme="minorEastAsia" w:cs="Arial"/>
                <w:bCs/>
                <w:sz w:val="20"/>
                <w:szCs w:val="20"/>
                <w:lang w:val="en-GB"/>
              </w:rPr>
              <w:t>Folinic acid (FA)</w:t>
            </w:r>
            <w:r w:rsidRPr="00C05F58">
              <w:rPr>
                <w:rFonts w:eastAsiaTheme="minorEastAsia" w:cs="Arial"/>
                <w:bCs/>
                <w:sz w:val="20"/>
                <w:szCs w:val="20"/>
                <w:lang w:val="en-GB"/>
              </w:rPr>
              <w:tab/>
              <w:t xml:space="preserve">400 mg/m² </w:t>
            </w:r>
            <w:r w:rsidR="005510D8" w:rsidRPr="00C05F58">
              <w:rPr>
                <w:rFonts w:eastAsiaTheme="minorEastAsia" w:cs="Arial"/>
                <w:bCs/>
                <w:sz w:val="20"/>
                <w:szCs w:val="20"/>
                <w:lang w:val="en-GB"/>
              </w:rPr>
              <w:t xml:space="preserve">BSA </w:t>
            </w:r>
            <w:r w:rsidRPr="00C05F58">
              <w:rPr>
                <w:rFonts w:eastAsiaTheme="minorEastAsia" w:cs="Arial"/>
                <w:bCs/>
                <w:sz w:val="20"/>
                <w:szCs w:val="20"/>
                <w:lang w:val="en-GB"/>
              </w:rPr>
              <w:t>iv concurrently with oxaliplatin</w:t>
            </w:r>
            <w:r w:rsidRPr="00C05F58">
              <w:rPr>
                <w:rFonts w:eastAsiaTheme="minorEastAsia" w:cs="Arial"/>
                <w:bCs/>
                <w:sz w:val="20"/>
                <w:szCs w:val="20"/>
                <w:lang w:val="en-GB"/>
              </w:rPr>
              <w:tab/>
              <w:t>120 min</w:t>
            </w:r>
            <w:r w:rsidRPr="00C05F58">
              <w:rPr>
                <w:rFonts w:eastAsiaTheme="minorEastAsia" w:cs="Arial"/>
                <w:bCs/>
                <w:sz w:val="20"/>
                <w:szCs w:val="20"/>
                <w:lang w:val="en-GB"/>
              </w:rPr>
              <w:tab/>
              <w:t>q14d</w:t>
            </w:r>
          </w:p>
          <w:p w14:paraId="294B3361" w14:textId="53095E83" w:rsidR="002B46B6" w:rsidRPr="00C05F58" w:rsidRDefault="002B46B6" w:rsidP="002B46B6">
            <w:pPr>
              <w:spacing w:before="60"/>
              <w:jc w:val="both"/>
              <w:rPr>
                <w:rFonts w:eastAsiaTheme="minorEastAsia" w:cs="Arial"/>
                <w:bCs/>
                <w:sz w:val="20"/>
                <w:szCs w:val="20"/>
                <w:lang w:val="en-GB"/>
              </w:rPr>
            </w:pPr>
            <w:r w:rsidRPr="00C05F58">
              <w:rPr>
                <w:rFonts w:eastAsiaTheme="minorEastAsia" w:cs="Arial"/>
                <w:bCs/>
                <w:sz w:val="20"/>
                <w:szCs w:val="20"/>
                <w:lang w:val="en-GB"/>
              </w:rPr>
              <w:t>5-Fluorouracil (5-FU)</w:t>
            </w:r>
            <w:r w:rsidRPr="00C05F58">
              <w:rPr>
                <w:rFonts w:eastAsiaTheme="minorEastAsia" w:cs="Arial"/>
                <w:bCs/>
                <w:sz w:val="20"/>
                <w:szCs w:val="20"/>
                <w:lang w:val="en-GB"/>
              </w:rPr>
              <w:tab/>
              <w:t xml:space="preserve">400 mg/m² </w:t>
            </w:r>
            <w:r w:rsidR="005510D8" w:rsidRPr="00C05F58">
              <w:rPr>
                <w:rFonts w:eastAsiaTheme="minorEastAsia" w:cs="Arial"/>
                <w:bCs/>
                <w:sz w:val="20"/>
                <w:szCs w:val="20"/>
                <w:lang w:val="en-GB"/>
              </w:rPr>
              <w:t xml:space="preserve">BSA </w:t>
            </w:r>
            <w:r w:rsidRPr="00C05F58">
              <w:rPr>
                <w:rFonts w:eastAsiaTheme="minorEastAsia" w:cs="Arial"/>
                <w:bCs/>
                <w:sz w:val="20"/>
                <w:szCs w:val="20"/>
                <w:lang w:val="en-GB"/>
              </w:rPr>
              <w:t>iv after Folinic Acid (Bolus)</w:t>
            </w:r>
            <w:r w:rsidR="0045361F" w:rsidRPr="00C05F58">
              <w:rPr>
                <w:rFonts w:eastAsiaTheme="minorEastAsia" w:cs="Arial"/>
                <w:bCs/>
                <w:sz w:val="20"/>
                <w:szCs w:val="20"/>
                <w:lang w:val="en-GB"/>
              </w:rPr>
              <w:t xml:space="preserve">, </w:t>
            </w:r>
            <w:r w:rsidRPr="00C05F58">
              <w:rPr>
                <w:rFonts w:eastAsiaTheme="minorEastAsia" w:cs="Arial"/>
                <w:bCs/>
                <w:sz w:val="20"/>
                <w:szCs w:val="20"/>
                <w:lang w:val="en-GB"/>
              </w:rPr>
              <w:t>q14d</w:t>
            </w:r>
          </w:p>
          <w:p w14:paraId="297BAB19" w14:textId="77777777" w:rsidR="00036CAE" w:rsidRPr="005C4090" w:rsidRDefault="002B46B6" w:rsidP="002B46B6">
            <w:pPr>
              <w:spacing w:before="60"/>
              <w:jc w:val="both"/>
              <w:rPr>
                <w:rFonts w:eastAsiaTheme="minorEastAsia" w:cs="Arial"/>
                <w:sz w:val="20"/>
                <w:szCs w:val="20"/>
              </w:rPr>
            </w:pPr>
            <w:r w:rsidRPr="005C4090">
              <w:rPr>
                <w:rFonts w:eastAsiaTheme="minorEastAsia" w:cs="Arial"/>
                <w:sz w:val="20"/>
                <w:szCs w:val="20"/>
              </w:rPr>
              <w:t>5-FU</w:t>
            </w:r>
            <w:r w:rsidRPr="005C4090">
              <w:rPr>
                <w:rFonts w:eastAsiaTheme="minorEastAsia" w:cs="Arial"/>
                <w:sz w:val="20"/>
                <w:szCs w:val="20"/>
              </w:rPr>
              <w:tab/>
            </w:r>
            <w:r w:rsidRPr="005C4090">
              <w:rPr>
                <w:rFonts w:eastAsiaTheme="minorEastAsia" w:cs="Arial"/>
                <w:sz w:val="20"/>
                <w:szCs w:val="20"/>
              </w:rPr>
              <w:tab/>
            </w:r>
            <w:r w:rsidRPr="005C4090">
              <w:rPr>
                <w:rFonts w:eastAsiaTheme="minorEastAsia" w:cs="Arial"/>
                <w:sz w:val="20"/>
                <w:szCs w:val="20"/>
              </w:rPr>
              <w:tab/>
              <w:t xml:space="preserve">2400 mg/m² </w:t>
            </w:r>
            <w:r w:rsidR="005510D8" w:rsidRPr="005C4090">
              <w:rPr>
                <w:rFonts w:eastAsiaTheme="minorEastAsia" w:cs="Arial"/>
                <w:sz w:val="20"/>
                <w:szCs w:val="20"/>
              </w:rPr>
              <w:t xml:space="preserve">BSA </w:t>
            </w:r>
            <w:r w:rsidRPr="005C4090">
              <w:rPr>
                <w:rFonts w:eastAsiaTheme="minorEastAsia" w:cs="Arial"/>
                <w:sz w:val="20"/>
                <w:szCs w:val="20"/>
              </w:rPr>
              <w:t>iv over 46 h</w:t>
            </w:r>
            <w:r w:rsidRPr="005C4090">
              <w:rPr>
                <w:rFonts w:eastAsiaTheme="minorEastAsia" w:cs="Arial"/>
                <w:sz w:val="20"/>
                <w:szCs w:val="20"/>
              </w:rPr>
              <w:tab/>
              <w:t>d1-d2, q14d</w:t>
            </w:r>
          </w:p>
          <w:p w14:paraId="36D18827" w14:textId="25307D08" w:rsidR="0045361F" w:rsidRPr="005C4090" w:rsidRDefault="0045361F" w:rsidP="002B46B6">
            <w:pPr>
              <w:spacing w:before="60"/>
              <w:jc w:val="both"/>
              <w:rPr>
                <w:rFonts w:eastAsiaTheme="minorEastAsia" w:cs="Arial"/>
                <w:sz w:val="20"/>
                <w:szCs w:val="20"/>
              </w:rPr>
            </w:pPr>
          </w:p>
        </w:tc>
      </w:tr>
      <w:tr w:rsidR="00036CAE" w:rsidRPr="00030E6B" w14:paraId="3231B4BF" w14:textId="77777777">
        <w:trPr>
          <w:cantSplit/>
        </w:trPr>
        <w:tc>
          <w:tcPr>
            <w:tcW w:w="9568" w:type="dxa"/>
            <w:gridSpan w:val="3"/>
          </w:tcPr>
          <w:p w14:paraId="2925AF78" w14:textId="77777777" w:rsidR="00036CAE" w:rsidRPr="00C05F58" w:rsidRDefault="00C91616">
            <w:pPr>
              <w:jc w:val="both"/>
              <w:rPr>
                <w:rFonts w:eastAsiaTheme="minorEastAsia" w:cs="Arial"/>
                <w:sz w:val="20"/>
                <w:szCs w:val="20"/>
                <w:lang w:val="en-GB"/>
              </w:rPr>
            </w:pPr>
            <w:r w:rsidRPr="00C05F58">
              <w:rPr>
                <w:rFonts w:eastAsiaTheme="minorEastAsia" w:cs="Arial"/>
                <w:b/>
                <w:bCs/>
                <w:sz w:val="20"/>
                <w:szCs w:val="20"/>
                <w:lang w:val="en-GB"/>
              </w:rPr>
              <w:lastRenderedPageBreak/>
              <w:t>Duration of treatment:</w:t>
            </w:r>
            <w:r w:rsidRPr="00C05F58">
              <w:rPr>
                <w:rFonts w:eastAsiaTheme="minorEastAsia" w:cs="Arial"/>
                <w:sz w:val="20"/>
                <w:szCs w:val="20"/>
                <w:lang w:val="en-GB"/>
              </w:rPr>
              <w:t xml:space="preserve"> </w:t>
            </w:r>
          </w:p>
          <w:p w14:paraId="085F99F4" w14:textId="760D4325" w:rsidR="002B46B6" w:rsidRPr="00C05F58" w:rsidRDefault="002B46B6">
            <w:pPr>
              <w:jc w:val="both"/>
              <w:rPr>
                <w:rFonts w:eastAsiaTheme="minorEastAsia" w:cs="Arial"/>
                <w:sz w:val="20"/>
                <w:szCs w:val="20"/>
                <w:lang w:val="en-GB"/>
              </w:rPr>
            </w:pPr>
            <w:r w:rsidRPr="00C05F58">
              <w:rPr>
                <w:rFonts w:eastAsiaTheme="minorEastAsia" w:cs="Arial"/>
                <w:sz w:val="20"/>
                <w:szCs w:val="20"/>
                <w:lang w:val="en-GB"/>
              </w:rPr>
              <w:t xml:space="preserve">Study treatment </w:t>
            </w:r>
            <w:r w:rsidR="00E06262" w:rsidRPr="00C05F58">
              <w:rPr>
                <w:rFonts w:eastAsiaTheme="minorEastAsia" w:cs="Arial"/>
                <w:sz w:val="20"/>
                <w:szCs w:val="20"/>
                <w:lang w:val="en-GB"/>
              </w:rPr>
              <w:t xml:space="preserve">was to </w:t>
            </w:r>
            <w:r w:rsidRPr="00C05F58">
              <w:rPr>
                <w:rFonts w:eastAsiaTheme="minorEastAsia" w:cs="Arial"/>
                <w:sz w:val="20"/>
                <w:szCs w:val="20"/>
                <w:lang w:val="en-GB"/>
              </w:rPr>
              <w:t>be given until progression or unacceptable toxicities or patient’s wish, whichever occurred first.</w:t>
            </w:r>
          </w:p>
          <w:p w14:paraId="6C63228F" w14:textId="2068AB15" w:rsidR="0045361F" w:rsidRPr="00C05F58" w:rsidRDefault="0045361F">
            <w:pPr>
              <w:jc w:val="both"/>
              <w:rPr>
                <w:rFonts w:eastAsiaTheme="minorEastAsia" w:cs="Arial"/>
                <w:sz w:val="20"/>
                <w:szCs w:val="20"/>
                <w:lang w:val="en-GB"/>
              </w:rPr>
            </w:pPr>
          </w:p>
        </w:tc>
      </w:tr>
      <w:tr w:rsidR="00036CAE" w:rsidRPr="00030E6B" w14:paraId="068B5CD1" w14:textId="77777777">
        <w:tc>
          <w:tcPr>
            <w:tcW w:w="9568" w:type="dxa"/>
            <w:gridSpan w:val="3"/>
          </w:tcPr>
          <w:p w14:paraId="234676D1" w14:textId="77777777" w:rsidR="00036CAE" w:rsidRPr="00C05F58" w:rsidRDefault="00C91616">
            <w:pPr>
              <w:spacing w:before="60"/>
              <w:jc w:val="both"/>
              <w:rPr>
                <w:rFonts w:eastAsiaTheme="minorEastAsia" w:cs="Arial"/>
                <w:bCs/>
                <w:sz w:val="20"/>
                <w:szCs w:val="20"/>
                <w:lang w:val="en-GB"/>
              </w:rPr>
            </w:pPr>
            <w:r w:rsidRPr="00C05F58">
              <w:rPr>
                <w:rFonts w:eastAsiaTheme="minorEastAsia" w:cs="Arial"/>
                <w:b/>
                <w:bCs/>
                <w:sz w:val="20"/>
                <w:szCs w:val="20"/>
                <w:lang w:val="en-GB"/>
              </w:rPr>
              <w:t>Reference product (</w:t>
            </w:r>
            <w:r w:rsidRPr="00C05F58">
              <w:rPr>
                <w:rFonts w:eastAsia="TimesNewRoman" w:cs="Arial"/>
                <w:b/>
                <w:bCs/>
                <w:sz w:val="20"/>
                <w:szCs w:val="20"/>
                <w:lang w:val="en-GB"/>
              </w:rPr>
              <w:t>dosage, method of administration, batch number</w:t>
            </w:r>
            <w:r w:rsidRPr="00C05F58">
              <w:rPr>
                <w:rFonts w:eastAsiaTheme="minorEastAsia" w:cs="Arial"/>
                <w:b/>
                <w:bCs/>
                <w:sz w:val="20"/>
                <w:szCs w:val="20"/>
                <w:lang w:val="en-GB"/>
              </w:rPr>
              <w:t>)</w:t>
            </w:r>
            <w:r w:rsidR="00C21E61" w:rsidRPr="00C05F58">
              <w:rPr>
                <w:rFonts w:eastAsiaTheme="minorEastAsia" w:cs="Arial"/>
                <w:b/>
                <w:bCs/>
                <w:sz w:val="20"/>
                <w:szCs w:val="20"/>
                <w:lang w:val="en-GB"/>
              </w:rPr>
              <w:t xml:space="preserve">: </w:t>
            </w:r>
            <w:r w:rsidR="00C21E61" w:rsidRPr="00C05F58">
              <w:rPr>
                <w:rFonts w:eastAsiaTheme="minorEastAsia" w:cs="Arial"/>
                <w:bCs/>
                <w:sz w:val="20"/>
                <w:szCs w:val="20"/>
                <w:lang w:val="en-GB"/>
              </w:rPr>
              <w:t>Not applicable</w:t>
            </w:r>
          </w:p>
          <w:p w14:paraId="37EFD356" w14:textId="36DB62DC" w:rsidR="0045361F" w:rsidRPr="00C05F58" w:rsidRDefault="0045361F">
            <w:pPr>
              <w:spacing w:before="60"/>
              <w:jc w:val="both"/>
              <w:rPr>
                <w:rFonts w:eastAsiaTheme="minorEastAsia" w:cs="Arial"/>
                <w:b/>
                <w:bCs/>
                <w:sz w:val="20"/>
                <w:szCs w:val="20"/>
                <w:lang w:val="en-GB"/>
              </w:rPr>
            </w:pPr>
          </w:p>
        </w:tc>
      </w:tr>
      <w:tr w:rsidR="00036CAE" w:rsidRPr="00030E6B" w14:paraId="167B3458" w14:textId="77777777">
        <w:trPr>
          <w:cantSplit/>
        </w:trPr>
        <w:tc>
          <w:tcPr>
            <w:tcW w:w="9568" w:type="dxa"/>
            <w:gridSpan w:val="3"/>
          </w:tcPr>
          <w:p w14:paraId="2B7477D9" w14:textId="4001191F" w:rsidR="00036CAE" w:rsidRPr="00C05F58" w:rsidRDefault="00C91616">
            <w:pPr>
              <w:jc w:val="both"/>
              <w:rPr>
                <w:rFonts w:eastAsiaTheme="minorEastAsia" w:cs="Arial"/>
                <w:sz w:val="20"/>
                <w:szCs w:val="20"/>
                <w:lang w:val="en-GB"/>
              </w:rPr>
            </w:pPr>
            <w:r w:rsidRPr="00C05F58">
              <w:rPr>
                <w:rFonts w:eastAsiaTheme="minorEastAsia" w:cs="Arial"/>
                <w:b/>
                <w:bCs/>
                <w:sz w:val="20"/>
                <w:szCs w:val="20"/>
                <w:lang w:val="en-GB"/>
              </w:rPr>
              <w:t xml:space="preserve">First reference drug: </w:t>
            </w:r>
            <w:r w:rsidRPr="00C05F58">
              <w:rPr>
                <w:rFonts w:eastAsiaTheme="minorEastAsia" w:cs="Arial"/>
                <w:sz w:val="20"/>
                <w:szCs w:val="20"/>
                <w:lang w:val="en-GB"/>
              </w:rPr>
              <w:tab/>
            </w:r>
            <w:r w:rsidR="00C21E61" w:rsidRPr="00C05F58">
              <w:rPr>
                <w:rFonts w:eastAsiaTheme="minorEastAsia" w:cs="Arial"/>
                <w:sz w:val="20"/>
                <w:szCs w:val="20"/>
                <w:lang w:val="en-GB"/>
              </w:rPr>
              <w:t>Not applicable</w:t>
            </w:r>
          </w:p>
          <w:p w14:paraId="4F5FAC2D" w14:textId="77777777" w:rsidR="00036CAE" w:rsidRPr="00C05F58" w:rsidRDefault="00C91616">
            <w:pPr>
              <w:pStyle w:val="Kopfzeile"/>
              <w:tabs>
                <w:tab w:val="clear" w:pos="4536"/>
                <w:tab w:val="clear" w:pos="9072"/>
              </w:tabs>
              <w:jc w:val="both"/>
              <w:rPr>
                <w:rFonts w:eastAsiaTheme="minorEastAsia" w:cs="Arial"/>
                <w:sz w:val="20"/>
                <w:szCs w:val="20"/>
                <w:lang w:val="en-GB"/>
              </w:rPr>
            </w:pPr>
            <w:r w:rsidRPr="00C05F58">
              <w:rPr>
                <w:rFonts w:eastAsiaTheme="minorEastAsia" w:cs="Arial"/>
                <w:b/>
                <w:bCs/>
                <w:sz w:val="20"/>
                <w:szCs w:val="20"/>
                <w:lang w:val="en-GB"/>
              </w:rPr>
              <w:t xml:space="preserve">Second reference drug: </w:t>
            </w:r>
            <w:r w:rsidRPr="00C05F58">
              <w:rPr>
                <w:rFonts w:eastAsiaTheme="minorEastAsia" w:cs="Arial"/>
                <w:sz w:val="20"/>
                <w:szCs w:val="20"/>
                <w:lang w:val="en-GB"/>
              </w:rPr>
              <w:tab/>
            </w:r>
            <w:r w:rsidR="00C21E61" w:rsidRPr="00C05F58">
              <w:rPr>
                <w:rFonts w:eastAsiaTheme="minorEastAsia" w:cs="Arial"/>
                <w:sz w:val="20"/>
                <w:szCs w:val="20"/>
                <w:lang w:val="en-GB"/>
              </w:rPr>
              <w:t>Not applicable</w:t>
            </w:r>
          </w:p>
          <w:p w14:paraId="2E2682F8" w14:textId="052D86D8" w:rsidR="0045361F" w:rsidRPr="00C05F58" w:rsidRDefault="0045361F">
            <w:pPr>
              <w:pStyle w:val="Kopfzeile"/>
              <w:tabs>
                <w:tab w:val="clear" w:pos="4536"/>
                <w:tab w:val="clear" w:pos="9072"/>
              </w:tabs>
              <w:jc w:val="both"/>
              <w:rPr>
                <w:rFonts w:eastAsiaTheme="minorEastAsia" w:cs="Arial"/>
                <w:sz w:val="20"/>
                <w:szCs w:val="20"/>
                <w:lang w:val="en-GB"/>
              </w:rPr>
            </w:pPr>
          </w:p>
        </w:tc>
      </w:tr>
      <w:tr w:rsidR="00036CAE" w:rsidRPr="00C05F58" w14:paraId="28CD0F51" w14:textId="77777777">
        <w:trPr>
          <w:cantSplit/>
        </w:trPr>
        <w:tc>
          <w:tcPr>
            <w:tcW w:w="1771" w:type="dxa"/>
            <w:tcBorders>
              <w:right w:val="nil"/>
            </w:tcBorders>
          </w:tcPr>
          <w:p w14:paraId="0F93DC0E" w14:textId="77777777" w:rsidR="00036CAE" w:rsidRPr="00C05F58" w:rsidRDefault="00C91616">
            <w:pPr>
              <w:jc w:val="both"/>
              <w:rPr>
                <w:rFonts w:eastAsiaTheme="minorEastAsia" w:cs="Arial"/>
                <w:b/>
                <w:bCs/>
                <w:sz w:val="20"/>
                <w:szCs w:val="20"/>
                <w:lang w:val="en-GB"/>
              </w:rPr>
            </w:pPr>
            <w:r w:rsidRPr="00C05F58">
              <w:rPr>
                <w:rFonts w:eastAsiaTheme="minorEastAsia" w:cs="Arial"/>
                <w:b/>
                <w:bCs/>
                <w:sz w:val="20"/>
                <w:szCs w:val="20"/>
                <w:lang w:val="en-GB"/>
              </w:rPr>
              <w:t>Unblinding:</w:t>
            </w:r>
          </w:p>
        </w:tc>
        <w:tc>
          <w:tcPr>
            <w:tcW w:w="7797" w:type="dxa"/>
            <w:gridSpan w:val="2"/>
            <w:tcBorders>
              <w:top w:val="nil"/>
              <w:left w:val="nil"/>
            </w:tcBorders>
          </w:tcPr>
          <w:p w14:paraId="245D1DA1" w14:textId="77777777" w:rsidR="00036CAE" w:rsidRPr="00C05F58" w:rsidRDefault="00C21E61">
            <w:pPr>
              <w:jc w:val="both"/>
              <w:rPr>
                <w:rFonts w:eastAsiaTheme="minorEastAsia" w:cs="Arial"/>
                <w:bCs/>
                <w:sz w:val="20"/>
                <w:szCs w:val="20"/>
                <w:lang w:val="en-GB"/>
              </w:rPr>
            </w:pPr>
            <w:r w:rsidRPr="00C05F58">
              <w:rPr>
                <w:rFonts w:eastAsiaTheme="minorEastAsia" w:cs="Arial"/>
                <w:bCs/>
                <w:sz w:val="20"/>
                <w:szCs w:val="20"/>
                <w:lang w:val="en-GB"/>
              </w:rPr>
              <w:t>Not applicable</w:t>
            </w:r>
          </w:p>
          <w:p w14:paraId="366DAE86" w14:textId="3E9AB202" w:rsidR="0045361F" w:rsidRPr="00C05F58" w:rsidRDefault="0045361F">
            <w:pPr>
              <w:jc w:val="both"/>
              <w:rPr>
                <w:rFonts w:eastAsiaTheme="minorEastAsia" w:cs="Arial"/>
                <w:bCs/>
                <w:sz w:val="20"/>
                <w:szCs w:val="20"/>
                <w:lang w:val="en-GB"/>
              </w:rPr>
            </w:pPr>
          </w:p>
        </w:tc>
      </w:tr>
      <w:tr w:rsidR="00036CAE" w:rsidRPr="00030E6B" w14:paraId="16F930D1" w14:textId="77777777">
        <w:tc>
          <w:tcPr>
            <w:tcW w:w="9568" w:type="dxa"/>
            <w:gridSpan w:val="3"/>
          </w:tcPr>
          <w:p w14:paraId="5DD15896" w14:textId="77777777" w:rsidR="00036CAE" w:rsidRPr="00C05F58" w:rsidRDefault="00C91616">
            <w:pPr>
              <w:spacing w:before="60"/>
              <w:jc w:val="both"/>
              <w:rPr>
                <w:rFonts w:eastAsiaTheme="minorEastAsia" w:cs="Arial"/>
                <w:b/>
                <w:bCs/>
                <w:sz w:val="20"/>
                <w:szCs w:val="20"/>
                <w:lang w:val="en-GB"/>
              </w:rPr>
            </w:pPr>
            <w:r w:rsidRPr="00C05F58">
              <w:rPr>
                <w:rFonts w:eastAsiaTheme="minorEastAsia" w:cs="Arial"/>
                <w:b/>
                <w:bCs/>
                <w:sz w:val="20"/>
                <w:szCs w:val="20"/>
                <w:lang w:val="en-GB"/>
              </w:rPr>
              <w:t>Efficacy evaluation:</w:t>
            </w:r>
            <w:r w:rsidRPr="00C05F58">
              <w:rPr>
                <w:rFonts w:eastAsiaTheme="minorEastAsia" w:cs="Arial"/>
                <w:b/>
                <w:bCs/>
                <w:sz w:val="20"/>
                <w:szCs w:val="20"/>
                <w:lang w:val="en-GB"/>
              </w:rPr>
              <w:tab/>
            </w:r>
          </w:p>
          <w:p w14:paraId="348E87A1" w14:textId="774A518F" w:rsidR="00036CAE" w:rsidRPr="00C05F58" w:rsidRDefault="0040520A" w:rsidP="004846E3">
            <w:pPr>
              <w:jc w:val="both"/>
              <w:rPr>
                <w:rFonts w:eastAsiaTheme="minorEastAsia" w:cs="Arial"/>
                <w:bCs/>
                <w:sz w:val="20"/>
                <w:szCs w:val="20"/>
                <w:lang w:val="en-GB"/>
              </w:rPr>
            </w:pPr>
            <w:r w:rsidRPr="00C05F58">
              <w:rPr>
                <w:rFonts w:eastAsiaTheme="minorEastAsia" w:cs="Arial"/>
                <w:bCs/>
                <w:sz w:val="20"/>
                <w:szCs w:val="20"/>
                <w:lang w:val="en-GB"/>
              </w:rPr>
              <w:t>Efficacy was evaluated according to RECIST 1.0 criteria.</w:t>
            </w:r>
            <w:r w:rsidR="00E06262" w:rsidRPr="00C05F58">
              <w:rPr>
                <w:rFonts w:eastAsiaTheme="minorEastAsia" w:cs="Arial"/>
                <w:bCs/>
                <w:sz w:val="20"/>
                <w:szCs w:val="20"/>
                <w:lang w:val="en-GB"/>
              </w:rPr>
              <w:t xml:space="preserve"> </w:t>
            </w:r>
            <w:r w:rsidRPr="00C05F58">
              <w:rPr>
                <w:rFonts w:eastAsiaTheme="minorEastAsia" w:cs="Arial"/>
                <w:bCs/>
                <w:sz w:val="20"/>
                <w:szCs w:val="20"/>
                <w:lang w:val="en-GB"/>
              </w:rPr>
              <w:t xml:space="preserve">The primary </w:t>
            </w:r>
            <w:r w:rsidR="00EE6DD0" w:rsidRPr="00C05F58">
              <w:rPr>
                <w:rFonts w:eastAsiaTheme="minorEastAsia" w:cs="Arial"/>
                <w:bCs/>
                <w:sz w:val="20"/>
                <w:szCs w:val="20"/>
                <w:lang w:val="en-GB"/>
              </w:rPr>
              <w:t xml:space="preserve">objective </w:t>
            </w:r>
            <w:r w:rsidRPr="00C05F58">
              <w:rPr>
                <w:rFonts w:eastAsiaTheme="minorEastAsia" w:cs="Arial"/>
                <w:bCs/>
                <w:sz w:val="20"/>
                <w:szCs w:val="20"/>
                <w:lang w:val="en-GB"/>
              </w:rPr>
              <w:t xml:space="preserve">was the </w:t>
            </w:r>
            <w:r w:rsidR="00165389">
              <w:rPr>
                <w:rFonts w:eastAsiaTheme="minorEastAsia" w:cs="Arial"/>
                <w:bCs/>
                <w:sz w:val="20"/>
                <w:szCs w:val="20"/>
                <w:lang w:val="en-GB"/>
              </w:rPr>
              <w:t>overall</w:t>
            </w:r>
            <w:r w:rsidR="00165389" w:rsidRPr="00C05F58">
              <w:rPr>
                <w:rFonts w:eastAsiaTheme="minorEastAsia" w:cs="Arial"/>
                <w:bCs/>
                <w:sz w:val="20"/>
                <w:szCs w:val="20"/>
                <w:lang w:val="en-GB"/>
              </w:rPr>
              <w:t xml:space="preserve"> </w:t>
            </w:r>
            <w:r w:rsidRPr="00C05F58">
              <w:rPr>
                <w:rFonts w:eastAsiaTheme="minorEastAsia" w:cs="Arial"/>
                <w:bCs/>
                <w:sz w:val="20"/>
                <w:szCs w:val="20"/>
                <w:lang w:val="en-GB"/>
              </w:rPr>
              <w:t>response rate [= patients with either complete response (CR) or partial response (PR) as best response divided by the number of patients eligible for the ITT].</w:t>
            </w:r>
          </w:p>
          <w:p w14:paraId="43405B3E" w14:textId="43C5008E" w:rsidR="0040520A" w:rsidRPr="00C05F58" w:rsidRDefault="00EE6DD0" w:rsidP="0040520A">
            <w:pPr>
              <w:spacing w:before="60"/>
              <w:jc w:val="both"/>
              <w:rPr>
                <w:rFonts w:eastAsiaTheme="minorEastAsia" w:cs="Arial"/>
                <w:b/>
                <w:bCs/>
                <w:sz w:val="20"/>
                <w:szCs w:val="20"/>
                <w:lang w:val="en-GB"/>
              </w:rPr>
            </w:pPr>
            <w:r w:rsidRPr="00C05F58">
              <w:rPr>
                <w:rFonts w:eastAsiaTheme="minorEastAsia" w:cs="Arial"/>
                <w:bCs/>
                <w:sz w:val="20"/>
                <w:szCs w:val="20"/>
                <w:lang w:val="en-GB"/>
              </w:rPr>
              <w:t xml:space="preserve">Further efficacy objectives were </w:t>
            </w:r>
            <w:r w:rsidR="00847B0A">
              <w:rPr>
                <w:rFonts w:eastAsiaTheme="minorEastAsia" w:cs="Arial"/>
                <w:bCs/>
                <w:sz w:val="20"/>
                <w:szCs w:val="20"/>
                <w:lang w:val="en-GB"/>
              </w:rPr>
              <w:t xml:space="preserve">safety, </w:t>
            </w:r>
            <w:r w:rsidRPr="00C05F58">
              <w:rPr>
                <w:rFonts w:eastAsiaTheme="minorEastAsia" w:cs="Arial"/>
                <w:bCs/>
                <w:sz w:val="20"/>
                <w:szCs w:val="20"/>
                <w:lang w:val="en-GB"/>
              </w:rPr>
              <w:t>the disease control rate, treatment duration,</w:t>
            </w:r>
            <w:r w:rsidR="00165389">
              <w:rPr>
                <w:rFonts w:eastAsiaTheme="minorEastAsia" w:cs="Arial"/>
                <w:bCs/>
                <w:sz w:val="20"/>
                <w:szCs w:val="20"/>
                <w:lang w:val="en-GB"/>
              </w:rPr>
              <w:t xml:space="preserve"> duration of response</w:t>
            </w:r>
            <w:r w:rsidRPr="00C05F58">
              <w:rPr>
                <w:rFonts w:eastAsiaTheme="minorEastAsia" w:cs="Arial"/>
                <w:bCs/>
                <w:sz w:val="20"/>
                <w:szCs w:val="20"/>
                <w:lang w:val="en-GB"/>
              </w:rPr>
              <w:t xml:space="preserve"> </w:t>
            </w:r>
            <w:r w:rsidR="00165389">
              <w:rPr>
                <w:rFonts w:eastAsiaTheme="minorEastAsia" w:cs="Arial"/>
                <w:bCs/>
                <w:sz w:val="20"/>
                <w:szCs w:val="20"/>
                <w:lang w:val="en-GB"/>
              </w:rPr>
              <w:t>resection rate of metastases</w:t>
            </w:r>
            <w:r w:rsidRPr="00C05F58">
              <w:rPr>
                <w:rFonts w:eastAsiaTheme="minorEastAsia" w:cs="Arial"/>
                <w:bCs/>
                <w:sz w:val="20"/>
                <w:szCs w:val="20"/>
                <w:lang w:val="en-GB"/>
              </w:rPr>
              <w:t>,</w:t>
            </w:r>
            <w:r w:rsidR="003309CD">
              <w:rPr>
                <w:rFonts w:eastAsiaTheme="minorEastAsia" w:cs="Arial"/>
                <w:bCs/>
                <w:sz w:val="20"/>
                <w:szCs w:val="20"/>
                <w:lang w:val="en-GB"/>
              </w:rPr>
              <w:t xml:space="preserve"> R0 resection rate of metastases</w:t>
            </w:r>
            <w:r w:rsidR="00847B0A">
              <w:rPr>
                <w:rFonts w:eastAsiaTheme="minorEastAsia" w:cs="Arial"/>
                <w:bCs/>
                <w:sz w:val="20"/>
                <w:szCs w:val="20"/>
                <w:lang w:val="en-GB"/>
              </w:rPr>
              <w:t>,</w:t>
            </w:r>
            <w:r w:rsidRPr="00C05F58">
              <w:rPr>
                <w:rFonts w:eastAsiaTheme="minorEastAsia" w:cs="Arial"/>
                <w:bCs/>
                <w:sz w:val="20"/>
                <w:szCs w:val="20"/>
                <w:lang w:val="en-GB"/>
              </w:rPr>
              <w:t xml:space="preserve"> pr</w:t>
            </w:r>
            <w:r w:rsidR="003939C6" w:rsidRPr="00C05F58">
              <w:rPr>
                <w:rFonts w:eastAsiaTheme="minorEastAsia" w:cs="Arial"/>
                <w:bCs/>
                <w:sz w:val="20"/>
                <w:szCs w:val="20"/>
                <w:lang w:val="en-GB"/>
              </w:rPr>
              <w:t>o</w:t>
            </w:r>
            <w:r w:rsidRPr="00C05F58">
              <w:rPr>
                <w:rFonts w:eastAsiaTheme="minorEastAsia" w:cs="Arial"/>
                <w:bCs/>
                <w:sz w:val="20"/>
                <w:szCs w:val="20"/>
                <w:lang w:val="en-GB"/>
              </w:rPr>
              <w:t>gression-free survival (PFS)</w:t>
            </w:r>
            <w:r w:rsidR="00847B0A">
              <w:rPr>
                <w:rFonts w:eastAsiaTheme="minorEastAsia" w:cs="Arial"/>
                <w:bCs/>
                <w:sz w:val="20"/>
                <w:szCs w:val="20"/>
                <w:lang w:val="en-GB"/>
              </w:rPr>
              <w:t xml:space="preserve">, </w:t>
            </w:r>
            <w:r w:rsidRPr="00C05F58">
              <w:rPr>
                <w:rFonts w:eastAsiaTheme="minorEastAsia" w:cs="Arial"/>
                <w:bCs/>
                <w:sz w:val="20"/>
                <w:szCs w:val="20"/>
                <w:lang w:val="en-GB"/>
              </w:rPr>
              <w:t>overall survival (OS)</w:t>
            </w:r>
            <w:r w:rsidR="00580E8A">
              <w:rPr>
                <w:rFonts w:eastAsiaTheme="minorEastAsia" w:cs="Arial"/>
                <w:bCs/>
                <w:sz w:val="20"/>
                <w:szCs w:val="20"/>
                <w:lang w:val="en-GB"/>
              </w:rPr>
              <w:t xml:space="preserve"> and quality of life</w:t>
            </w:r>
            <w:r w:rsidRPr="00C05F58">
              <w:rPr>
                <w:rFonts w:eastAsiaTheme="minorEastAsia" w:cs="Arial"/>
                <w:bCs/>
                <w:sz w:val="20"/>
                <w:szCs w:val="20"/>
                <w:lang w:val="en-GB"/>
              </w:rPr>
              <w:t>.</w:t>
            </w:r>
          </w:p>
        </w:tc>
      </w:tr>
      <w:tr w:rsidR="00036CAE" w:rsidRPr="00030E6B" w14:paraId="3AB03D99" w14:textId="77777777">
        <w:tc>
          <w:tcPr>
            <w:tcW w:w="9568" w:type="dxa"/>
            <w:gridSpan w:val="3"/>
          </w:tcPr>
          <w:p w14:paraId="70D28CDA" w14:textId="76C3C4BE" w:rsidR="00036CAE" w:rsidRPr="00C05F58" w:rsidRDefault="0045361F">
            <w:pPr>
              <w:spacing w:before="60" w:after="60"/>
              <w:jc w:val="both"/>
              <w:rPr>
                <w:rFonts w:eastAsiaTheme="minorEastAsia" w:cs="Arial"/>
                <w:b/>
                <w:bCs/>
                <w:sz w:val="20"/>
                <w:szCs w:val="20"/>
                <w:lang w:val="en-GB"/>
              </w:rPr>
            </w:pPr>
            <w:r w:rsidRPr="00C05F58">
              <w:rPr>
                <w:rFonts w:eastAsiaTheme="minorEastAsia" w:cs="Arial"/>
                <w:b/>
                <w:bCs/>
                <w:sz w:val="20"/>
                <w:szCs w:val="20"/>
                <w:lang w:val="en-GB"/>
              </w:rPr>
              <w:t>Safety evaluation:</w:t>
            </w:r>
          </w:p>
          <w:p w14:paraId="0D0DE687" w14:textId="77777777" w:rsidR="00036CAE" w:rsidRPr="00C05F58" w:rsidRDefault="00EE6DD0" w:rsidP="004846E3">
            <w:pPr>
              <w:jc w:val="both"/>
              <w:rPr>
                <w:rFonts w:eastAsiaTheme="minorEastAsia" w:cs="Arial"/>
                <w:bCs/>
                <w:sz w:val="20"/>
                <w:szCs w:val="20"/>
                <w:lang w:val="en-GB"/>
              </w:rPr>
            </w:pPr>
            <w:r w:rsidRPr="00C05F58">
              <w:rPr>
                <w:rFonts w:eastAsiaTheme="minorEastAsia" w:cs="Arial"/>
                <w:bCs/>
                <w:sz w:val="20"/>
                <w:szCs w:val="20"/>
                <w:lang w:val="en-GB"/>
              </w:rPr>
              <w:t xml:space="preserve">All adverse events either related or not related to study treatment </w:t>
            </w:r>
            <w:r w:rsidR="003239AC" w:rsidRPr="00C05F58">
              <w:rPr>
                <w:rFonts w:eastAsiaTheme="minorEastAsia" w:cs="Arial"/>
                <w:bCs/>
                <w:sz w:val="20"/>
                <w:szCs w:val="20"/>
                <w:lang w:val="en-GB"/>
              </w:rPr>
              <w:t>were</w:t>
            </w:r>
            <w:r w:rsidRPr="00C05F58">
              <w:rPr>
                <w:rFonts w:eastAsiaTheme="minorEastAsia" w:cs="Arial"/>
                <w:bCs/>
                <w:sz w:val="20"/>
                <w:szCs w:val="20"/>
                <w:lang w:val="en-GB"/>
              </w:rPr>
              <w:t xml:space="preserve"> documented. Toxicities were defined according to the NCI-CTC-Toxicity Criteria version 3.0 and coded according to MedDRA.</w:t>
            </w:r>
          </w:p>
          <w:p w14:paraId="5872799C" w14:textId="05AB6380" w:rsidR="0045361F" w:rsidRPr="00C05F58" w:rsidRDefault="0045361F" w:rsidP="003239AC">
            <w:pPr>
              <w:spacing w:before="60" w:after="60"/>
              <w:jc w:val="both"/>
              <w:rPr>
                <w:rFonts w:eastAsiaTheme="minorEastAsia" w:cs="Arial"/>
                <w:bCs/>
                <w:sz w:val="20"/>
                <w:szCs w:val="20"/>
                <w:lang w:val="en-GB"/>
              </w:rPr>
            </w:pPr>
          </w:p>
        </w:tc>
      </w:tr>
      <w:tr w:rsidR="00036CAE" w:rsidRPr="00030E6B" w14:paraId="59C06747" w14:textId="77777777">
        <w:tc>
          <w:tcPr>
            <w:tcW w:w="9568" w:type="dxa"/>
            <w:gridSpan w:val="3"/>
          </w:tcPr>
          <w:p w14:paraId="1637EDF4" w14:textId="6FFF6F68" w:rsidR="00036CAE" w:rsidRDefault="00C91616">
            <w:pPr>
              <w:jc w:val="both"/>
              <w:rPr>
                <w:rFonts w:eastAsiaTheme="minorEastAsia" w:cs="Arial"/>
                <w:b/>
                <w:bCs/>
                <w:sz w:val="20"/>
                <w:szCs w:val="20"/>
                <w:lang w:val="en-GB"/>
              </w:rPr>
            </w:pPr>
            <w:r w:rsidRPr="00C05F58">
              <w:rPr>
                <w:rFonts w:eastAsiaTheme="minorEastAsia" w:cs="Arial"/>
                <w:b/>
                <w:bCs/>
                <w:sz w:val="20"/>
                <w:szCs w:val="20"/>
                <w:lang w:val="en-GB"/>
              </w:rPr>
              <w:t>Statistical methods:</w:t>
            </w:r>
          </w:p>
          <w:p w14:paraId="1364B2FD" w14:textId="75C72FAE" w:rsidR="00F60F34" w:rsidRPr="00F60F34" w:rsidRDefault="00F60F34" w:rsidP="00F60F34">
            <w:pPr>
              <w:jc w:val="both"/>
              <w:rPr>
                <w:rFonts w:cs="Arial"/>
                <w:iCs/>
                <w:sz w:val="20"/>
                <w:szCs w:val="20"/>
                <w:lang w:val="en-GB"/>
              </w:rPr>
            </w:pPr>
            <w:r w:rsidRPr="00F60F34">
              <w:rPr>
                <w:rFonts w:cs="Arial"/>
                <w:iCs/>
                <w:sz w:val="20"/>
                <w:szCs w:val="20"/>
                <w:lang w:val="en-GB"/>
              </w:rPr>
              <w:t>The sample size was determined by using Simon’s two stage minimax-design [</w:t>
            </w:r>
            <w:r w:rsidRPr="00F60F34">
              <w:rPr>
                <w:rFonts w:cs="Arial"/>
                <w:iCs/>
                <w:sz w:val="20"/>
                <w:szCs w:val="20"/>
                <w:lang w:val="en-GB"/>
              </w:rPr>
              <w:fldChar w:fldCharType="begin"/>
            </w:r>
            <w:r w:rsidRPr="00F60F34">
              <w:rPr>
                <w:rFonts w:cs="Arial"/>
                <w:iCs/>
                <w:sz w:val="20"/>
                <w:szCs w:val="20"/>
                <w:lang w:val="en-GB"/>
              </w:rPr>
              <w:instrText xml:space="preserve"> REF _Ref519088782 \r \h </w:instrText>
            </w:r>
            <w:r>
              <w:rPr>
                <w:rFonts w:cs="Arial"/>
                <w:iCs/>
                <w:sz w:val="20"/>
                <w:szCs w:val="20"/>
                <w:lang w:val="en-GB"/>
              </w:rPr>
              <w:instrText xml:space="preserve"> \* MERGEFORMAT </w:instrText>
            </w:r>
            <w:r w:rsidRPr="00F60F34">
              <w:rPr>
                <w:rFonts w:cs="Arial"/>
                <w:iCs/>
                <w:sz w:val="20"/>
                <w:szCs w:val="20"/>
                <w:lang w:val="en-GB"/>
              </w:rPr>
            </w:r>
            <w:r w:rsidRPr="00F60F34">
              <w:rPr>
                <w:rFonts w:cs="Arial"/>
                <w:iCs/>
                <w:sz w:val="20"/>
                <w:szCs w:val="20"/>
                <w:lang w:val="en-GB"/>
              </w:rPr>
              <w:fldChar w:fldCharType="separate"/>
            </w:r>
            <w:r w:rsidRPr="00F60F34">
              <w:rPr>
                <w:rFonts w:cs="Arial"/>
                <w:iCs/>
                <w:sz w:val="20"/>
                <w:szCs w:val="20"/>
                <w:lang w:val="en-GB"/>
              </w:rPr>
              <w:t>29</w:t>
            </w:r>
            <w:r w:rsidRPr="00F60F34">
              <w:rPr>
                <w:rFonts w:cs="Arial"/>
                <w:iCs/>
                <w:sz w:val="20"/>
                <w:szCs w:val="20"/>
                <w:lang w:val="en-GB"/>
              </w:rPr>
              <w:fldChar w:fldCharType="end"/>
            </w:r>
            <w:r w:rsidRPr="00F60F34">
              <w:rPr>
                <w:rFonts w:cs="Arial"/>
                <w:iCs/>
                <w:sz w:val="20"/>
                <w:szCs w:val="20"/>
                <w:lang w:val="en-GB"/>
              </w:rPr>
              <w:t>]. The minimax-design is that design which leads to the smallest sample size for the given constraints.</w:t>
            </w:r>
          </w:p>
          <w:p w14:paraId="19336223" w14:textId="404F5EF8" w:rsidR="00F60F34" w:rsidRPr="00F60F34" w:rsidRDefault="00F60F34" w:rsidP="00F60F34">
            <w:pPr>
              <w:spacing w:after="120"/>
              <w:jc w:val="both"/>
              <w:rPr>
                <w:rFonts w:cs="Arial"/>
                <w:iCs/>
                <w:sz w:val="20"/>
                <w:szCs w:val="20"/>
                <w:lang w:val="en-GB"/>
              </w:rPr>
            </w:pPr>
            <w:r w:rsidRPr="00F60F34">
              <w:rPr>
                <w:rFonts w:cs="Arial"/>
                <w:iCs/>
                <w:sz w:val="20"/>
                <w:szCs w:val="20"/>
                <w:lang w:val="en-GB"/>
              </w:rPr>
              <w:t>In order to calculate the sample size the following hypotheses were considered</w:t>
            </w:r>
            <w:r w:rsidR="000B1F8E">
              <w:rPr>
                <w:rFonts w:cs="Arial"/>
                <w:iCs/>
                <w:sz w:val="20"/>
                <w:szCs w:val="20"/>
                <w:lang w:val="en-GB"/>
              </w:rPr>
              <w:t>:</w:t>
            </w:r>
          </w:p>
          <w:p w14:paraId="628BDDAD" w14:textId="3138853C" w:rsidR="005C5E6E" w:rsidRPr="005C5E6E" w:rsidRDefault="00F60F34" w:rsidP="005C5E6E">
            <w:pPr>
              <w:jc w:val="both"/>
              <w:rPr>
                <w:rFonts w:cs="Arial"/>
                <w:iCs/>
                <w:sz w:val="20"/>
                <w:szCs w:val="20"/>
                <w:lang w:val="en-GB"/>
              </w:rPr>
            </w:pPr>
            <w:r w:rsidRPr="00F60F34">
              <w:rPr>
                <w:rFonts w:cs="Arial"/>
                <w:iCs/>
                <w:sz w:val="20"/>
                <w:szCs w:val="20"/>
                <w:lang w:val="en-GB"/>
              </w:rPr>
              <w:t>H0: p ≤ 0.35 versus H1: p ≥ 0.55,</w:t>
            </w:r>
            <w:r w:rsidR="000B1F8E">
              <w:rPr>
                <w:rFonts w:cs="Arial"/>
                <w:iCs/>
                <w:sz w:val="20"/>
                <w:szCs w:val="20"/>
                <w:lang w:val="en-GB"/>
              </w:rPr>
              <w:t xml:space="preserve"> </w:t>
            </w:r>
            <w:r w:rsidRPr="00F60F34">
              <w:rPr>
                <w:rFonts w:cs="Arial"/>
                <w:iCs/>
                <w:sz w:val="20"/>
                <w:szCs w:val="20"/>
                <w:lang w:val="en-GB"/>
              </w:rPr>
              <w:t>meaning that a response rate of at most 35% of the new therapy would have no clinical relevance whereas a response rate of at least 55% would lead to further investigation of that therapy.</w:t>
            </w:r>
            <w:r w:rsidR="005C5E6E">
              <w:rPr>
                <w:rFonts w:cs="Arial"/>
                <w:iCs/>
                <w:sz w:val="20"/>
                <w:szCs w:val="20"/>
                <w:lang w:val="en-GB"/>
              </w:rPr>
              <w:t xml:space="preserve"> The sample size was 37 evaluable patients for the first stage and additional 16 evaluable patients for the second stage</w:t>
            </w:r>
            <w:r w:rsidR="00172243">
              <w:rPr>
                <w:rFonts w:cs="Arial"/>
                <w:iCs/>
                <w:sz w:val="20"/>
                <w:szCs w:val="20"/>
                <w:lang w:val="en-GB"/>
              </w:rPr>
              <w:t xml:space="preserve"> (n=53 in total)</w:t>
            </w:r>
            <w:r w:rsidR="005C5E6E">
              <w:rPr>
                <w:rFonts w:cs="Arial"/>
                <w:iCs/>
                <w:sz w:val="20"/>
                <w:szCs w:val="20"/>
                <w:lang w:val="en-GB"/>
              </w:rPr>
              <w:t>. The new therapy was to be rejected if 12 or less responders were observed in the 37 patients of the first stage</w:t>
            </w:r>
            <w:r w:rsidR="002566EF">
              <w:rPr>
                <w:rFonts w:cs="Arial"/>
                <w:iCs/>
                <w:sz w:val="20"/>
                <w:szCs w:val="20"/>
                <w:lang w:val="en-GB"/>
              </w:rPr>
              <w:t xml:space="preserve">, and </w:t>
            </w:r>
            <w:r w:rsidR="00172243">
              <w:rPr>
                <w:rFonts w:cs="Arial"/>
                <w:iCs/>
                <w:sz w:val="20"/>
                <w:szCs w:val="20"/>
                <w:lang w:val="en-GB"/>
              </w:rPr>
              <w:t xml:space="preserve">the study could be </w:t>
            </w:r>
            <w:r w:rsidR="00DD1FC6">
              <w:rPr>
                <w:rFonts w:cs="Arial"/>
                <w:iCs/>
                <w:sz w:val="20"/>
                <w:szCs w:val="20"/>
                <w:lang w:val="en-GB"/>
              </w:rPr>
              <w:t>continued to the second stage in case of at least 13 responders. The new therapy was also to be rejected if 24 of less responders were observed in 53 evaluable patients after completion of the second stage.</w:t>
            </w:r>
          </w:p>
          <w:p w14:paraId="3561D08F" w14:textId="21CEB9C6" w:rsidR="00F60F34" w:rsidRPr="00F60F34" w:rsidRDefault="00F60F34" w:rsidP="00F60F34">
            <w:pPr>
              <w:jc w:val="both"/>
              <w:rPr>
                <w:rFonts w:eastAsiaTheme="minorEastAsia" w:cs="Arial"/>
                <w:bCs/>
                <w:sz w:val="20"/>
                <w:szCs w:val="20"/>
                <w:lang w:val="en-GB"/>
              </w:rPr>
            </w:pPr>
          </w:p>
          <w:p w14:paraId="14AF4BAF" w14:textId="53CBC823" w:rsidR="00900D6A" w:rsidRDefault="00900D6A" w:rsidP="004846E3">
            <w:pPr>
              <w:rPr>
                <w:rFonts w:eastAsiaTheme="minorEastAsia" w:cs="Arial"/>
                <w:bCs/>
                <w:sz w:val="20"/>
                <w:szCs w:val="20"/>
                <w:lang w:val="en-GB"/>
              </w:rPr>
            </w:pPr>
            <w:r w:rsidRPr="00C05F58">
              <w:rPr>
                <w:rFonts w:eastAsiaTheme="minorEastAsia" w:cs="Arial"/>
                <w:bCs/>
                <w:sz w:val="20"/>
                <w:szCs w:val="20"/>
                <w:lang w:val="en-GB"/>
              </w:rPr>
              <w:t xml:space="preserve">The primary endpoint was the quantification of the responder-fraction (CR/PR) of patients with metastatic colorectal carcinoma with wild-type </w:t>
            </w:r>
            <w:r w:rsidRPr="00C05F58">
              <w:rPr>
                <w:rFonts w:eastAsiaTheme="minorEastAsia" w:cs="Arial"/>
                <w:bCs/>
                <w:i/>
                <w:sz w:val="20"/>
                <w:szCs w:val="20"/>
                <w:lang w:val="en-GB"/>
              </w:rPr>
              <w:t>KRAS</w:t>
            </w:r>
            <w:r w:rsidRPr="00C05F58">
              <w:rPr>
                <w:rFonts w:eastAsiaTheme="minorEastAsia" w:cs="Arial"/>
                <w:bCs/>
                <w:sz w:val="20"/>
                <w:szCs w:val="20"/>
                <w:lang w:val="en-GB"/>
              </w:rPr>
              <w:t xml:space="preserve"> (exon 2) who received a bi-weekly cetuximab </w:t>
            </w:r>
            <w:r w:rsidR="003C5C0A" w:rsidRPr="00C05F58">
              <w:rPr>
                <w:rFonts w:eastAsiaTheme="minorEastAsia" w:cs="Arial"/>
                <w:bCs/>
                <w:sz w:val="20"/>
                <w:szCs w:val="20"/>
                <w:lang w:val="en-GB"/>
              </w:rPr>
              <w:t>administration</w:t>
            </w:r>
            <w:r w:rsidRPr="00C05F58">
              <w:rPr>
                <w:rFonts w:eastAsiaTheme="minorEastAsia" w:cs="Arial"/>
                <w:bCs/>
                <w:sz w:val="20"/>
                <w:szCs w:val="20"/>
                <w:lang w:val="en-GB"/>
              </w:rPr>
              <w:t xml:space="preserve"> in combination with FOLFOX-6 regimen. For each patient the response was determined. Complete and partial remissions were considered as showing a response.</w:t>
            </w:r>
          </w:p>
          <w:p w14:paraId="5CB51CA5" w14:textId="4E3A077F" w:rsidR="00900D6A" w:rsidRPr="00C05F58" w:rsidRDefault="00900D6A" w:rsidP="004846E3">
            <w:pPr>
              <w:rPr>
                <w:rFonts w:eastAsiaTheme="minorEastAsia" w:cs="Arial"/>
                <w:bCs/>
                <w:sz w:val="20"/>
                <w:szCs w:val="20"/>
                <w:lang w:val="en-GB"/>
              </w:rPr>
            </w:pPr>
            <w:r w:rsidRPr="00C05F58">
              <w:rPr>
                <w:rFonts w:eastAsiaTheme="minorEastAsia" w:cs="Arial"/>
                <w:bCs/>
                <w:sz w:val="20"/>
                <w:szCs w:val="20"/>
                <w:lang w:val="en-GB"/>
              </w:rPr>
              <w:t>Variables of interest were determined for each study participant. Best overall response was assigned according to RECIST 1.0 criteria. Time to event endpoints were assigned the date of documented event occurrence. In the absence of such documentation, these endpoints were censored on the last known</w:t>
            </w:r>
            <w:r w:rsidR="00587DF6" w:rsidRPr="00C05F58">
              <w:rPr>
                <w:rFonts w:eastAsiaTheme="minorEastAsia" w:cs="Arial"/>
                <w:bCs/>
                <w:sz w:val="20"/>
                <w:szCs w:val="20"/>
                <w:lang w:val="en-GB"/>
              </w:rPr>
              <w:t xml:space="preserve"> to be</w:t>
            </w:r>
            <w:r w:rsidRPr="00C05F58">
              <w:rPr>
                <w:rFonts w:eastAsiaTheme="minorEastAsia" w:cs="Arial"/>
                <w:bCs/>
                <w:sz w:val="20"/>
                <w:szCs w:val="20"/>
                <w:lang w:val="en-GB"/>
              </w:rPr>
              <w:t xml:space="preserve"> event-free date.</w:t>
            </w:r>
          </w:p>
          <w:p w14:paraId="7DD2A895" w14:textId="7A6B67D1" w:rsidR="00900D6A" w:rsidRPr="00C05F58" w:rsidRDefault="00900D6A" w:rsidP="004846E3">
            <w:pPr>
              <w:rPr>
                <w:rFonts w:eastAsiaTheme="minorEastAsia" w:cs="Arial"/>
                <w:bCs/>
                <w:sz w:val="20"/>
                <w:szCs w:val="20"/>
                <w:lang w:val="en-GB"/>
              </w:rPr>
            </w:pPr>
            <w:r w:rsidRPr="00C05F58">
              <w:rPr>
                <w:rFonts w:eastAsiaTheme="minorEastAsia" w:cs="Arial"/>
                <w:bCs/>
                <w:sz w:val="20"/>
                <w:szCs w:val="20"/>
                <w:lang w:val="en-GB"/>
              </w:rPr>
              <w:t xml:space="preserve">The analysis of primary efficacy </w:t>
            </w:r>
            <w:r w:rsidR="00DD1FC6">
              <w:rPr>
                <w:rFonts w:eastAsiaTheme="minorEastAsia" w:cs="Arial"/>
                <w:bCs/>
                <w:sz w:val="20"/>
                <w:szCs w:val="20"/>
                <w:lang w:val="en-GB"/>
              </w:rPr>
              <w:t xml:space="preserve">endpoint </w:t>
            </w:r>
            <w:r w:rsidRPr="00C05F58">
              <w:rPr>
                <w:rFonts w:eastAsiaTheme="minorEastAsia" w:cs="Arial"/>
                <w:bCs/>
                <w:sz w:val="20"/>
                <w:szCs w:val="20"/>
                <w:lang w:val="en-GB"/>
              </w:rPr>
              <w:t xml:space="preserve">relied on </w:t>
            </w:r>
            <w:r w:rsidR="00DD1FC6">
              <w:rPr>
                <w:rFonts w:eastAsiaTheme="minorEastAsia" w:cs="Arial"/>
                <w:bCs/>
                <w:sz w:val="20"/>
                <w:szCs w:val="20"/>
                <w:lang w:val="en-GB"/>
              </w:rPr>
              <w:t xml:space="preserve">the </w:t>
            </w:r>
            <w:r w:rsidR="002566EF">
              <w:rPr>
                <w:rFonts w:eastAsiaTheme="minorEastAsia" w:cs="Arial"/>
                <w:bCs/>
                <w:sz w:val="20"/>
                <w:szCs w:val="20"/>
                <w:lang w:val="en-GB"/>
              </w:rPr>
              <w:t xml:space="preserve">decision </w:t>
            </w:r>
            <w:r w:rsidR="00ED0491">
              <w:rPr>
                <w:rFonts w:eastAsiaTheme="minorEastAsia" w:cs="Arial"/>
                <w:bCs/>
                <w:sz w:val="20"/>
                <w:szCs w:val="20"/>
                <w:lang w:val="en-GB"/>
              </w:rPr>
              <w:t>criteria</w:t>
            </w:r>
            <w:r w:rsidR="00DD1FC6">
              <w:rPr>
                <w:rFonts w:eastAsiaTheme="minorEastAsia" w:cs="Arial"/>
                <w:bCs/>
                <w:sz w:val="20"/>
                <w:szCs w:val="20"/>
                <w:lang w:val="en-GB"/>
              </w:rPr>
              <w:t xml:space="preserve"> specified above for the two stage minimax design</w:t>
            </w:r>
            <w:r w:rsidR="002566EF">
              <w:rPr>
                <w:rFonts w:eastAsiaTheme="minorEastAsia" w:cs="Arial"/>
                <w:bCs/>
                <w:sz w:val="20"/>
                <w:szCs w:val="20"/>
                <w:lang w:val="en-GB"/>
              </w:rPr>
              <w:t xml:space="preserve">. </w:t>
            </w:r>
            <w:r w:rsidRPr="00C05F58">
              <w:rPr>
                <w:rFonts w:eastAsiaTheme="minorEastAsia" w:cs="Arial"/>
                <w:bCs/>
                <w:sz w:val="20"/>
                <w:szCs w:val="20"/>
                <w:lang w:val="en-GB"/>
              </w:rPr>
              <w:t>Published tables provide these statistics for specified sample size (e.g., Documenta Geigy).</w:t>
            </w:r>
          </w:p>
          <w:p w14:paraId="7AB0552C" w14:textId="23603D25" w:rsidR="003239AC" w:rsidRPr="00C05F58" w:rsidRDefault="003239AC" w:rsidP="00B67471">
            <w:pPr>
              <w:rPr>
                <w:rFonts w:eastAsiaTheme="minorEastAsia" w:cs="Arial"/>
                <w:bCs/>
                <w:sz w:val="20"/>
                <w:szCs w:val="20"/>
                <w:lang w:val="en-GB"/>
              </w:rPr>
            </w:pPr>
            <w:r w:rsidRPr="00C05F58">
              <w:rPr>
                <w:rFonts w:eastAsiaTheme="minorEastAsia" w:cs="Arial"/>
                <w:bCs/>
                <w:sz w:val="20"/>
                <w:szCs w:val="20"/>
                <w:lang w:val="en-GB"/>
              </w:rPr>
              <w:t xml:space="preserve">The exploratory analysis of secondary variables relied on traditional methods. Time to event endpoints (e.g., duration of response, PFS, OS) were summarized by Kaplan-Meier estimates and presented in life-table format and graphically. If the data allowed, median time to event with a two-sided 95% confidence interval were determined. Continuous variables were summarized descriptively with the following statistics: mean, median, standard </w:t>
            </w:r>
            <w:r w:rsidR="00DF121A">
              <w:rPr>
                <w:rFonts w:eastAsiaTheme="minorEastAsia" w:cs="Arial"/>
                <w:bCs/>
                <w:sz w:val="20"/>
                <w:szCs w:val="20"/>
                <w:lang w:val="en-GB"/>
              </w:rPr>
              <w:t xml:space="preserve">error of the mean (SEM) </w:t>
            </w:r>
            <w:r w:rsidRPr="00C05F58">
              <w:rPr>
                <w:rFonts w:eastAsiaTheme="minorEastAsia" w:cs="Arial"/>
                <w:bCs/>
                <w:sz w:val="20"/>
                <w:szCs w:val="20"/>
                <w:lang w:val="en-GB"/>
              </w:rPr>
              <w:t xml:space="preserve">, minimum and maximum. Additional binomial outcomes </w:t>
            </w:r>
            <w:r w:rsidRPr="00C05F58">
              <w:rPr>
                <w:rFonts w:eastAsiaTheme="minorEastAsia" w:cs="Arial"/>
                <w:bCs/>
                <w:sz w:val="20"/>
                <w:szCs w:val="20"/>
                <w:lang w:val="en-GB"/>
              </w:rPr>
              <w:lastRenderedPageBreak/>
              <w:t xml:space="preserve">(e.g., disease control) employed the </w:t>
            </w:r>
            <w:r w:rsidR="003407FD">
              <w:rPr>
                <w:rFonts w:eastAsiaTheme="minorEastAsia" w:cs="Arial"/>
                <w:bCs/>
                <w:sz w:val="20"/>
                <w:szCs w:val="20"/>
                <w:lang w:val="en-GB"/>
              </w:rPr>
              <w:t>e</w:t>
            </w:r>
            <w:r w:rsidRPr="00C05F58">
              <w:rPr>
                <w:rFonts w:eastAsiaTheme="minorEastAsia" w:cs="Arial"/>
                <w:bCs/>
                <w:sz w:val="20"/>
                <w:szCs w:val="20"/>
                <w:lang w:val="en-GB"/>
              </w:rPr>
              <w:t>xact methods for the binomial distribution</w:t>
            </w:r>
          </w:p>
        </w:tc>
      </w:tr>
      <w:tr w:rsidR="00036CAE" w:rsidRPr="00030E6B" w14:paraId="794CF1ED" w14:textId="77777777">
        <w:tc>
          <w:tcPr>
            <w:tcW w:w="9568" w:type="dxa"/>
            <w:gridSpan w:val="3"/>
            <w:tcBorders>
              <w:bottom w:val="nil"/>
            </w:tcBorders>
          </w:tcPr>
          <w:p w14:paraId="4546F705" w14:textId="77777777" w:rsidR="00036CAE" w:rsidRPr="00C05F58" w:rsidRDefault="00C91616">
            <w:pPr>
              <w:jc w:val="both"/>
              <w:rPr>
                <w:rFonts w:eastAsiaTheme="minorEastAsia" w:cs="Arial"/>
                <w:b/>
                <w:bCs/>
                <w:sz w:val="20"/>
                <w:szCs w:val="20"/>
                <w:highlight w:val="red"/>
                <w:lang w:val="en-GB"/>
              </w:rPr>
            </w:pPr>
            <w:r w:rsidRPr="00C05F58">
              <w:rPr>
                <w:rFonts w:eastAsiaTheme="minorEastAsia" w:cs="Arial"/>
                <w:b/>
                <w:bCs/>
                <w:sz w:val="20"/>
                <w:szCs w:val="20"/>
                <w:lang w:val="en-GB"/>
              </w:rPr>
              <w:lastRenderedPageBreak/>
              <w:t xml:space="preserve">Summary of results: </w:t>
            </w:r>
          </w:p>
          <w:p w14:paraId="4E7F47B1" w14:textId="77777777" w:rsidR="00036CAE" w:rsidRPr="00C05F58" w:rsidRDefault="00036CAE">
            <w:pPr>
              <w:jc w:val="both"/>
              <w:rPr>
                <w:rFonts w:eastAsiaTheme="minorEastAsia" w:cs="Arial"/>
                <w:b/>
                <w:bCs/>
                <w:sz w:val="20"/>
                <w:szCs w:val="20"/>
                <w:lang w:val="en-GB"/>
              </w:rPr>
            </w:pPr>
          </w:p>
          <w:p w14:paraId="03EE3915" w14:textId="77777777" w:rsidR="00036CAE" w:rsidRPr="00C05F58" w:rsidRDefault="00C91616">
            <w:pPr>
              <w:jc w:val="both"/>
              <w:rPr>
                <w:rFonts w:eastAsiaTheme="minorEastAsia" w:cs="Arial"/>
                <w:b/>
                <w:bCs/>
                <w:sz w:val="20"/>
                <w:szCs w:val="20"/>
                <w:lang w:val="en-GB"/>
              </w:rPr>
            </w:pPr>
            <w:r w:rsidRPr="00C05F58">
              <w:rPr>
                <w:rFonts w:eastAsiaTheme="minorEastAsia" w:cs="Arial"/>
                <w:b/>
                <w:bCs/>
                <w:sz w:val="20"/>
                <w:szCs w:val="20"/>
                <w:lang w:val="en-GB"/>
              </w:rPr>
              <w:t>Efficacy:</w:t>
            </w:r>
          </w:p>
          <w:p w14:paraId="4429A9E3" w14:textId="74605F0F" w:rsidR="00A71CCB" w:rsidRPr="00C05F58" w:rsidRDefault="00A71CCB" w:rsidP="004846E3">
            <w:pPr>
              <w:jc w:val="both"/>
              <w:rPr>
                <w:rFonts w:eastAsiaTheme="minorEastAsia" w:cs="Arial"/>
                <w:sz w:val="20"/>
                <w:szCs w:val="20"/>
                <w:lang w:val="en-GB"/>
              </w:rPr>
            </w:pPr>
            <w:r w:rsidRPr="00C05F58">
              <w:rPr>
                <w:rFonts w:eastAsiaTheme="minorEastAsia" w:cs="Arial"/>
                <w:sz w:val="20"/>
                <w:szCs w:val="20"/>
                <w:lang w:val="en-GB"/>
              </w:rPr>
              <w:t xml:space="preserve">Altogether 37 patients of </w:t>
            </w:r>
            <w:r w:rsidR="00F20838" w:rsidRPr="00C05F58">
              <w:rPr>
                <w:rFonts w:eastAsiaTheme="minorEastAsia" w:cs="Arial"/>
                <w:sz w:val="20"/>
                <w:szCs w:val="20"/>
                <w:lang w:val="en-GB"/>
              </w:rPr>
              <w:t xml:space="preserve">the </w:t>
            </w:r>
            <w:r w:rsidRPr="00C05F58">
              <w:rPr>
                <w:rFonts w:eastAsiaTheme="minorEastAsia" w:cs="Arial"/>
                <w:sz w:val="20"/>
                <w:szCs w:val="20"/>
                <w:lang w:val="en-GB"/>
              </w:rPr>
              <w:t>ITT set had CR or PR as best response</w:t>
            </w:r>
            <w:r w:rsidR="00F20838" w:rsidRPr="00C05F58">
              <w:rPr>
                <w:rFonts w:eastAsiaTheme="minorEastAsia" w:cs="Arial"/>
                <w:sz w:val="20"/>
                <w:szCs w:val="20"/>
                <w:lang w:val="en-GB"/>
              </w:rPr>
              <w:t xml:space="preserve">; </w:t>
            </w:r>
            <w:r w:rsidRPr="00C05F58">
              <w:rPr>
                <w:rFonts w:eastAsiaTheme="minorEastAsia" w:cs="Arial"/>
                <w:sz w:val="20"/>
                <w:szCs w:val="20"/>
                <w:lang w:val="en-GB"/>
              </w:rPr>
              <w:t>this amounted to an ORR of 65%.</w:t>
            </w:r>
          </w:p>
          <w:p w14:paraId="5048EBFC" w14:textId="04A2038F" w:rsidR="00D4147B" w:rsidRPr="00C05F58" w:rsidRDefault="00D4147B" w:rsidP="004846E3">
            <w:pPr>
              <w:jc w:val="both"/>
              <w:rPr>
                <w:rFonts w:eastAsiaTheme="minorEastAsia" w:cs="Arial"/>
                <w:sz w:val="20"/>
                <w:szCs w:val="20"/>
                <w:lang w:val="en-GB"/>
              </w:rPr>
            </w:pPr>
            <w:r w:rsidRPr="00C05F58">
              <w:rPr>
                <w:rFonts w:eastAsiaTheme="minorEastAsia" w:cs="Arial"/>
                <w:sz w:val="20"/>
                <w:szCs w:val="20"/>
                <w:lang w:val="en-GB"/>
              </w:rPr>
              <w:t>DCR (CR+PR+SD) was 84.1%.</w:t>
            </w:r>
            <w:r w:rsidR="00DD1FC6">
              <w:rPr>
                <w:rFonts w:eastAsiaTheme="minorEastAsia" w:cs="Arial"/>
                <w:sz w:val="20"/>
                <w:szCs w:val="20"/>
                <w:lang w:val="en-GB"/>
              </w:rPr>
              <w:t xml:space="preserve"> </w:t>
            </w:r>
            <w:r w:rsidR="00DD1FC6" w:rsidRPr="00DD1FC6">
              <w:rPr>
                <w:rFonts w:eastAsiaTheme="minorEastAsia" w:cs="Arial"/>
                <w:sz w:val="20"/>
                <w:szCs w:val="20"/>
                <w:lang w:val="en-GB"/>
              </w:rPr>
              <w:t xml:space="preserve">In the first </w:t>
            </w:r>
            <w:r w:rsidR="00DD1FC6">
              <w:rPr>
                <w:rFonts w:eastAsiaTheme="minorEastAsia" w:cs="Arial"/>
                <w:sz w:val="20"/>
                <w:szCs w:val="20"/>
                <w:lang w:val="en-GB"/>
              </w:rPr>
              <w:t xml:space="preserve">stage </w:t>
            </w:r>
            <w:r w:rsidR="00DD1FC6" w:rsidRPr="00DD1FC6">
              <w:rPr>
                <w:rFonts w:eastAsiaTheme="minorEastAsia" w:cs="Arial"/>
                <w:sz w:val="20"/>
                <w:szCs w:val="20"/>
                <w:lang w:val="en-GB"/>
              </w:rPr>
              <w:t>25</w:t>
            </w:r>
            <w:r w:rsidR="00DD1FC6">
              <w:rPr>
                <w:rFonts w:eastAsiaTheme="minorEastAsia" w:cs="Arial"/>
                <w:sz w:val="20"/>
                <w:szCs w:val="20"/>
                <w:lang w:val="en-GB"/>
              </w:rPr>
              <w:t xml:space="preserve"> responders and in the second stage 35 responders were </w:t>
            </w:r>
            <w:r w:rsidR="00172243">
              <w:rPr>
                <w:rFonts w:eastAsiaTheme="minorEastAsia" w:cs="Arial"/>
                <w:sz w:val="20"/>
                <w:szCs w:val="20"/>
                <w:lang w:val="en-GB"/>
              </w:rPr>
              <w:t>observed</w:t>
            </w:r>
            <w:r w:rsidR="00DD1FC6">
              <w:rPr>
                <w:rFonts w:eastAsiaTheme="minorEastAsia" w:cs="Arial"/>
                <w:sz w:val="20"/>
                <w:szCs w:val="20"/>
                <w:lang w:val="en-GB"/>
              </w:rPr>
              <w:t xml:space="preserve">, which was </w:t>
            </w:r>
            <w:r w:rsidR="00172243">
              <w:rPr>
                <w:rFonts w:eastAsiaTheme="minorEastAsia" w:cs="Arial"/>
                <w:sz w:val="20"/>
                <w:szCs w:val="20"/>
                <w:lang w:val="en-GB"/>
              </w:rPr>
              <w:t xml:space="preserve">more </w:t>
            </w:r>
            <w:r w:rsidR="00DD1FC6">
              <w:rPr>
                <w:rFonts w:eastAsiaTheme="minorEastAsia" w:cs="Arial"/>
                <w:sz w:val="20"/>
                <w:szCs w:val="20"/>
                <w:lang w:val="en-GB"/>
              </w:rPr>
              <w:t xml:space="preserve">than the necessary number (≥13 </w:t>
            </w:r>
            <w:r w:rsidR="00172243">
              <w:rPr>
                <w:rFonts w:eastAsiaTheme="minorEastAsia" w:cs="Arial"/>
                <w:sz w:val="20"/>
                <w:szCs w:val="20"/>
                <w:lang w:val="en-GB"/>
              </w:rPr>
              <w:t xml:space="preserve">responders </w:t>
            </w:r>
            <w:r w:rsidR="00DD1FC6">
              <w:rPr>
                <w:rFonts w:eastAsiaTheme="minorEastAsia" w:cs="Arial"/>
                <w:sz w:val="20"/>
                <w:szCs w:val="20"/>
                <w:lang w:val="en-GB"/>
              </w:rPr>
              <w:t>in the first stage and ≥2</w:t>
            </w:r>
            <w:r w:rsidR="00172243">
              <w:rPr>
                <w:rFonts w:eastAsiaTheme="minorEastAsia" w:cs="Arial"/>
                <w:sz w:val="20"/>
                <w:szCs w:val="20"/>
                <w:lang w:val="en-GB"/>
              </w:rPr>
              <w:t>5</w:t>
            </w:r>
            <w:r w:rsidR="00DD1FC6">
              <w:rPr>
                <w:rFonts w:eastAsiaTheme="minorEastAsia" w:cs="Arial"/>
                <w:sz w:val="20"/>
                <w:szCs w:val="20"/>
                <w:lang w:val="en-GB"/>
              </w:rPr>
              <w:t xml:space="preserve"> </w:t>
            </w:r>
            <w:r w:rsidR="00172243">
              <w:rPr>
                <w:rFonts w:eastAsiaTheme="minorEastAsia" w:cs="Arial"/>
                <w:sz w:val="20"/>
                <w:szCs w:val="20"/>
                <w:lang w:val="en-GB"/>
              </w:rPr>
              <w:t xml:space="preserve">responders </w:t>
            </w:r>
            <w:r w:rsidR="00DD1FC6">
              <w:rPr>
                <w:rFonts w:eastAsiaTheme="minorEastAsia" w:cs="Arial"/>
                <w:sz w:val="20"/>
                <w:szCs w:val="20"/>
                <w:lang w:val="en-GB"/>
              </w:rPr>
              <w:t>after completion of the second stage)</w:t>
            </w:r>
            <w:r w:rsidR="00172243">
              <w:rPr>
                <w:rFonts w:eastAsiaTheme="minorEastAsia" w:cs="Arial"/>
                <w:sz w:val="20"/>
                <w:szCs w:val="20"/>
                <w:lang w:val="en-GB"/>
              </w:rPr>
              <w:t xml:space="preserve"> to reject the null hypothesis </w:t>
            </w:r>
            <w:r w:rsidR="00172243" w:rsidRPr="00172243">
              <w:rPr>
                <w:rFonts w:eastAsiaTheme="minorEastAsia" w:cs="Arial"/>
                <w:sz w:val="20"/>
                <w:szCs w:val="20"/>
                <w:lang w:val="en-GB"/>
              </w:rPr>
              <w:t>H0: p ≤ 0.35</w:t>
            </w:r>
            <w:r w:rsidR="00172243">
              <w:rPr>
                <w:rFonts w:eastAsiaTheme="minorEastAsia" w:cs="Arial"/>
                <w:sz w:val="20"/>
                <w:szCs w:val="20"/>
                <w:lang w:val="en-GB"/>
              </w:rPr>
              <w:t xml:space="preserve">. </w:t>
            </w:r>
          </w:p>
          <w:p w14:paraId="1891FF76" w14:textId="33F3E48C" w:rsidR="00D4147B" w:rsidRPr="00C05F58" w:rsidRDefault="00D4147B" w:rsidP="004846E3">
            <w:pPr>
              <w:jc w:val="both"/>
              <w:rPr>
                <w:rFonts w:eastAsiaTheme="minorEastAsia" w:cs="Arial"/>
                <w:sz w:val="20"/>
                <w:szCs w:val="20"/>
                <w:lang w:val="en-GB"/>
              </w:rPr>
            </w:pPr>
            <w:r w:rsidRPr="00C05F58">
              <w:rPr>
                <w:rFonts w:eastAsiaTheme="minorEastAsia" w:cs="Arial"/>
                <w:sz w:val="20"/>
                <w:szCs w:val="20"/>
                <w:lang w:val="en-GB"/>
              </w:rPr>
              <w:t>Median duration of response from date of first assessment of CR or PR was 10.3 months.</w:t>
            </w:r>
          </w:p>
          <w:p w14:paraId="34020E56" w14:textId="4DF71A3E" w:rsidR="00D4147B" w:rsidRPr="00C05F58" w:rsidRDefault="003939C6" w:rsidP="004846E3">
            <w:pPr>
              <w:jc w:val="both"/>
              <w:rPr>
                <w:rFonts w:eastAsiaTheme="minorEastAsia" w:cs="Arial"/>
                <w:sz w:val="20"/>
                <w:szCs w:val="20"/>
                <w:lang w:val="en-GB"/>
              </w:rPr>
            </w:pPr>
            <w:r w:rsidRPr="00C05F58">
              <w:rPr>
                <w:rFonts w:eastAsiaTheme="minorEastAsia" w:cs="Arial"/>
                <w:sz w:val="20"/>
                <w:szCs w:val="20"/>
                <w:lang w:val="en-GB"/>
              </w:rPr>
              <w:t xml:space="preserve">In total, </w:t>
            </w:r>
            <w:r w:rsidR="00041D16">
              <w:rPr>
                <w:rFonts w:eastAsiaTheme="minorEastAsia" w:cs="Arial"/>
                <w:sz w:val="20"/>
                <w:szCs w:val="20"/>
                <w:lang w:val="en-GB"/>
              </w:rPr>
              <w:t>29.8</w:t>
            </w:r>
            <w:r w:rsidR="00D4147B" w:rsidRPr="00C05F58">
              <w:rPr>
                <w:rFonts w:eastAsiaTheme="minorEastAsia" w:cs="Arial"/>
                <w:sz w:val="20"/>
                <w:szCs w:val="20"/>
                <w:lang w:val="en-GB"/>
              </w:rPr>
              <w:t>%</w:t>
            </w:r>
            <w:r w:rsidR="00F20838" w:rsidRPr="00C05F58">
              <w:rPr>
                <w:rFonts w:eastAsiaTheme="minorEastAsia" w:cs="Arial"/>
                <w:sz w:val="20"/>
                <w:szCs w:val="20"/>
                <w:lang w:val="en-GB"/>
              </w:rPr>
              <w:t xml:space="preserve"> of patients</w:t>
            </w:r>
            <w:r w:rsidR="00D4147B" w:rsidRPr="00C05F58">
              <w:rPr>
                <w:rFonts w:eastAsiaTheme="minorEastAsia" w:cs="Arial"/>
                <w:sz w:val="20"/>
                <w:szCs w:val="20"/>
                <w:lang w:val="en-GB"/>
              </w:rPr>
              <w:t>, were able to undergo complete metastasectomy after study treatment</w:t>
            </w:r>
            <w:r w:rsidR="004C1755">
              <w:rPr>
                <w:rFonts w:eastAsiaTheme="minorEastAsia" w:cs="Arial"/>
                <w:sz w:val="20"/>
                <w:szCs w:val="20"/>
                <w:lang w:val="en-GB"/>
              </w:rPr>
              <w:t>; 1</w:t>
            </w:r>
            <w:r w:rsidR="00041D16">
              <w:rPr>
                <w:rFonts w:eastAsiaTheme="minorEastAsia" w:cs="Arial"/>
                <w:sz w:val="20"/>
                <w:szCs w:val="20"/>
                <w:lang w:val="en-GB"/>
              </w:rPr>
              <w:t>4</w:t>
            </w:r>
            <w:r w:rsidR="004C1755">
              <w:rPr>
                <w:rFonts w:eastAsiaTheme="minorEastAsia" w:cs="Arial"/>
                <w:sz w:val="20"/>
                <w:szCs w:val="20"/>
                <w:lang w:val="en-GB"/>
              </w:rPr>
              <w:t>.</w:t>
            </w:r>
            <w:r w:rsidR="00041D16">
              <w:rPr>
                <w:rFonts w:eastAsiaTheme="minorEastAsia" w:cs="Arial"/>
                <w:sz w:val="20"/>
                <w:szCs w:val="20"/>
                <w:lang w:val="en-GB"/>
              </w:rPr>
              <w:t>0</w:t>
            </w:r>
            <w:r w:rsidR="004C1755">
              <w:rPr>
                <w:rFonts w:eastAsiaTheme="minorEastAsia" w:cs="Arial"/>
                <w:sz w:val="20"/>
                <w:szCs w:val="20"/>
                <w:lang w:val="en-GB"/>
              </w:rPr>
              <w:t>% with R0 resection</w:t>
            </w:r>
            <w:r w:rsidR="00041D16">
              <w:rPr>
                <w:rFonts w:eastAsiaTheme="minorEastAsia" w:cs="Arial"/>
                <w:sz w:val="20"/>
                <w:szCs w:val="20"/>
                <w:lang w:val="en-GB"/>
              </w:rPr>
              <w:t>; 8.8% with R1 resection, 1.8% with R2 resection and 5.3</w:t>
            </w:r>
            <w:r w:rsidR="00DA0232">
              <w:rPr>
                <w:rFonts w:eastAsiaTheme="minorEastAsia" w:cs="Arial"/>
                <w:sz w:val="20"/>
                <w:szCs w:val="20"/>
                <w:lang w:val="en-GB"/>
              </w:rPr>
              <w:t>%</w:t>
            </w:r>
            <w:r w:rsidR="00041D16">
              <w:rPr>
                <w:rFonts w:eastAsiaTheme="minorEastAsia" w:cs="Arial"/>
                <w:sz w:val="20"/>
                <w:szCs w:val="20"/>
                <w:lang w:val="en-GB"/>
              </w:rPr>
              <w:t xml:space="preserve"> with Rx resection.</w:t>
            </w:r>
          </w:p>
          <w:p w14:paraId="4DECC31F" w14:textId="519EDA57" w:rsidR="00D4147B" w:rsidRPr="00C05F58" w:rsidRDefault="00D4147B" w:rsidP="00F20838">
            <w:pPr>
              <w:jc w:val="both"/>
              <w:rPr>
                <w:rFonts w:eastAsiaTheme="minorEastAsia" w:cs="Arial"/>
                <w:sz w:val="20"/>
                <w:szCs w:val="20"/>
                <w:lang w:val="en-GB"/>
              </w:rPr>
            </w:pPr>
            <w:r w:rsidRPr="00C05F58">
              <w:rPr>
                <w:rFonts w:eastAsiaTheme="minorEastAsia" w:cs="Arial"/>
                <w:sz w:val="20"/>
                <w:szCs w:val="20"/>
                <w:lang w:val="en-GB"/>
              </w:rPr>
              <w:t>Median PFS was 10.1 months</w:t>
            </w:r>
            <w:r w:rsidR="00F20838" w:rsidRPr="00C05F58">
              <w:rPr>
                <w:rFonts w:eastAsiaTheme="minorEastAsia" w:cs="Arial"/>
                <w:sz w:val="20"/>
                <w:szCs w:val="20"/>
                <w:lang w:val="en-GB"/>
              </w:rPr>
              <w:t>.</w:t>
            </w:r>
            <w:r w:rsidRPr="00C05F58">
              <w:rPr>
                <w:rFonts w:eastAsiaTheme="minorEastAsia" w:cs="Arial"/>
                <w:sz w:val="20"/>
                <w:szCs w:val="20"/>
                <w:lang w:val="en-GB"/>
              </w:rPr>
              <w:t xml:space="preserve"> </w:t>
            </w:r>
          </w:p>
          <w:p w14:paraId="340597A0" w14:textId="21CF6583" w:rsidR="00D4147B" w:rsidRPr="00C05F58" w:rsidRDefault="00D4147B" w:rsidP="004846E3">
            <w:pPr>
              <w:jc w:val="both"/>
              <w:rPr>
                <w:rFonts w:eastAsiaTheme="minorEastAsia" w:cs="Arial"/>
                <w:sz w:val="20"/>
                <w:szCs w:val="20"/>
                <w:lang w:val="en-GB"/>
              </w:rPr>
            </w:pPr>
            <w:r w:rsidRPr="00C05F58">
              <w:rPr>
                <w:rFonts w:eastAsiaTheme="minorEastAsia" w:cs="Arial"/>
                <w:sz w:val="20"/>
                <w:szCs w:val="20"/>
                <w:lang w:val="en-GB"/>
              </w:rPr>
              <w:t>Median OS amounted to 28.7 months.</w:t>
            </w:r>
          </w:p>
          <w:p w14:paraId="4F513317" w14:textId="77777777" w:rsidR="00A71CCB" w:rsidRPr="00C05F58" w:rsidRDefault="00A71CCB" w:rsidP="004846E3">
            <w:pPr>
              <w:jc w:val="both"/>
              <w:rPr>
                <w:rFonts w:eastAsiaTheme="minorEastAsia" w:cs="Arial"/>
                <w:sz w:val="20"/>
                <w:szCs w:val="20"/>
                <w:lang w:val="en-GB"/>
              </w:rPr>
            </w:pPr>
          </w:p>
          <w:p w14:paraId="44B2EFCE" w14:textId="77777777" w:rsidR="00036CAE" w:rsidRPr="00C05F58" w:rsidRDefault="00C91616">
            <w:pPr>
              <w:jc w:val="both"/>
              <w:rPr>
                <w:rFonts w:eastAsiaTheme="minorEastAsia" w:cs="Arial"/>
                <w:b/>
                <w:bCs/>
                <w:sz w:val="20"/>
                <w:szCs w:val="20"/>
                <w:lang w:val="en-GB"/>
              </w:rPr>
            </w:pPr>
            <w:r w:rsidRPr="00C05F58">
              <w:rPr>
                <w:rFonts w:eastAsiaTheme="minorEastAsia" w:cs="Arial"/>
                <w:b/>
                <w:bCs/>
                <w:sz w:val="20"/>
                <w:szCs w:val="20"/>
                <w:lang w:val="en-GB"/>
              </w:rPr>
              <w:t xml:space="preserve">Tolerability: </w:t>
            </w:r>
          </w:p>
          <w:p w14:paraId="04133266" w14:textId="7C298E4E" w:rsidR="007B5FFF" w:rsidRPr="00996196" w:rsidRDefault="007B5FFF" w:rsidP="004846E3">
            <w:pPr>
              <w:jc w:val="both"/>
              <w:rPr>
                <w:rFonts w:eastAsiaTheme="minorEastAsia" w:cs="Arial"/>
                <w:bCs/>
                <w:sz w:val="20"/>
                <w:szCs w:val="20"/>
                <w:lang w:val="en-GB"/>
              </w:rPr>
            </w:pPr>
            <w:r w:rsidRPr="00996196">
              <w:rPr>
                <w:rFonts w:eastAsiaTheme="minorEastAsia" w:cs="Arial"/>
                <w:bCs/>
                <w:sz w:val="20"/>
                <w:szCs w:val="20"/>
                <w:lang w:val="en-GB"/>
              </w:rPr>
              <w:t>In total 629 AEs were reported in 57 patients; of these</w:t>
            </w:r>
            <w:r w:rsidR="00C37A9F" w:rsidRPr="00996196">
              <w:rPr>
                <w:rFonts w:eastAsiaTheme="minorEastAsia" w:cs="Arial"/>
                <w:bCs/>
                <w:sz w:val="20"/>
                <w:szCs w:val="20"/>
                <w:lang w:val="en-GB"/>
              </w:rPr>
              <w:t>,</w:t>
            </w:r>
            <w:r w:rsidRPr="00996196">
              <w:rPr>
                <w:rFonts w:eastAsiaTheme="minorEastAsia" w:cs="Arial"/>
                <w:bCs/>
                <w:sz w:val="20"/>
                <w:szCs w:val="20"/>
                <w:lang w:val="en-GB"/>
              </w:rPr>
              <w:t xml:space="preserve"> 526 AEs were related to study medication. 548 AEs were of grade 1-2. </w:t>
            </w:r>
            <w:r w:rsidR="00C639C0" w:rsidRPr="00996196">
              <w:rPr>
                <w:rFonts w:eastAsiaTheme="minorEastAsia" w:cs="Arial"/>
                <w:bCs/>
                <w:sz w:val="20"/>
                <w:szCs w:val="20"/>
                <w:lang w:val="en-GB"/>
              </w:rPr>
              <w:t xml:space="preserve">In 1 patient, </w:t>
            </w:r>
            <w:r w:rsidR="00C639C0" w:rsidRPr="006942BC">
              <w:rPr>
                <w:sz w:val="20"/>
                <w:szCs w:val="20"/>
                <w:lang w:val="en-GB"/>
              </w:rPr>
              <w:t>grade 5 acute renal failure due to catheter infection was reported (PT: acute kidney injury</w:t>
            </w:r>
            <w:r w:rsidR="00A04B82" w:rsidRPr="006942BC">
              <w:rPr>
                <w:sz w:val="20"/>
                <w:szCs w:val="20"/>
                <w:lang w:val="en-GB"/>
              </w:rPr>
              <w:t>)</w:t>
            </w:r>
            <w:r w:rsidRPr="00996196">
              <w:rPr>
                <w:rFonts w:eastAsiaTheme="minorEastAsia" w:cs="Arial"/>
                <w:bCs/>
                <w:sz w:val="20"/>
                <w:szCs w:val="20"/>
                <w:lang w:val="en-GB"/>
              </w:rPr>
              <w:t>. Outcome of AEs was mainly ‘recovered’</w:t>
            </w:r>
            <w:r w:rsidR="00786A3A">
              <w:rPr>
                <w:rFonts w:eastAsiaTheme="minorEastAsia" w:cs="Arial"/>
                <w:bCs/>
                <w:sz w:val="20"/>
                <w:szCs w:val="20"/>
                <w:lang w:val="en-GB"/>
              </w:rPr>
              <w:t>.</w:t>
            </w:r>
            <w:r w:rsidR="00996196" w:rsidRPr="00996196">
              <w:rPr>
                <w:rFonts w:eastAsiaTheme="minorEastAsia" w:cs="Arial"/>
                <w:bCs/>
                <w:sz w:val="20"/>
                <w:szCs w:val="20"/>
                <w:lang w:val="en-GB"/>
              </w:rPr>
              <w:t xml:space="preserve"> </w:t>
            </w:r>
            <w:r w:rsidR="00996196" w:rsidRPr="006942BC">
              <w:rPr>
                <w:rFonts w:eastAsia="TimesNewRoman" w:cs="Arial"/>
                <w:iCs/>
                <w:sz w:val="20"/>
                <w:szCs w:val="20"/>
                <w:lang w:val="en-GB"/>
              </w:rPr>
              <w:t xml:space="preserve">Six patients discontinued therapy due to toxicities, two of them due to hematological toxicities and four due to non-hematological  toxicities. Both haematological toxicities were related to chemotherapy but not to cetuxiab treatment. Two of the non-hematological toxicities, which lead to discontinuation of the therapy were classified as severe adverse events (SAEs) (one acute renal failure due to catheter infection and one mechanical ileus)- Both non-hematological SAEs were not related to therapy.  </w:t>
            </w:r>
            <w:r w:rsidRPr="00996196">
              <w:rPr>
                <w:rFonts w:eastAsiaTheme="minorEastAsia" w:cs="Arial"/>
                <w:bCs/>
                <w:sz w:val="20"/>
                <w:szCs w:val="20"/>
                <w:lang w:val="en-GB"/>
              </w:rPr>
              <w:t xml:space="preserve">Most of AEs belonged to System Organ Class (SOC) ‘skin and subcutaneous tissue disorders’ and </w:t>
            </w:r>
            <w:r w:rsidR="001925DA" w:rsidRPr="00996196">
              <w:rPr>
                <w:rFonts w:eastAsiaTheme="minorEastAsia" w:cs="Arial"/>
                <w:bCs/>
                <w:sz w:val="20"/>
                <w:szCs w:val="20"/>
                <w:lang w:val="en-GB"/>
              </w:rPr>
              <w:t>’</w:t>
            </w:r>
            <w:r w:rsidRPr="00996196">
              <w:rPr>
                <w:rFonts w:eastAsiaTheme="minorEastAsia" w:cs="Arial"/>
                <w:bCs/>
                <w:sz w:val="20"/>
                <w:szCs w:val="20"/>
                <w:lang w:val="en-GB"/>
              </w:rPr>
              <w:t xml:space="preserve">gastrointestinal disorders’. Most </w:t>
            </w:r>
            <w:r w:rsidR="0099452C" w:rsidRPr="00996196">
              <w:rPr>
                <w:rFonts w:eastAsiaTheme="minorEastAsia" w:cs="Arial"/>
                <w:bCs/>
                <w:sz w:val="20"/>
                <w:szCs w:val="20"/>
                <w:lang w:val="en-GB"/>
              </w:rPr>
              <w:t xml:space="preserve">frequently </w:t>
            </w:r>
            <w:r w:rsidRPr="00996196">
              <w:rPr>
                <w:rFonts w:eastAsiaTheme="minorEastAsia" w:cs="Arial"/>
                <w:bCs/>
                <w:sz w:val="20"/>
                <w:szCs w:val="20"/>
                <w:lang w:val="en-GB"/>
              </w:rPr>
              <w:t xml:space="preserve">documented AEs of special interest were ‘dermatitis acneiform’ (53 </w:t>
            </w:r>
            <w:r w:rsidR="001B442D" w:rsidRPr="00996196">
              <w:rPr>
                <w:rFonts w:eastAsiaTheme="minorEastAsia" w:cs="Arial"/>
                <w:bCs/>
                <w:sz w:val="20"/>
                <w:szCs w:val="20"/>
                <w:lang w:val="en-GB"/>
              </w:rPr>
              <w:t>events</w:t>
            </w:r>
            <w:r w:rsidRPr="00996196">
              <w:rPr>
                <w:rFonts w:eastAsiaTheme="minorEastAsia" w:cs="Arial"/>
                <w:bCs/>
                <w:sz w:val="20"/>
                <w:szCs w:val="20"/>
                <w:lang w:val="en-GB"/>
              </w:rPr>
              <w:t>), ‘nausea/</w:t>
            </w:r>
            <w:r w:rsidR="00C05F58" w:rsidRPr="00996196">
              <w:rPr>
                <w:rFonts w:eastAsiaTheme="minorEastAsia" w:cs="Arial"/>
                <w:bCs/>
                <w:sz w:val="20"/>
                <w:szCs w:val="20"/>
                <w:lang w:val="en-GB"/>
              </w:rPr>
              <w:t xml:space="preserve">malaise’ </w:t>
            </w:r>
            <w:r w:rsidRPr="00996196">
              <w:rPr>
                <w:rFonts w:eastAsiaTheme="minorEastAsia" w:cs="Arial"/>
                <w:bCs/>
                <w:sz w:val="20"/>
                <w:szCs w:val="20"/>
                <w:lang w:val="en-GB"/>
              </w:rPr>
              <w:t xml:space="preserve">(56 </w:t>
            </w:r>
            <w:r w:rsidR="001B442D" w:rsidRPr="00996196">
              <w:rPr>
                <w:rFonts w:eastAsiaTheme="minorEastAsia" w:cs="Arial"/>
                <w:bCs/>
                <w:sz w:val="20"/>
                <w:szCs w:val="20"/>
                <w:lang w:val="en-GB"/>
              </w:rPr>
              <w:t>events</w:t>
            </w:r>
            <w:r w:rsidRPr="00996196">
              <w:rPr>
                <w:rFonts w:eastAsiaTheme="minorEastAsia" w:cs="Arial"/>
                <w:bCs/>
                <w:sz w:val="20"/>
                <w:szCs w:val="20"/>
                <w:lang w:val="en-GB"/>
              </w:rPr>
              <w:t xml:space="preserve">) and ‘peripheral sensory neuropathy/nervous system disorder’ (51 </w:t>
            </w:r>
            <w:r w:rsidR="001B442D" w:rsidRPr="00996196">
              <w:rPr>
                <w:rFonts w:eastAsiaTheme="minorEastAsia" w:cs="Arial"/>
                <w:bCs/>
                <w:sz w:val="20"/>
                <w:szCs w:val="20"/>
                <w:lang w:val="en-GB"/>
              </w:rPr>
              <w:t>events</w:t>
            </w:r>
            <w:r w:rsidRPr="00996196">
              <w:rPr>
                <w:rFonts w:eastAsiaTheme="minorEastAsia" w:cs="Arial"/>
                <w:bCs/>
                <w:sz w:val="20"/>
                <w:szCs w:val="20"/>
                <w:lang w:val="en-GB"/>
              </w:rPr>
              <w:t>).</w:t>
            </w:r>
          </w:p>
          <w:p w14:paraId="6F812CBF" w14:textId="1E5E12DE" w:rsidR="007B5FFF" w:rsidRPr="00C05F58" w:rsidRDefault="007B5FFF" w:rsidP="004846E3">
            <w:pPr>
              <w:jc w:val="both"/>
              <w:rPr>
                <w:rFonts w:eastAsiaTheme="minorEastAsia" w:cs="Arial"/>
                <w:bCs/>
                <w:sz w:val="20"/>
                <w:szCs w:val="20"/>
                <w:lang w:val="en-GB"/>
              </w:rPr>
            </w:pPr>
            <w:r w:rsidRPr="00996196">
              <w:rPr>
                <w:rFonts w:eastAsiaTheme="minorEastAsia" w:cs="Arial"/>
                <w:bCs/>
                <w:sz w:val="20"/>
                <w:szCs w:val="20"/>
                <w:lang w:val="en-GB"/>
              </w:rPr>
              <w:t xml:space="preserve">The great majority of </w:t>
            </w:r>
            <w:r w:rsidR="001925DA" w:rsidRPr="00996196">
              <w:rPr>
                <w:rFonts w:eastAsiaTheme="minorEastAsia" w:cs="Arial"/>
                <w:bCs/>
                <w:sz w:val="20"/>
                <w:szCs w:val="20"/>
                <w:lang w:val="en-GB"/>
              </w:rPr>
              <w:t>Treatment Related</w:t>
            </w:r>
            <w:r w:rsidR="001925DA" w:rsidRPr="00C05F58">
              <w:rPr>
                <w:rFonts w:eastAsiaTheme="minorEastAsia" w:cs="Arial"/>
                <w:bCs/>
                <w:sz w:val="20"/>
                <w:szCs w:val="20"/>
                <w:lang w:val="en-GB"/>
              </w:rPr>
              <w:t xml:space="preserve"> AEs (</w:t>
            </w:r>
            <w:r w:rsidRPr="00C05F58">
              <w:rPr>
                <w:rFonts w:eastAsiaTheme="minorEastAsia" w:cs="Arial"/>
                <w:bCs/>
                <w:sz w:val="20"/>
                <w:szCs w:val="20"/>
                <w:lang w:val="en-GB"/>
              </w:rPr>
              <w:t>TRAEs</w:t>
            </w:r>
            <w:r w:rsidR="001925DA" w:rsidRPr="00C05F58">
              <w:rPr>
                <w:rFonts w:eastAsiaTheme="minorEastAsia" w:cs="Arial"/>
                <w:bCs/>
                <w:sz w:val="20"/>
                <w:szCs w:val="20"/>
                <w:lang w:val="en-GB"/>
              </w:rPr>
              <w:t>)</w:t>
            </w:r>
            <w:r w:rsidRPr="00C05F58">
              <w:rPr>
                <w:rFonts w:eastAsiaTheme="minorEastAsia" w:cs="Arial"/>
                <w:bCs/>
                <w:sz w:val="20"/>
                <w:szCs w:val="20"/>
                <w:lang w:val="en-GB"/>
              </w:rPr>
              <w:t xml:space="preserve"> of grade 3-5 were hematological AEs (white blood cell count decreased, granulocytes count decreased) followed by non-hematological AEs affecting the skin. </w:t>
            </w:r>
          </w:p>
          <w:p w14:paraId="499E9658" w14:textId="77777777" w:rsidR="007B5FFF" w:rsidRPr="00C05F58" w:rsidRDefault="007B5FFF" w:rsidP="004846E3">
            <w:pPr>
              <w:jc w:val="both"/>
              <w:rPr>
                <w:rFonts w:eastAsiaTheme="minorEastAsia" w:cs="Arial"/>
                <w:bCs/>
                <w:sz w:val="20"/>
                <w:szCs w:val="20"/>
                <w:lang w:val="en-GB"/>
              </w:rPr>
            </w:pPr>
          </w:p>
          <w:p w14:paraId="00711C34" w14:textId="0A2CFC55" w:rsidR="006D548A" w:rsidRPr="006942BC" w:rsidRDefault="00916AC3" w:rsidP="006D548A">
            <w:pPr>
              <w:jc w:val="both"/>
              <w:rPr>
                <w:rFonts w:cs="Arial"/>
                <w:iCs/>
                <w:sz w:val="20"/>
                <w:szCs w:val="20"/>
                <w:lang w:val="en-GB"/>
              </w:rPr>
            </w:pPr>
            <w:r>
              <w:rPr>
                <w:rFonts w:eastAsiaTheme="minorEastAsia" w:cs="Arial"/>
                <w:bCs/>
                <w:sz w:val="20"/>
                <w:szCs w:val="20"/>
                <w:lang w:val="en-GB"/>
              </w:rPr>
              <w:t xml:space="preserve">Twenty-nine </w:t>
            </w:r>
            <w:r w:rsidR="007B5FFF" w:rsidRPr="00C05F58">
              <w:rPr>
                <w:rFonts w:eastAsiaTheme="minorEastAsia" w:cs="Arial"/>
                <w:bCs/>
                <w:sz w:val="20"/>
                <w:szCs w:val="20"/>
                <w:lang w:val="en-GB"/>
              </w:rPr>
              <w:t>AEs were assessed as serious by the investigator, of which 1</w:t>
            </w:r>
            <w:r>
              <w:rPr>
                <w:rFonts w:eastAsiaTheme="minorEastAsia" w:cs="Arial"/>
                <w:bCs/>
                <w:sz w:val="20"/>
                <w:szCs w:val="20"/>
                <w:lang w:val="en-GB"/>
              </w:rPr>
              <w:t>3</w:t>
            </w:r>
            <w:r w:rsidR="007B5FFF" w:rsidRPr="00C05F58">
              <w:rPr>
                <w:rFonts w:eastAsiaTheme="minorEastAsia" w:cs="Arial"/>
                <w:bCs/>
                <w:sz w:val="20"/>
                <w:szCs w:val="20"/>
                <w:lang w:val="en-GB"/>
              </w:rPr>
              <w:t xml:space="preserve"> were related to study medication. </w:t>
            </w:r>
            <w:r w:rsidR="00FD2C19">
              <w:rPr>
                <w:rFonts w:eastAsiaTheme="minorEastAsia" w:cs="Arial"/>
                <w:bCs/>
                <w:sz w:val="20"/>
                <w:szCs w:val="20"/>
                <w:lang w:val="en-GB"/>
              </w:rPr>
              <w:t>Six</w:t>
            </w:r>
            <w:r w:rsidR="00FD2C19" w:rsidRPr="00C05F58">
              <w:rPr>
                <w:rFonts w:eastAsiaTheme="minorEastAsia" w:cs="Arial"/>
                <w:bCs/>
                <w:sz w:val="20"/>
                <w:szCs w:val="20"/>
                <w:lang w:val="en-GB"/>
              </w:rPr>
              <w:t xml:space="preserve"> </w:t>
            </w:r>
            <w:r w:rsidR="007B5FFF" w:rsidRPr="00C05F58">
              <w:rPr>
                <w:rFonts w:eastAsiaTheme="minorEastAsia" w:cs="Arial"/>
                <w:bCs/>
                <w:sz w:val="20"/>
                <w:szCs w:val="20"/>
                <w:lang w:val="en-GB"/>
              </w:rPr>
              <w:t xml:space="preserve">and </w:t>
            </w:r>
            <w:r w:rsidR="00FD2C19">
              <w:rPr>
                <w:rFonts w:eastAsiaTheme="minorEastAsia" w:cs="Arial"/>
                <w:bCs/>
                <w:sz w:val="20"/>
                <w:szCs w:val="20"/>
                <w:lang w:val="en-GB"/>
              </w:rPr>
              <w:t>seven</w:t>
            </w:r>
            <w:r w:rsidR="00FD2C19" w:rsidRPr="00C05F58">
              <w:rPr>
                <w:rFonts w:eastAsiaTheme="minorEastAsia" w:cs="Arial"/>
                <w:bCs/>
                <w:sz w:val="20"/>
                <w:szCs w:val="20"/>
                <w:lang w:val="en-GB"/>
              </w:rPr>
              <w:t xml:space="preserve"> </w:t>
            </w:r>
            <w:r w:rsidR="007B5FFF" w:rsidRPr="00C05F58">
              <w:rPr>
                <w:rFonts w:eastAsiaTheme="minorEastAsia" w:cs="Arial"/>
                <w:bCs/>
                <w:sz w:val="20"/>
                <w:szCs w:val="20"/>
                <w:lang w:val="en-GB"/>
              </w:rPr>
              <w:t xml:space="preserve">SAEs belonged to SOC ‘General disorders and administration site conditions’ and ‘Gastrointestinal disorders’, respectively. Nearly all SAEs </w:t>
            </w:r>
            <w:r w:rsidR="007B5FFF" w:rsidRPr="00FD2C19">
              <w:rPr>
                <w:rFonts w:eastAsiaTheme="minorEastAsia" w:cs="Arial"/>
                <w:bCs/>
                <w:sz w:val="20"/>
                <w:szCs w:val="20"/>
                <w:lang w:val="en-GB"/>
              </w:rPr>
              <w:t>recovered</w:t>
            </w:r>
            <w:r w:rsidR="00A22E26" w:rsidRPr="00FD2C19">
              <w:rPr>
                <w:rFonts w:eastAsiaTheme="minorEastAsia" w:cs="Arial"/>
                <w:bCs/>
                <w:sz w:val="20"/>
                <w:szCs w:val="20"/>
                <w:lang w:val="en-GB"/>
              </w:rPr>
              <w:t>.</w:t>
            </w:r>
            <w:r w:rsidR="007B5FFF" w:rsidRPr="00FD2C19">
              <w:rPr>
                <w:rFonts w:eastAsiaTheme="minorEastAsia" w:cs="Arial"/>
                <w:bCs/>
                <w:sz w:val="20"/>
                <w:szCs w:val="20"/>
                <w:lang w:val="en-GB"/>
              </w:rPr>
              <w:t xml:space="preserve"> </w:t>
            </w:r>
            <w:r w:rsidR="006D548A" w:rsidRPr="006942BC">
              <w:rPr>
                <w:rFonts w:cs="Arial"/>
                <w:iCs/>
                <w:sz w:val="20"/>
                <w:szCs w:val="20"/>
                <w:lang w:val="en-GB"/>
              </w:rPr>
              <w:t>Acute renal failure due to catheter infection (PTs: acute kidney injury) with fatal o</w:t>
            </w:r>
            <w:r w:rsidR="00876658" w:rsidRPr="006942BC">
              <w:rPr>
                <w:rFonts w:cs="Arial"/>
                <w:iCs/>
                <w:sz w:val="20"/>
                <w:szCs w:val="20"/>
                <w:lang w:val="en-GB"/>
              </w:rPr>
              <w:t>u</w:t>
            </w:r>
            <w:r w:rsidR="006D548A" w:rsidRPr="006942BC">
              <w:rPr>
                <w:rFonts w:cs="Arial"/>
                <w:iCs/>
                <w:sz w:val="20"/>
                <w:szCs w:val="20"/>
                <w:lang w:val="en-GB"/>
              </w:rPr>
              <w:t>tcome was not-related to study medication.</w:t>
            </w:r>
          </w:p>
          <w:p w14:paraId="0E53B7EF" w14:textId="77777777" w:rsidR="006D548A" w:rsidRPr="00C05F58" w:rsidRDefault="006D548A" w:rsidP="006D548A">
            <w:pPr>
              <w:jc w:val="both"/>
              <w:rPr>
                <w:rFonts w:cs="Arial"/>
                <w:iCs/>
                <w:szCs w:val="22"/>
                <w:lang w:val="en-GB"/>
              </w:rPr>
            </w:pPr>
          </w:p>
          <w:p w14:paraId="63FA8AA7" w14:textId="1D3D8119" w:rsidR="007B5FFF" w:rsidRPr="00C05F58" w:rsidRDefault="007B5FFF" w:rsidP="004846E3">
            <w:pPr>
              <w:jc w:val="both"/>
              <w:rPr>
                <w:rFonts w:eastAsiaTheme="minorEastAsia" w:cs="Arial"/>
                <w:bCs/>
                <w:sz w:val="20"/>
                <w:szCs w:val="20"/>
                <w:lang w:val="en-GB"/>
              </w:rPr>
            </w:pPr>
          </w:p>
          <w:p w14:paraId="1DA61CF6" w14:textId="77777777" w:rsidR="007B5FFF" w:rsidRPr="00C05F58" w:rsidRDefault="007B5FFF" w:rsidP="004846E3">
            <w:pPr>
              <w:jc w:val="both"/>
              <w:rPr>
                <w:rFonts w:eastAsiaTheme="minorEastAsia" w:cs="Arial"/>
                <w:bCs/>
                <w:sz w:val="20"/>
                <w:szCs w:val="20"/>
                <w:lang w:val="en-GB"/>
              </w:rPr>
            </w:pPr>
          </w:p>
          <w:p w14:paraId="03243263" w14:textId="251C825A" w:rsidR="007B5FFF" w:rsidRPr="00C05F58" w:rsidRDefault="007B5FFF" w:rsidP="004846E3">
            <w:pPr>
              <w:jc w:val="both"/>
              <w:rPr>
                <w:rFonts w:eastAsiaTheme="minorEastAsia" w:cs="Arial"/>
                <w:bCs/>
                <w:sz w:val="20"/>
                <w:szCs w:val="20"/>
                <w:lang w:val="en-GB"/>
              </w:rPr>
            </w:pPr>
            <w:r w:rsidRPr="00C05F58">
              <w:rPr>
                <w:rFonts w:eastAsiaTheme="minorEastAsia" w:cs="Arial"/>
                <w:bCs/>
                <w:sz w:val="20"/>
                <w:szCs w:val="20"/>
                <w:lang w:val="en-GB"/>
              </w:rPr>
              <w:t>No SUSARs were observed.</w:t>
            </w:r>
          </w:p>
          <w:p w14:paraId="1EADB3AB" w14:textId="77777777" w:rsidR="007B5FFF" w:rsidRPr="00C05F58" w:rsidRDefault="007B5FFF" w:rsidP="004846E3">
            <w:pPr>
              <w:jc w:val="both"/>
              <w:rPr>
                <w:rFonts w:eastAsiaTheme="minorEastAsia" w:cs="Arial"/>
                <w:b/>
                <w:bCs/>
                <w:sz w:val="20"/>
                <w:szCs w:val="20"/>
                <w:lang w:val="en-GB"/>
              </w:rPr>
            </w:pPr>
          </w:p>
          <w:p w14:paraId="0F87DF86" w14:textId="77777777" w:rsidR="00036CAE" w:rsidRPr="00C05F58" w:rsidRDefault="00C91616">
            <w:pPr>
              <w:jc w:val="both"/>
              <w:rPr>
                <w:rFonts w:eastAsiaTheme="minorEastAsia" w:cs="Arial"/>
                <w:b/>
                <w:bCs/>
                <w:sz w:val="20"/>
                <w:szCs w:val="20"/>
                <w:lang w:val="en-GB"/>
              </w:rPr>
            </w:pPr>
            <w:r w:rsidRPr="00C05F58">
              <w:rPr>
                <w:rFonts w:eastAsiaTheme="minorEastAsia" w:cs="Arial"/>
                <w:b/>
                <w:bCs/>
                <w:sz w:val="20"/>
                <w:szCs w:val="20"/>
                <w:lang w:val="en-GB"/>
              </w:rPr>
              <w:t>Conclusion(s):</w:t>
            </w:r>
          </w:p>
          <w:p w14:paraId="0D5CF65B" w14:textId="7AD8F529" w:rsidR="002469D0" w:rsidRPr="00C05F58" w:rsidRDefault="00024BF7" w:rsidP="004846E3">
            <w:pPr>
              <w:jc w:val="both"/>
              <w:rPr>
                <w:rFonts w:eastAsiaTheme="minorEastAsia" w:cs="Arial"/>
                <w:bCs/>
                <w:sz w:val="20"/>
                <w:szCs w:val="20"/>
                <w:lang w:val="en-GB"/>
              </w:rPr>
            </w:pPr>
            <w:r>
              <w:rPr>
                <w:rFonts w:eastAsiaTheme="minorEastAsia" w:cs="Arial"/>
                <w:bCs/>
                <w:sz w:val="20"/>
                <w:szCs w:val="20"/>
                <w:lang w:val="en-GB"/>
              </w:rPr>
              <w:t xml:space="preserve">The CEBIFOX trial </w:t>
            </w:r>
            <w:r w:rsidR="00D45929">
              <w:rPr>
                <w:rFonts w:eastAsiaTheme="minorEastAsia" w:cs="Arial"/>
                <w:bCs/>
                <w:sz w:val="20"/>
                <w:szCs w:val="20"/>
                <w:lang w:val="en-GB"/>
              </w:rPr>
              <w:t>suggests</w:t>
            </w:r>
            <w:r>
              <w:rPr>
                <w:rFonts w:eastAsiaTheme="minorEastAsia" w:cs="Arial"/>
                <w:bCs/>
                <w:sz w:val="20"/>
                <w:szCs w:val="20"/>
                <w:lang w:val="en-GB"/>
              </w:rPr>
              <w:t xml:space="preserve"> </w:t>
            </w:r>
            <w:r w:rsidR="009C1376">
              <w:rPr>
                <w:rFonts w:eastAsiaTheme="minorEastAsia" w:cs="Arial"/>
                <w:bCs/>
                <w:sz w:val="20"/>
                <w:szCs w:val="20"/>
                <w:lang w:val="en-GB"/>
              </w:rPr>
              <w:t xml:space="preserve">that </w:t>
            </w:r>
            <w:r>
              <w:rPr>
                <w:rFonts w:eastAsiaTheme="minorEastAsia" w:cs="Arial"/>
                <w:bCs/>
                <w:sz w:val="20"/>
                <w:szCs w:val="20"/>
                <w:lang w:val="en-GB"/>
              </w:rPr>
              <w:t>a</w:t>
            </w:r>
            <w:r w:rsidR="00153C7B" w:rsidRPr="00C05F58">
              <w:rPr>
                <w:rFonts w:eastAsiaTheme="minorEastAsia" w:cs="Arial"/>
                <w:bCs/>
                <w:sz w:val="20"/>
                <w:szCs w:val="20"/>
                <w:lang w:val="en-GB"/>
              </w:rPr>
              <w:t xml:space="preserve"> bi-weekly </w:t>
            </w:r>
            <w:r w:rsidR="003C5C0A" w:rsidRPr="00C05F58">
              <w:rPr>
                <w:rFonts w:eastAsiaTheme="minorEastAsia" w:cs="Arial"/>
                <w:bCs/>
                <w:sz w:val="20"/>
                <w:szCs w:val="20"/>
                <w:lang w:val="en-GB"/>
              </w:rPr>
              <w:t>administration</w:t>
            </w:r>
            <w:r w:rsidR="00153C7B" w:rsidRPr="00C05F58">
              <w:rPr>
                <w:rFonts w:eastAsiaTheme="minorEastAsia" w:cs="Arial"/>
                <w:bCs/>
                <w:sz w:val="20"/>
                <w:szCs w:val="20"/>
                <w:lang w:val="en-GB"/>
              </w:rPr>
              <w:t xml:space="preserve"> of </w:t>
            </w:r>
            <w:r w:rsidR="002C5E4C" w:rsidRPr="00C05F58">
              <w:rPr>
                <w:rFonts w:eastAsiaTheme="minorEastAsia" w:cs="Arial"/>
                <w:bCs/>
                <w:sz w:val="20"/>
                <w:szCs w:val="20"/>
                <w:lang w:val="en-GB"/>
              </w:rPr>
              <w:t xml:space="preserve">500 mg </w:t>
            </w:r>
            <w:r w:rsidR="00153C7B" w:rsidRPr="00C05F58">
              <w:rPr>
                <w:rFonts w:eastAsiaTheme="minorEastAsia" w:cs="Arial"/>
                <w:bCs/>
                <w:sz w:val="20"/>
                <w:szCs w:val="20"/>
                <w:lang w:val="en-GB"/>
              </w:rPr>
              <w:t>cetuximab</w:t>
            </w:r>
            <w:r w:rsidR="002C5E4C" w:rsidRPr="00C05F58">
              <w:rPr>
                <w:rFonts w:eastAsiaTheme="minorEastAsia" w:cs="Arial"/>
                <w:bCs/>
                <w:sz w:val="20"/>
                <w:szCs w:val="20"/>
                <w:lang w:val="en-GB"/>
              </w:rPr>
              <w:t>/m² BSA</w:t>
            </w:r>
            <w:r w:rsidR="00153C7B" w:rsidRPr="00C05F58">
              <w:rPr>
                <w:rFonts w:eastAsiaTheme="minorEastAsia" w:cs="Arial"/>
                <w:bCs/>
                <w:sz w:val="20"/>
                <w:szCs w:val="20"/>
                <w:lang w:val="en-GB"/>
              </w:rPr>
              <w:t xml:space="preserve"> in combination with a FOLFOX-6 </w:t>
            </w:r>
            <w:r w:rsidR="0099452C" w:rsidRPr="00C05F58">
              <w:rPr>
                <w:rFonts w:eastAsiaTheme="minorEastAsia" w:cs="Arial"/>
                <w:bCs/>
                <w:sz w:val="20"/>
                <w:szCs w:val="20"/>
                <w:lang w:val="en-GB"/>
              </w:rPr>
              <w:t>regimen</w:t>
            </w:r>
            <w:r w:rsidR="00153C7B" w:rsidRPr="00C05F58">
              <w:rPr>
                <w:rFonts w:eastAsiaTheme="minorEastAsia" w:cs="Arial"/>
                <w:bCs/>
                <w:sz w:val="20"/>
                <w:szCs w:val="20"/>
                <w:lang w:val="en-GB"/>
              </w:rPr>
              <w:t xml:space="preserve"> as first-line treatment in patients with metastatic colorectal cancer with wild-type </w:t>
            </w:r>
            <w:r w:rsidR="00153C7B" w:rsidRPr="00C05F58">
              <w:rPr>
                <w:rFonts w:eastAsiaTheme="minorEastAsia" w:cs="Arial"/>
                <w:bCs/>
                <w:i/>
                <w:sz w:val="20"/>
                <w:szCs w:val="20"/>
                <w:lang w:val="en-GB"/>
              </w:rPr>
              <w:t>KRAS</w:t>
            </w:r>
            <w:r w:rsidR="00153C7B" w:rsidRPr="00C05F58">
              <w:rPr>
                <w:rFonts w:eastAsiaTheme="minorEastAsia" w:cs="Arial"/>
                <w:bCs/>
                <w:sz w:val="20"/>
                <w:szCs w:val="20"/>
                <w:lang w:val="en-GB"/>
              </w:rPr>
              <w:t xml:space="preserve"> </w:t>
            </w:r>
            <w:r w:rsidR="003939C6" w:rsidRPr="00C05F58">
              <w:rPr>
                <w:rFonts w:eastAsiaTheme="minorEastAsia" w:cs="Arial"/>
                <w:bCs/>
                <w:sz w:val="20"/>
                <w:szCs w:val="20"/>
                <w:lang w:val="en-GB"/>
              </w:rPr>
              <w:t xml:space="preserve">(Exon 2) </w:t>
            </w:r>
            <w:r w:rsidR="00153C7B" w:rsidRPr="00C05F58">
              <w:rPr>
                <w:rFonts w:eastAsiaTheme="minorEastAsia" w:cs="Arial"/>
                <w:bCs/>
                <w:sz w:val="20"/>
                <w:szCs w:val="20"/>
                <w:lang w:val="en-GB"/>
              </w:rPr>
              <w:t>status</w:t>
            </w:r>
            <w:r w:rsidR="006942BC">
              <w:rPr>
                <w:rFonts w:eastAsiaTheme="minorEastAsia" w:cs="Arial"/>
                <w:bCs/>
                <w:sz w:val="20"/>
                <w:szCs w:val="20"/>
                <w:lang w:val="en-GB"/>
              </w:rPr>
              <w:t>,</w:t>
            </w:r>
            <w:r w:rsidR="00153C7B" w:rsidRPr="00C05F58">
              <w:rPr>
                <w:rFonts w:eastAsiaTheme="minorEastAsia" w:cs="Arial"/>
                <w:bCs/>
                <w:sz w:val="20"/>
                <w:szCs w:val="20"/>
                <w:lang w:val="en-GB"/>
              </w:rPr>
              <w:t xml:space="preserve"> </w:t>
            </w:r>
            <w:r>
              <w:rPr>
                <w:rFonts w:eastAsiaTheme="minorEastAsia" w:cs="Arial"/>
                <w:bCs/>
                <w:sz w:val="20"/>
                <w:szCs w:val="20"/>
                <w:lang w:val="en-GB"/>
              </w:rPr>
              <w:t>is</w:t>
            </w:r>
            <w:r w:rsidR="0099452C" w:rsidRPr="00C05F58">
              <w:rPr>
                <w:rFonts w:eastAsiaTheme="minorEastAsia" w:cs="Arial"/>
                <w:bCs/>
                <w:sz w:val="20"/>
                <w:szCs w:val="20"/>
                <w:lang w:val="en-GB"/>
              </w:rPr>
              <w:t xml:space="preserve"> </w:t>
            </w:r>
            <w:r w:rsidR="00426E06">
              <w:rPr>
                <w:rFonts w:eastAsiaTheme="minorEastAsia" w:cs="Arial"/>
                <w:bCs/>
                <w:sz w:val="20"/>
                <w:szCs w:val="20"/>
                <w:lang w:val="en-GB"/>
              </w:rPr>
              <w:t xml:space="preserve">as </w:t>
            </w:r>
            <w:r w:rsidR="00153C7B" w:rsidRPr="00C05F58">
              <w:rPr>
                <w:rFonts w:eastAsiaTheme="minorEastAsia" w:cs="Arial"/>
                <w:bCs/>
                <w:sz w:val="20"/>
                <w:szCs w:val="20"/>
                <w:lang w:val="en-GB"/>
              </w:rPr>
              <w:t>safe and effective</w:t>
            </w:r>
            <w:r w:rsidR="00426E06">
              <w:rPr>
                <w:rFonts w:eastAsiaTheme="minorEastAsia" w:cs="Arial"/>
                <w:bCs/>
                <w:sz w:val="20"/>
                <w:szCs w:val="20"/>
                <w:lang w:val="en-GB"/>
              </w:rPr>
              <w:t xml:space="preserve"> as </w:t>
            </w:r>
            <w:r w:rsidR="00426E06" w:rsidRPr="00426E06">
              <w:rPr>
                <w:rFonts w:eastAsiaTheme="minorEastAsia" w:cs="Arial"/>
                <w:bCs/>
                <w:sz w:val="20"/>
                <w:szCs w:val="20"/>
                <w:lang w:val="en-GB"/>
              </w:rPr>
              <w:t>cetuximab-based regimens on a weekly basis</w:t>
            </w:r>
            <w:r w:rsidR="00153C7B" w:rsidRPr="00C05F58">
              <w:rPr>
                <w:rFonts w:eastAsiaTheme="minorEastAsia" w:cs="Arial"/>
                <w:bCs/>
                <w:sz w:val="20"/>
                <w:szCs w:val="20"/>
                <w:lang w:val="en-GB"/>
              </w:rPr>
              <w:t>.</w:t>
            </w:r>
            <w:r w:rsidR="00D6346E" w:rsidRPr="00C05F58">
              <w:rPr>
                <w:sz w:val="20"/>
                <w:szCs w:val="20"/>
                <w:lang w:val="en-GB"/>
              </w:rPr>
              <w:t xml:space="preserve"> </w:t>
            </w:r>
            <w:r w:rsidR="00D6346E" w:rsidRPr="00C05F58">
              <w:rPr>
                <w:rFonts w:eastAsiaTheme="minorEastAsia" w:cs="Arial"/>
                <w:bCs/>
                <w:sz w:val="20"/>
                <w:szCs w:val="20"/>
                <w:lang w:val="en-GB"/>
              </w:rPr>
              <w:t xml:space="preserve">This alignment of therapy </w:t>
            </w:r>
            <w:r w:rsidR="003C5C0A" w:rsidRPr="00C05F58">
              <w:rPr>
                <w:rFonts w:eastAsiaTheme="minorEastAsia" w:cs="Arial"/>
                <w:bCs/>
                <w:sz w:val="20"/>
                <w:szCs w:val="20"/>
                <w:lang w:val="en-GB"/>
              </w:rPr>
              <w:t>administration</w:t>
            </w:r>
            <w:r w:rsidR="00D6346E" w:rsidRPr="00C05F58">
              <w:rPr>
                <w:rFonts w:eastAsiaTheme="minorEastAsia" w:cs="Arial"/>
                <w:bCs/>
                <w:sz w:val="20"/>
                <w:szCs w:val="20"/>
                <w:lang w:val="en-GB"/>
              </w:rPr>
              <w:t xml:space="preserve"> times may facilitate the treatment for cancer patients.</w:t>
            </w:r>
          </w:p>
          <w:p w14:paraId="507D7DB9" w14:textId="249B1A61" w:rsidR="004846E3" w:rsidRPr="00C05F58" w:rsidRDefault="004846E3" w:rsidP="004846E3">
            <w:pPr>
              <w:jc w:val="both"/>
              <w:rPr>
                <w:rFonts w:eastAsiaTheme="minorEastAsia" w:cs="Arial"/>
                <w:b/>
                <w:bCs/>
                <w:sz w:val="20"/>
                <w:szCs w:val="20"/>
                <w:lang w:val="en-GB"/>
              </w:rPr>
            </w:pPr>
          </w:p>
        </w:tc>
      </w:tr>
      <w:tr w:rsidR="00036CAE" w:rsidRPr="00011E56" w14:paraId="0B2D7722" w14:textId="77777777">
        <w:tc>
          <w:tcPr>
            <w:tcW w:w="9568" w:type="dxa"/>
            <w:gridSpan w:val="3"/>
            <w:tcBorders>
              <w:bottom w:val="single" w:sz="12" w:space="0" w:color="auto"/>
            </w:tcBorders>
          </w:tcPr>
          <w:p w14:paraId="17EA1B7E" w14:textId="1BB69A1D" w:rsidR="00036CAE" w:rsidRPr="00C05F58" w:rsidRDefault="00C91616" w:rsidP="004846E3">
            <w:pPr>
              <w:jc w:val="both"/>
              <w:rPr>
                <w:rFonts w:eastAsiaTheme="minorEastAsia" w:cs="Arial"/>
                <w:b/>
                <w:bCs/>
                <w:sz w:val="20"/>
                <w:szCs w:val="20"/>
                <w:lang w:val="en-GB"/>
              </w:rPr>
            </w:pPr>
            <w:r w:rsidRPr="00C05F58">
              <w:rPr>
                <w:rFonts w:eastAsiaTheme="minorEastAsia" w:cs="Arial"/>
                <w:b/>
                <w:bCs/>
                <w:sz w:val="20"/>
                <w:szCs w:val="20"/>
                <w:lang w:val="en-GB"/>
              </w:rPr>
              <w:t>Date of report:</w:t>
            </w:r>
            <w:r w:rsidRPr="00C05F58">
              <w:rPr>
                <w:rFonts w:eastAsiaTheme="minorEastAsia" w:cs="Arial"/>
                <w:b/>
                <w:bCs/>
                <w:sz w:val="20"/>
                <w:szCs w:val="20"/>
                <w:lang w:val="en-GB"/>
              </w:rPr>
              <w:tab/>
            </w:r>
            <w:r w:rsidRPr="00C05F58">
              <w:rPr>
                <w:rFonts w:eastAsiaTheme="minorEastAsia" w:cs="Arial"/>
                <w:sz w:val="20"/>
                <w:szCs w:val="20"/>
                <w:lang w:val="en-GB"/>
              </w:rPr>
              <w:tab/>
            </w:r>
            <w:r w:rsidR="00DA0232">
              <w:rPr>
                <w:rFonts w:cs="Arial"/>
                <w:sz w:val="20"/>
                <w:szCs w:val="20"/>
              </w:rPr>
              <w:t>09-Aug-2019</w:t>
            </w:r>
            <w:r w:rsidR="00DA0232" w:rsidRPr="006111B6">
              <w:rPr>
                <w:rFonts w:cs="Arial"/>
                <w:sz w:val="20"/>
                <w:szCs w:val="20"/>
                <w:lang w:val="en-US"/>
              </w:rPr>
              <w:ptab w:relativeTo="margin" w:alignment="center" w:leader="none"/>
            </w:r>
            <w:r w:rsidR="00DA0232" w:rsidRPr="006111B6">
              <w:rPr>
                <w:rFonts w:cs="Arial"/>
                <w:sz w:val="20"/>
                <w:szCs w:val="20"/>
                <w:lang w:val="en-US"/>
              </w:rPr>
              <w:ptab w:relativeTo="margin" w:alignment="right" w:leader="none"/>
            </w:r>
            <w:r w:rsidR="00DA0232" w:rsidRPr="006111B6">
              <w:rPr>
                <w:rFonts w:cs="Arial"/>
                <w:sz w:val="20"/>
                <w:szCs w:val="20"/>
                <w:lang w:val="en-US"/>
              </w:rPr>
              <w:t xml:space="preserve"> </w:t>
            </w:r>
          </w:p>
        </w:tc>
      </w:tr>
    </w:tbl>
    <w:p w14:paraId="6A401C54" w14:textId="77777777" w:rsidR="00036CAE" w:rsidRPr="00C05F58" w:rsidRDefault="00036CAE">
      <w:pPr>
        <w:jc w:val="both"/>
        <w:rPr>
          <w:rFonts w:cs="Arial"/>
          <w:lang w:val="en-GB"/>
        </w:rPr>
      </w:pPr>
    </w:p>
    <w:p w14:paraId="7F0BAB46" w14:textId="3F8DE3EE" w:rsidR="00C91616" w:rsidRPr="00C05F58" w:rsidRDefault="00030E6B" w:rsidP="00030E6B">
      <w:pPr>
        <w:spacing w:before="120" w:after="120"/>
        <w:jc w:val="both"/>
        <w:rPr>
          <w:rFonts w:cs="Arial"/>
          <w:szCs w:val="22"/>
          <w:lang w:val="en-GB"/>
        </w:rPr>
      </w:pPr>
      <w:r w:rsidRPr="00C05F58">
        <w:rPr>
          <w:rFonts w:cs="Arial"/>
          <w:szCs w:val="22"/>
          <w:lang w:val="en-GB"/>
        </w:rPr>
        <w:t xml:space="preserve"> </w:t>
      </w:r>
    </w:p>
    <w:sectPr w:rsidR="00C91616" w:rsidRPr="00C05F58" w:rsidSect="00030E6B">
      <w:headerReference w:type="default" r:id="rId11"/>
      <w:footerReference w:type="default" r:id="rId12"/>
      <w:footerReference w:type="first" r:id="rId13"/>
      <w:pgSz w:w="11907" w:h="16840" w:code="9"/>
      <w:pgMar w:top="1021" w:right="851" w:bottom="425" w:left="1418" w:header="720" w:footer="720" w:gutter="0"/>
      <w:cols w:space="709"/>
      <w:formProt w:val="0"/>
      <w:titlePg/>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51607F" w16cid:durableId="21615571"/>
  <w16cid:commentId w16cid:paraId="0B14F329" w16cid:durableId="215D3570"/>
  <w16cid:commentId w16cid:paraId="34EF1C9D" w16cid:durableId="215D35A5"/>
  <w16cid:commentId w16cid:paraId="0A50522D" w16cid:durableId="2161588C"/>
  <w16cid:commentId w16cid:paraId="29E5A04C" w16cid:durableId="216155EB"/>
  <w16cid:commentId w16cid:paraId="63884DD2" w16cid:durableId="21615B08"/>
  <w16cid:commentId w16cid:paraId="4E6219A0" w16cid:durableId="21615422"/>
  <w16cid:commentId w16cid:paraId="5F15C6CF" w16cid:durableId="2161607B"/>
  <w16cid:commentId w16cid:paraId="53987890" w16cid:durableId="21616114"/>
  <w16cid:commentId w16cid:paraId="7F2C3BF5" w16cid:durableId="215D32DC"/>
  <w16cid:commentId w16cid:paraId="1B269F34" w16cid:durableId="215C5898"/>
  <w16cid:commentId w16cid:paraId="520AA2E8" w16cid:durableId="216159C4"/>
  <w16cid:commentId w16cid:paraId="4524BF54" w16cid:durableId="2104F612"/>
  <w16cid:commentId w16cid:paraId="2201EA03" w16cid:durableId="215C5A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80DE" w14:textId="77777777" w:rsidR="000878FD" w:rsidRDefault="000878FD">
      <w:r>
        <w:separator/>
      </w:r>
    </w:p>
  </w:endnote>
  <w:endnote w:type="continuationSeparator" w:id="0">
    <w:p w14:paraId="4D590D1E" w14:textId="77777777" w:rsidR="000878FD" w:rsidRDefault="000878FD">
      <w:r>
        <w:continuationSeparator/>
      </w:r>
    </w:p>
  </w:endnote>
  <w:endnote w:type="continuationNotice" w:id="1">
    <w:p w14:paraId="2F4F79BD" w14:textId="77777777" w:rsidR="000878FD" w:rsidRDefault="000878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New Roman Fett">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3FB29" w14:textId="350BB05F" w:rsidR="000878FD" w:rsidRPr="006111B6" w:rsidRDefault="000878FD">
    <w:pPr>
      <w:pStyle w:val="Fuzeile"/>
      <w:pBdr>
        <w:top w:val="single" w:sz="6" w:space="1" w:color="auto"/>
      </w:pBdr>
      <w:rPr>
        <w:rFonts w:cs="Arial"/>
        <w:sz w:val="20"/>
        <w:szCs w:val="20"/>
      </w:rPr>
    </w:pPr>
    <w:r w:rsidRPr="006111B6">
      <w:rPr>
        <w:rFonts w:cs="Arial"/>
        <w:sz w:val="20"/>
        <w:szCs w:val="20"/>
      </w:rPr>
      <w:t xml:space="preserve">Version </w:t>
    </w:r>
    <w:r>
      <w:rPr>
        <w:rFonts w:cs="Arial"/>
        <w:sz w:val="20"/>
        <w:szCs w:val="20"/>
      </w:rPr>
      <w:t>1.1 final, dated 14-Oct-2019</w:t>
    </w:r>
    <w:r w:rsidRPr="006111B6">
      <w:rPr>
        <w:rFonts w:cs="Arial"/>
        <w:sz w:val="20"/>
        <w:szCs w:val="20"/>
        <w:lang w:val="en-US"/>
      </w:rPr>
      <w:ptab w:relativeTo="margin" w:alignment="center" w:leader="none"/>
    </w:r>
    <w:r w:rsidRPr="006111B6">
      <w:rPr>
        <w:rFonts w:cs="Arial"/>
        <w:sz w:val="20"/>
        <w:szCs w:val="20"/>
        <w:lang w:val="en-US"/>
      </w:rPr>
      <w:ptab w:relativeTo="margin" w:alignment="right" w:leader="none"/>
    </w:r>
    <w:r w:rsidRPr="006111B6">
      <w:rPr>
        <w:rFonts w:cs="Arial"/>
        <w:b/>
        <w:sz w:val="20"/>
        <w:szCs w:val="20"/>
        <w:lang w:val="en-US"/>
      </w:rPr>
      <w:fldChar w:fldCharType="begin"/>
    </w:r>
    <w:r w:rsidRPr="006111B6">
      <w:rPr>
        <w:rFonts w:cs="Arial"/>
        <w:b/>
        <w:sz w:val="20"/>
        <w:szCs w:val="20"/>
        <w:lang w:val="en-US"/>
      </w:rPr>
      <w:instrText>PAGE  \* Arabic  \* MERGEFORMAT</w:instrText>
    </w:r>
    <w:r w:rsidRPr="006111B6">
      <w:rPr>
        <w:rFonts w:cs="Arial"/>
        <w:b/>
        <w:sz w:val="20"/>
        <w:szCs w:val="20"/>
        <w:lang w:val="en-US"/>
      </w:rPr>
      <w:fldChar w:fldCharType="separate"/>
    </w:r>
    <w:r w:rsidR="00030E6B">
      <w:rPr>
        <w:rFonts w:cs="Arial"/>
        <w:b/>
        <w:noProof/>
        <w:sz w:val="20"/>
        <w:szCs w:val="20"/>
        <w:lang w:val="en-US"/>
      </w:rPr>
      <w:t>6</w:t>
    </w:r>
    <w:r w:rsidRPr="006111B6">
      <w:rPr>
        <w:rFonts w:cs="Arial"/>
        <w:b/>
        <w:sz w:val="20"/>
        <w:szCs w:val="20"/>
        <w:lang w:val="en-US"/>
      </w:rPr>
      <w:fldChar w:fldCharType="end"/>
    </w:r>
    <w:r w:rsidRPr="006111B6">
      <w:rPr>
        <w:rFonts w:cs="Arial"/>
        <w:sz w:val="20"/>
        <w:szCs w:val="20"/>
        <w:lang w:val="en-US"/>
      </w:rPr>
      <w:t xml:space="preserve"> </w:t>
    </w:r>
    <w:r>
      <w:rPr>
        <w:rFonts w:cs="Arial"/>
        <w:sz w:val="20"/>
        <w:szCs w:val="20"/>
        <w:lang w:val="en-US"/>
      </w:rPr>
      <w:t>/</w:t>
    </w:r>
    <w:r w:rsidRPr="006111B6">
      <w:rPr>
        <w:rFonts w:cs="Arial"/>
        <w:sz w:val="20"/>
        <w:szCs w:val="20"/>
        <w:lang w:val="en-US"/>
      </w:rPr>
      <w:t xml:space="preserve"> </w:t>
    </w:r>
    <w:r w:rsidRPr="006111B6">
      <w:rPr>
        <w:rFonts w:cs="Arial"/>
        <w:b/>
        <w:sz w:val="20"/>
        <w:szCs w:val="20"/>
        <w:lang w:val="en-US"/>
      </w:rPr>
      <w:fldChar w:fldCharType="begin"/>
    </w:r>
    <w:r w:rsidRPr="006111B6">
      <w:rPr>
        <w:rFonts w:cs="Arial"/>
        <w:b/>
        <w:sz w:val="20"/>
        <w:szCs w:val="20"/>
        <w:lang w:val="en-US"/>
      </w:rPr>
      <w:instrText>NUMPAGES  \* Arabic  \* MERGEFORMAT</w:instrText>
    </w:r>
    <w:r w:rsidRPr="006111B6">
      <w:rPr>
        <w:rFonts w:cs="Arial"/>
        <w:b/>
        <w:sz w:val="20"/>
        <w:szCs w:val="20"/>
        <w:lang w:val="en-US"/>
      </w:rPr>
      <w:fldChar w:fldCharType="separate"/>
    </w:r>
    <w:r w:rsidR="00030E6B">
      <w:rPr>
        <w:rFonts w:cs="Arial"/>
        <w:b/>
        <w:noProof/>
        <w:sz w:val="20"/>
        <w:szCs w:val="20"/>
        <w:lang w:val="en-US"/>
      </w:rPr>
      <w:t>6</w:t>
    </w:r>
    <w:r w:rsidRPr="006111B6">
      <w:rPr>
        <w:rFonts w:cs="Arial"/>
        <w:b/>
        <w:sz w:val="20"/>
        <w:szCs w:val="20"/>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84FBA" w14:textId="54676E1A" w:rsidR="000878FD" w:rsidRPr="00345EC5" w:rsidRDefault="000878FD" w:rsidP="00345EC5">
    <w:pPr>
      <w:pStyle w:val="Fuzeile"/>
      <w:pBdr>
        <w:top w:val="single" w:sz="6" w:space="1" w:color="auto"/>
      </w:pBdr>
      <w:rPr>
        <w:rFonts w:cs="Arial"/>
        <w:sz w:val="20"/>
        <w:szCs w:val="20"/>
      </w:rPr>
    </w:pPr>
    <w:r w:rsidRPr="006111B6">
      <w:rPr>
        <w:rFonts w:cs="Arial"/>
        <w:sz w:val="20"/>
        <w:szCs w:val="20"/>
      </w:rPr>
      <w:t xml:space="preserve">Version </w:t>
    </w:r>
    <w:r>
      <w:rPr>
        <w:rFonts w:cs="Arial"/>
        <w:sz w:val="20"/>
        <w:szCs w:val="20"/>
      </w:rPr>
      <w:t>1.1 final, dated 14-Oct-2019</w:t>
    </w:r>
    <w:r w:rsidRPr="006111B6">
      <w:rPr>
        <w:rFonts w:cs="Arial"/>
        <w:sz w:val="20"/>
        <w:szCs w:val="20"/>
        <w:lang w:val="en-US"/>
      </w:rPr>
      <w:ptab w:relativeTo="margin" w:alignment="center" w:leader="none"/>
    </w:r>
    <w:r w:rsidRPr="006111B6">
      <w:rPr>
        <w:rFonts w:cs="Arial"/>
        <w:sz w:val="20"/>
        <w:szCs w:val="20"/>
        <w:lang w:val="en-US"/>
      </w:rPr>
      <w:ptab w:relativeTo="margin" w:alignment="right" w:leader="none"/>
    </w:r>
    <w:r w:rsidRPr="006111B6">
      <w:rPr>
        <w:rFonts w:cs="Arial"/>
        <w:b/>
        <w:sz w:val="20"/>
        <w:szCs w:val="20"/>
        <w:lang w:val="en-US"/>
      </w:rPr>
      <w:fldChar w:fldCharType="begin"/>
    </w:r>
    <w:r w:rsidRPr="006111B6">
      <w:rPr>
        <w:rFonts w:cs="Arial"/>
        <w:b/>
        <w:sz w:val="20"/>
        <w:szCs w:val="20"/>
        <w:lang w:val="en-US"/>
      </w:rPr>
      <w:instrText>PAGE  \* Arabic  \* MERGEFORMAT</w:instrText>
    </w:r>
    <w:r w:rsidRPr="006111B6">
      <w:rPr>
        <w:rFonts w:cs="Arial"/>
        <w:b/>
        <w:sz w:val="20"/>
        <w:szCs w:val="20"/>
        <w:lang w:val="en-US"/>
      </w:rPr>
      <w:fldChar w:fldCharType="separate"/>
    </w:r>
    <w:r w:rsidR="00030E6B">
      <w:rPr>
        <w:rFonts w:cs="Arial"/>
        <w:b/>
        <w:noProof/>
        <w:sz w:val="20"/>
        <w:szCs w:val="20"/>
        <w:lang w:val="en-US"/>
      </w:rPr>
      <w:t>1</w:t>
    </w:r>
    <w:r w:rsidRPr="006111B6">
      <w:rPr>
        <w:rFonts w:cs="Arial"/>
        <w:b/>
        <w:sz w:val="20"/>
        <w:szCs w:val="20"/>
        <w:lang w:val="en-US"/>
      </w:rPr>
      <w:fldChar w:fldCharType="end"/>
    </w:r>
    <w:r w:rsidRPr="006111B6">
      <w:rPr>
        <w:rFonts w:cs="Arial"/>
        <w:sz w:val="20"/>
        <w:szCs w:val="20"/>
        <w:lang w:val="en-US"/>
      </w:rPr>
      <w:t xml:space="preserve"> </w:t>
    </w:r>
    <w:r>
      <w:rPr>
        <w:rFonts w:cs="Arial"/>
        <w:sz w:val="20"/>
        <w:szCs w:val="20"/>
        <w:lang w:val="en-US"/>
      </w:rPr>
      <w:t>/</w:t>
    </w:r>
    <w:r w:rsidRPr="006111B6">
      <w:rPr>
        <w:rFonts w:cs="Arial"/>
        <w:sz w:val="20"/>
        <w:szCs w:val="20"/>
        <w:lang w:val="en-US"/>
      </w:rPr>
      <w:t xml:space="preserve"> </w:t>
    </w:r>
    <w:r w:rsidRPr="006111B6">
      <w:rPr>
        <w:rFonts w:cs="Arial"/>
        <w:b/>
        <w:sz w:val="20"/>
        <w:szCs w:val="20"/>
        <w:lang w:val="en-US"/>
      </w:rPr>
      <w:fldChar w:fldCharType="begin"/>
    </w:r>
    <w:r w:rsidRPr="006111B6">
      <w:rPr>
        <w:rFonts w:cs="Arial"/>
        <w:b/>
        <w:sz w:val="20"/>
        <w:szCs w:val="20"/>
        <w:lang w:val="en-US"/>
      </w:rPr>
      <w:instrText>NUMPAGES  \* Arabic  \* MERGEFORMAT</w:instrText>
    </w:r>
    <w:r w:rsidRPr="006111B6">
      <w:rPr>
        <w:rFonts w:cs="Arial"/>
        <w:b/>
        <w:sz w:val="20"/>
        <w:szCs w:val="20"/>
        <w:lang w:val="en-US"/>
      </w:rPr>
      <w:fldChar w:fldCharType="separate"/>
    </w:r>
    <w:r w:rsidR="00030E6B">
      <w:rPr>
        <w:rFonts w:cs="Arial"/>
        <w:b/>
        <w:noProof/>
        <w:sz w:val="20"/>
        <w:szCs w:val="20"/>
        <w:lang w:val="en-US"/>
      </w:rPr>
      <w:t>6</w:t>
    </w:r>
    <w:r w:rsidRPr="006111B6">
      <w:rPr>
        <w:rFonts w:cs="Arial"/>
        <w:b/>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3C8D6" w14:textId="77777777" w:rsidR="000878FD" w:rsidRDefault="000878FD">
      <w:r>
        <w:separator/>
      </w:r>
    </w:p>
  </w:footnote>
  <w:footnote w:type="continuationSeparator" w:id="0">
    <w:p w14:paraId="26893B03" w14:textId="77777777" w:rsidR="000878FD" w:rsidRDefault="000878FD">
      <w:r>
        <w:continuationSeparator/>
      </w:r>
    </w:p>
  </w:footnote>
  <w:footnote w:type="continuationNotice" w:id="1">
    <w:p w14:paraId="7D7C2392" w14:textId="77777777" w:rsidR="000878FD" w:rsidRDefault="000878F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3C338" w14:textId="77777777" w:rsidR="000878FD" w:rsidRPr="006111B6" w:rsidRDefault="000878FD" w:rsidP="00D36765">
    <w:pPr>
      <w:pStyle w:val="Kopfzeile"/>
      <w:ind w:right="357"/>
      <w:rPr>
        <w:rFonts w:cs="Arial"/>
        <w:sz w:val="20"/>
        <w:szCs w:val="20"/>
        <w:u w:val="single"/>
        <w:lang w:val="en-US"/>
      </w:rPr>
    </w:pPr>
    <w:r w:rsidRPr="006111B6">
      <w:rPr>
        <w:rFonts w:cs="Arial"/>
        <w:sz w:val="20"/>
        <w:szCs w:val="20"/>
        <w:u w:val="single"/>
        <w:lang w:val="en-US"/>
      </w:rPr>
      <w:t>Cebifox</w:t>
    </w:r>
    <w:r w:rsidRPr="006111B6">
      <w:rPr>
        <w:rFonts w:cs="Arial"/>
        <w:sz w:val="20"/>
        <w:szCs w:val="20"/>
        <w:u w:val="single"/>
        <w:lang w:val="en-US"/>
      </w:rPr>
      <w:ptab w:relativeTo="margin" w:alignment="center" w:leader="none"/>
    </w:r>
    <w:r w:rsidRPr="006111B6">
      <w:rPr>
        <w:rFonts w:cs="Arial"/>
        <w:sz w:val="20"/>
        <w:szCs w:val="20"/>
        <w:u w:val="single"/>
        <w:lang w:val="en-US"/>
      </w:rPr>
      <w:t>Clinical Study Report</w:t>
    </w:r>
    <w:r w:rsidRPr="006111B6">
      <w:rPr>
        <w:rFonts w:cs="Arial"/>
        <w:sz w:val="20"/>
        <w:szCs w:val="20"/>
        <w:u w:val="single"/>
        <w:lang w:val="en-US"/>
      </w:rPr>
      <w:ptab w:relativeTo="margin" w:alignment="right" w:leader="none"/>
    </w:r>
    <w:r w:rsidRPr="006111B6">
      <w:rPr>
        <w:rFonts w:cs="Arial"/>
        <w:sz w:val="20"/>
        <w:szCs w:val="20"/>
        <w:u w:val="single"/>
        <w:lang w:val="en-US"/>
      </w:rPr>
      <w:t>Eudra</w:t>
    </w:r>
    <w:r>
      <w:rPr>
        <w:rFonts w:cs="Arial"/>
        <w:sz w:val="20"/>
        <w:szCs w:val="20"/>
        <w:u w:val="single"/>
        <w:lang w:val="en-US"/>
      </w:rPr>
      <w:t>CT</w:t>
    </w:r>
    <w:r w:rsidRPr="006111B6">
      <w:rPr>
        <w:rFonts w:cs="Arial"/>
        <w:sz w:val="20"/>
        <w:szCs w:val="20"/>
        <w:u w:val="single"/>
        <w:lang w:val="en-US"/>
      </w:rPr>
      <w:t>-No. 2007-000460-24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C90E4F8"/>
    <w:lvl w:ilvl="0">
      <w:start w:val="1"/>
      <w:numFmt w:val="bullet"/>
      <w:pStyle w:val="Aufzhlungszeichen3"/>
      <w:lvlText w:val=""/>
      <w:lvlJc w:val="left"/>
      <w:pPr>
        <w:tabs>
          <w:tab w:val="num" w:pos="926"/>
        </w:tabs>
        <w:ind w:left="926" w:hanging="360"/>
      </w:pPr>
      <w:rPr>
        <w:rFonts w:ascii="Symbol" w:hAnsi="Symbol" w:cs="Symbol" w:hint="default"/>
      </w:rPr>
    </w:lvl>
  </w:abstractNum>
  <w:abstractNum w:abstractNumId="1" w15:restartNumberingAfterBreak="0">
    <w:nsid w:val="00322C6D"/>
    <w:multiLevelType w:val="hybridMultilevel"/>
    <w:tmpl w:val="63B0B69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1072310"/>
    <w:multiLevelType w:val="hybridMultilevel"/>
    <w:tmpl w:val="376A3EF0"/>
    <w:lvl w:ilvl="0" w:tplc="04070003">
      <w:start w:val="1"/>
      <w:numFmt w:val="bullet"/>
      <w:lvlText w:val="o"/>
      <w:lvlJc w:val="left"/>
      <w:pPr>
        <w:ind w:left="720" w:hanging="360"/>
      </w:pPr>
      <w:rPr>
        <w:rFonts w:ascii="Courier New" w:hAnsi="Courier New" w:cs="Courier New" w:hint="default"/>
      </w:rPr>
    </w:lvl>
    <w:lvl w:ilvl="1" w:tplc="04070003">
      <w:start w:val="1"/>
      <w:numFmt w:val="bullet"/>
      <w:lvlText w:val="o"/>
      <w:lvlJc w:val="left"/>
      <w:pPr>
        <w:ind w:left="1785" w:hanging="705"/>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7F02945"/>
    <w:multiLevelType w:val="hybridMultilevel"/>
    <w:tmpl w:val="9D4634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9263AED"/>
    <w:multiLevelType w:val="hybridMultilevel"/>
    <w:tmpl w:val="CD6E6B8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DFA45A16">
      <w:start w:val="1"/>
      <w:numFmt w:val="bullet"/>
      <w:lvlText w:val="-"/>
      <w:lvlJc w:val="left"/>
      <w:pPr>
        <w:ind w:left="2160" w:hanging="360"/>
      </w:pPr>
      <w:rPr>
        <w:rFonts w:ascii="Arial" w:eastAsia="Times New Roman" w:hAnsi="Arial" w:cs="Arial"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C3D3ED6"/>
    <w:multiLevelType w:val="hybridMultilevel"/>
    <w:tmpl w:val="E22061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CD864FB"/>
    <w:multiLevelType w:val="hybridMultilevel"/>
    <w:tmpl w:val="75B65F18"/>
    <w:lvl w:ilvl="0" w:tplc="04070003">
      <w:start w:val="1"/>
      <w:numFmt w:val="bullet"/>
      <w:lvlText w:val="o"/>
      <w:lvlJc w:val="left"/>
      <w:pPr>
        <w:ind w:left="720" w:hanging="360"/>
      </w:pPr>
      <w:rPr>
        <w:rFonts w:ascii="Courier New" w:hAnsi="Courier New" w:cs="Courier New"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FC65200"/>
    <w:multiLevelType w:val="hybridMultilevel"/>
    <w:tmpl w:val="C4300054"/>
    <w:lvl w:ilvl="0" w:tplc="6BC61F44">
      <w:start w:val="4"/>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2C46F20"/>
    <w:multiLevelType w:val="hybridMultilevel"/>
    <w:tmpl w:val="FA9275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6304255"/>
    <w:multiLevelType w:val="hybridMultilevel"/>
    <w:tmpl w:val="AC6A126C"/>
    <w:lvl w:ilvl="0" w:tplc="04070003">
      <w:start w:val="1"/>
      <w:numFmt w:val="bullet"/>
      <w:lvlText w:val="o"/>
      <w:lvlJc w:val="left"/>
      <w:pPr>
        <w:ind w:left="720" w:hanging="360"/>
      </w:pPr>
      <w:rPr>
        <w:rFonts w:ascii="Courier New" w:hAnsi="Courier New" w:cs="Courier New"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C27264"/>
    <w:multiLevelType w:val="hybridMultilevel"/>
    <w:tmpl w:val="8542CA0C"/>
    <w:lvl w:ilvl="0" w:tplc="04070001">
      <w:start w:val="1"/>
      <w:numFmt w:val="bullet"/>
      <w:lvlText w:val=""/>
      <w:lvlJc w:val="left"/>
      <w:pPr>
        <w:ind w:left="783" w:hanging="360"/>
      </w:pPr>
      <w:rPr>
        <w:rFonts w:ascii="Symbol" w:hAnsi="Symbol" w:hint="default"/>
      </w:rPr>
    </w:lvl>
    <w:lvl w:ilvl="1" w:tplc="04070003" w:tentative="1">
      <w:start w:val="1"/>
      <w:numFmt w:val="bullet"/>
      <w:lvlText w:val="o"/>
      <w:lvlJc w:val="left"/>
      <w:pPr>
        <w:ind w:left="1503" w:hanging="360"/>
      </w:pPr>
      <w:rPr>
        <w:rFonts w:ascii="Courier New" w:hAnsi="Courier New" w:cs="Courier New" w:hint="default"/>
      </w:rPr>
    </w:lvl>
    <w:lvl w:ilvl="2" w:tplc="04070005" w:tentative="1">
      <w:start w:val="1"/>
      <w:numFmt w:val="bullet"/>
      <w:lvlText w:val=""/>
      <w:lvlJc w:val="left"/>
      <w:pPr>
        <w:ind w:left="2223" w:hanging="360"/>
      </w:pPr>
      <w:rPr>
        <w:rFonts w:ascii="Wingdings" w:hAnsi="Wingdings" w:hint="default"/>
      </w:rPr>
    </w:lvl>
    <w:lvl w:ilvl="3" w:tplc="04070001" w:tentative="1">
      <w:start w:val="1"/>
      <w:numFmt w:val="bullet"/>
      <w:lvlText w:val=""/>
      <w:lvlJc w:val="left"/>
      <w:pPr>
        <w:ind w:left="2943" w:hanging="360"/>
      </w:pPr>
      <w:rPr>
        <w:rFonts w:ascii="Symbol" w:hAnsi="Symbol" w:hint="default"/>
      </w:rPr>
    </w:lvl>
    <w:lvl w:ilvl="4" w:tplc="04070003" w:tentative="1">
      <w:start w:val="1"/>
      <w:numFmt w:val="bullet"/>
      <w:lvlText w:val="o"/>
      <w:lvlJc w:val="left"/>
      <w:pPr>
        <w:ind w:left="3663" w:hanging="360"/>
      </w:pPr>
      <w:rPr>
        <w:rFonts w:ascii="Courier New" w:hAnsi="Courier New" w:cs="Courier New" w:hint="default"/>
      </w:rPr>
    </w:lvl>
    <w:lvl w:ilvl="5" w:tplc="04070005" w:tentative="1">
      <w:start w:val="1"/>
      <w:numFmt w:val="bullet"/>
      <w:lvlText w:val=""/>
      <w:lvlJc w:val="left"/>
      <w:pPr>
        <w:ind w:left="4383" w:hanging="360"/>
      </w:pPr>
      <w:rPr>
        <w:rFonts w:ascii="Wingdings" w:hAnsi="Wingdings" w:hint="default"/>
      </w:rPr>
    </w:lvl>
    <w:lvl w:ilvl="6" w:tplc="04070001" w:tentative="1">
      <w:start w:val="1"/>
      <w:numFmt w:val="bullet"/>
      <w:lvlText w:val=""/>
      <w:lvlJc w:val="left"/>
      <w:pPr>
        <w:ind w:left="5103" w:hanging="360"/>
      </w:pPr>
      <w:rPr>
        <w:rFonts w:ascii="Symbol" w:hAnsi="Symbol" w:hint="default"/>
      </w:rPr>
    </w:lvl>
    <w:lvl w:ilvl="7" w:tplc="04070003" w:tentative="1">
      <w:start w:val="1"/>
      <w:numFmt w:val="bullet"/>
      <w:lvlText w:val="o"/>
      <w:lvlJc w:val="left"/>
      <w:pPr>
        <w:ind w:left="5823" w:hanging="360"/>
      </w:pPr>
      <w:rPr>
        <w:rFonts w:ascii="Courier New" w:hAnsi="Courier New" w:cs="Courier New" w:hint="default"/>
      </w:rPr>
    </w:lvl>
    <w:lvl w:ilvl="8" w:tplc="04070005" w:tentative="1">
      <w:start w:val="1"/>
      <w:numFmt w:val="bullet"/>
      <w:lvlText w:val=""/>
      <w:lvlJc w:val="left"/>
      <w:pPr>
        <w:ind w:left="6543" w:hanging="360"/>
      </w:pPr>
      <w:rPr>
        <w:rFonts w:ascii="Wingdings" w:hAnsi="Wingdings" w:hint="default"/>
      </w:rPr>
    </w:lvl>
  </w:abstractNum>
  <w:abstractNum w:abstractNumId="11" w15:restartNumberingAfterBreak="0">
    <w:nsid w:val="341B339C"/>
    <w:multiLevelType w:val="hybridMultilevel"/>
    <w:tmpl w:val="362A7A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5705346"/>
    <w:multiLevelType w:val="hybridMultilevel"/>
    <w:tmpl w:val="AFF021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E4E7734"/>
    <w:multiLevelType w:val="hybridMultilevel"/>
    <w:tmpl w:val="97BEE5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6625C10"/>
    <w:multiLevelType w:val="hybridMultilevel"/>
    <w:tmpl w:val="EC9E0494"/>
    <w:lvl w:ilvl="0" w:tplc="04070003">
      <w:start w:val="1"/>
      <w:numFmt w:val="bullet"/>
      <w:lvlText w:val="o"/>
      <w:lvlJc w:val="left"/>
      <w:pPr>
        <w:ind w:left="1080" w:hanging="360"/>
      </w:pPr>
      <w:rPr>
        <w:rFonts w:ascii="Courier New" w:hAnsi="Courier New" w:cs="Courier New"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5" w15:restartNumberingAfterBreak="0">
    <w:nsid w:val="4B2D54E1"/>
    <w:multiLevelType w:val="hybridMultilevel"/>
    <w:tmpl w:val="33F802C8"/>
    <w:lvl w:ilvl="0" w:tplc="84BA67A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BF40994"/>
    <w:multiLevelType w:val="hybridMultilevel"/>
    <w:tmpl w:val="6884E7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E3E6D7D"/>
    <w:multiLevelType w:val="hybridMultilevel"/>
    <w:tmpl w:val="2A440102"/>
    <w:lvl w:ilvl="0" w:tplc="0407000F">
      <w:start w:val="1"/>
      <w:numFmt w:val="decimal"/>
      <w:lvlText w:val="%1."/>
      <w:lvlJc w:val="left"/>
      <w:pPr>
        <w:tabs>
          <w:tab w:val="num" w:pos="404"/>
        </w:tabs>
        <w:ind w:left="404" w:hanging="360"/>
      </w:pPr>
    </w:lvl>
    <w:lvl w:ilvl="1" w:tplc="04070019">
      <w:start w:val="1"/>
      <w:numFmt w:val="lowerLetter"/>
      <w:lvlText w:val="%2."/>
      <w:lvlJc w:val="left"/>
      <w:pPr>
        <w:tabs>
          <w:tab w:val="num" w:pos="1124"/>
        </w:tabs>
        <w:ind w:left="1124" w:hanging="360"/>
      </w:pPr>
    </w:lvl>
    <w:lvl w:ilvl="2" w:tplc="0407001B" w:tentative="1">
      <w:start w:val="1"/>
      <w:numFmt w:val="lowerRoman"/>
      <w:lvlText w:val="%3."/>
      <w:lvlJc w:val="right"/>
      <w:pPr>
        <w:tabs>
          <w:tab w:val="num" w:pos="1844"/>
        </w:tabs>
        <w:ind w:left="1844" w:hanging="180"/>
      </w:pPr>
    </w:lvl>
    <w:lvl w:ilvl="3" w:tplc="0407000F" w:tentative="1">
      <w:start w:val="1"/>
      <w:numFmt w:val="decimal"/>
      <w:lvlText w:val="%4."/>
      <w:lvlJc w:val="left"/>
      <w:pPr>
        <w:tabs>
          <w:tab w:val="num" w:pos="2564"/>
        </w:tabs>
        <w:ind w:left="2564" w:hanging="360"/>
      </w:pPr>
    </w:lvl>
    <w:lvl w:ilvl="4" w:tplc="04070019" w:tentative="1">
      <w:start w:val="1"/>
      <w:numFmt w:val="lowerLetter"/>
      <w:lvlText w:val="%5."/>
      <w:lvlJc w:val="left"/>
      <w:pPr>
        <w:tabs>
          <w:tab w:val="num" w:pos="3284"/>
        </w:tabs>
        <w:ind w:left="3284" w:hanging="360"/>
      </w:pPr>
    </w:lvl>
    <w:lvl w:ilvl="5" w:tplc="0407001B" w:tentative="1">
      <w:start w:val="1"/>
      <w:numFmt w:val="lowerRoman"/>
      <w:lvlText w:val="%6."/>
      <w:lvlJc w:val="right"/>
      <w:pPr>
        <w:tabs>
          <w:tab w:val="num" w:pos="4004"/>
        </w:tabs>
        <w:ind w:left="4004" w:hanging="180"/>
      </w:pPr>
    </w:lvl>
    <w:lvl w:ilvl="6" w:tplc="0407000F" w:tentative="1">
      <w:start w:val="1"/>
      <w:numFmt w:val="decimal"/>
      <w:lvlText w:val="%7."/>
      <w:lvlJc w:val="left"/>
      <w:pPr>
        <w:tabs>
          <w:tab w:val="num" w:pos="4724"/>
        </w:tabs>
        <w:ind w:left="4724" w:hanging="360"/>
      </w:pPr>
    </w:lvl>
    <w:lvl w:ilvl="7" w:tplc="04070019" w:tentative="1">
      <w:start w:val="1"/>
      <w:numFmt w:val="lowerLetter"/>
      <w:lvlText w:val="%8."/>
      <w:lvlJc w:val="left"/>
      <w:pPr>
        <w:tabs>
          <w:tab w:val="num" w:pos="5444"/>
        </w:tabs>
        <w:ind w:left="5444" w:hanging="360"/>
      </w:pPr>
    </w:lvl>
    <w:lvl w:ilvl="8" w:tplc="0407001B" w:tentative="1">
      <w:start w:val="1"/>
      <w:numFmt w:val="lowerRoman"/>
      <w:lvlText w:val="%9."/>
      <w:lvlJc w:val="right"/>
      <w:pPr>
        <w:tabs>
          <w:tab w:val="num" w:pos="6164"/>
        </w:tabs>
        <w:ind w:left="6164" w:hanging="180"/>
      </w:pPr>
    </w:lvl>
  </w:abstractNum>
  <w:abstractNum w:abstractNumId="18" w15:restartNumberingAfterBreak="0">
    <w:nsid w:val="51171F74"/>
    <w:multiLevelType w:val="hybridMultilevel"/>
    <w:tmpl w:val="D474E97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71519EF"/>
    <w:multiLevelType w:val="hybridMultilevel"/>
    <w:tmpl w:val="207CB6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93D46B4"/>
    <w:multiLevelType w:val="hybridMultilevel"/>
    <w:tmpl w:val="6A20C6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598D4DFB"/>
    <w:multiLevelType w:val="hybridMultilevel"/>
    <w:tmpl w:val="32DC7230"/>
    <w:lvl w:ilvl="0" w:tplc="04070001">
      <w:start w:val="1"/>
      <w:numFmt w:val="bullet"/>
      <w:lvlText w:val=""/>
      <w:lvlJc w:val="left"/>
      <w:pPr>
        <w:ind w:left="783" w:hanging="360"/>
      </w:pPr>
      <w:rPr>
        <w:rFonts w:ascii="Symbol" w:hAnsi="Symbol" w:hint="default"/>
      </w:rPr>
    </w:lvl>
    <w:lvl w:ilvl="1" w:tplc="04070003" w:tentative="1">
      <w:start w:val="1"/>
      <w:numFmt w:val="bullet"/>
      <w:lvlText w:val="o"/>
      <w:lvlJc w:val="left"/>
      <w:pPr>
        <w:ind w:left="1503" w:hanging="360"/>
      </w:pPr>
      <w:rPr>
        <w:rFonts w:ascii="Courier New" w:hAnsi="Courier New" w:cs="Courier New" w:hint="default"/>
      </w:rPr>
    </w:lvl>
    <w:lvl w:ilvl="2" w:tplc="04070005" w:tentative="1">
      <w:start w:val="1"/>
      <w:numFmt w:val="bullet"/>
      <w:lvlText w:val=""/>
      <w:lvlJc w:val="left"/>
      <w:pPr>
        <w:ind w:left="2223" w:hanging="360"/>
      </w:pPr>
      <w:rPr>
        <w:rFonts w:ascii="Wingdings" w:hAnsi="Wingdings" w:hint="default"/>
      </w:rPr>
    </w:lvl>
    <w:lvl w:ilvl="3" w:tplc="04070001" w:tentative="1">
      <w:start w:val="1"/>
      <w:numFmt w:val="bullet"/>
      <w:lvlText w:val=""/>
      <w:lvlJc w:val="left"/>
      <w:pPr>
        <w:ind w:left="2943" w:hanging="360"/>
      </w:pPr>
      <w:rPr>
        <w:rFonts w:ascii="Symbol" w:hAnsi="Symbol" w:hint="default"/>
      </w:rPr>
    </w:lvl>
    <w:lvl w:ilvl="4" w:tplc="04070003" w:tentative="1">
      <w:start w:val="1"/>
      <w:numFmt w:val="bullet"/>
      <w:lvlText w:val="o"/>
      <w:lvlJc w:val="left"/>
      <w:pPr>
        <w:ind w:left="3663" w:hanging="360"/>
      </w:pPr>
      <w:rPr>
        <w:rFonts w:ascii="Courier New" w:hAnsi="Courier New" w:cs="Courier New" w:hint="default"/>
      </w:rPr>
    </w:lvl>
    <w:lvl w:ilvl="5" w:tplc="04070005" w:tentative="1">
      <w:start w:val="1"/>
      <w:numFmt w:val="bullet"/>
      <w:lvlText w:val=""/>
      <w:lvlJc w:val="left"/>
      <w:pPr>
        <w:ind w:left="4383" w:hanging="360"/>
      </w:pPr>
      <w:rPr>
        <w:rFonts w:ascii="Wingdings" w:hAnsi="Wingdings" w:hint="default"/>
      </w:rPr>
    </w:lvl>
    <w:lvl w:ilvl="6" w:tplc="04070001" w:tentative="1">
      <w:start w:val="1"/>
      <w:numFmt w:val="bullet"/>
      <w:lvlText w:val=""/>
      <w:lvlJc w:val="left"/>
      <w:pPr>
        <w:ind w:left="5103" w:hanging="360"/>
      </w:pPr>
      <w:rPr>
        <w:rFonts w:ascii="Symbol" w:hAnsi="Symbol" w:hint="default"/>
      </w:rPr>
    </w:lvl>
    <w:lvl w:ilvl="7" w:tplc="04070003" w:tentative="1">
      <w:start w:val="1"/>
      <w:numFmt w:val="bullet"/>
      <w:lvlText w:val="o"/>
      <w:lvlJc w:val="left"/>
      <w:pPr>
        <w:ind w:left="5823" w:hanging="360"/>
      </w:pPr>
      <w:rPr>
        <w:rFonts w:ascii="Courier New" w:hAnsi="Courier New" w:cs="Courier New" w:hint="default"/>
      </w:rPr>
    </w:lvl>
    <w:lvl w:ilvl="8" w:tplc="04070005" w:tentative="1">
      <w:start w:val="1"/>
      <w:numFmt w:val="bullet"/>
      <w:lvlText w:val=""/>
      <w:lvlJc w:val="left"/>
      <w:pPr>
        <w:ind w:left="6543" w:hanging="360"/>
      </w:pPr>
      <w:rPr>
        <w:rFonts w:ascii="Wingdings" w:hAnsi="Wingdings" w:hint="default"/>
      </w:rPr>
    </w:lvl>
  </w:abstractNum>
  <w:abstractNum w:abstractNumId="22" w15:restartNumberingAfterBreak="0">
    <w:nsid w:val="5C527F14"/>
    <w:multiLevelType w:val="multilevel"/>
    <w:tmpl w:val="1A381540"/>
    <w:lvl w:ilvl="0">
      <w:start w:val="1"/>
      <w:numFmt w:val="decimal"/>
      <w:pStyle w:val="berschrift1"/>
      <w:lvlText w:val="%1"/>
      <w:lvlJc w:val="left"/>
      <w:pPr>
        <w:tabs>
          <w:tab w:val="num" w:pos="716"/>
        </w:tabs>
        <w:ind w:left="716" w:hanging="432"/>
      </w:pPr>
      <w:rPr>
        <w:rFonts w:ascii="Arial" w:hAnsi="Arial" w:cs="Arial" w:hint="default"/>
        <w:b/>
        <w:bCs/>
        <w:i w:val="0"/>
        <w:iCs w:val="0"/>
        <w:caps w:val="0"/>
        <w:smallCaps w:val="0"/>
        <w:strike w:val="0"/>
        <w:dstrike w:val="0"/>
        <w:color w:val="auto"/>
        <w:spacing w:val="0"/>
        <w:w w:val="100"/>
        <w:kern w:val="32"/>
        <w:position w:val="0"/>
        <w:sz w:val="28"/>
        <w:szCs w:val="28"/>
        <w:u w:val="none"/>
        <w:effect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76"/>
        </w:tabs>
        <w:ind w:left="576" w:hanging="576"/>
      </w:pPr>
      <w:rPr>
        <w:rFonts w:hint="default"/>
        <w:b/>
        <w:bCs/>
        <w:i w:val="0"/>
        <w:iCs w:val="0"/>
      </w:rPr>
    </w:lvl>
    <w:lvl w:ilvl="2">
      <w:start w:val="1"/>
      <w:numFmt w:val="decimal"/>
      <w:pStyle w:val="berschrift3"/>
      <w:lvlText w:val="%1.%2.%3"/>
      <w:lvlJc w:val="left"/>
      <w:pPr>
        <w:tabs>
          <w:tab w:val="num" w:pos="5965"/>
        </w:tabs>
        <w:ind w:left="5965" w:hanging="720"/>
      </w:pPr>
      <w:rPr>
        <w:rFonts w:hint="default"/>
      </w:rPr>
    </w:lvl>
    <w:lvl w:ilvl="3">
      <w:start w:val="1"/>
      <w:numFmt w:val="decimal"/>
      <w:pStyle w:val="berschrift4"/>
      <w:lvlText w:val="%1.%2.%3.%4"/>
      <w:lvlJc w:val="left"/>
      <w:pPr>
        <w:tabs>
          <w:tab w:val="num" w:pos="1432"/>
        </w:tabs>
        <w:ind w:left="1432"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3" w15:restartNumberingAfterBreak="0">
    <w:nsid w:val="5EE94F12"/>
    <w:multiLevelType w:val="hybridMultilevel"/>
    <w:tmpl w:val="82F0C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7C830D9"/>
    <w:multiLevelType w:val="hybridMultilevel"/>
    <w:tmpl w:val="542470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8717A36"/>
    <w:multiLevelType w:val="hybridMultilevel"/>
    <w:tmpl w:val="8C7032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E1A317F"/>
    <w:multiLevelType w:val="hybridMultilevel"/>
    <w:tmpl w:val="DDB89C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F0A31C1"/>
    <w:multiLevelType w:val="hybridMultilevel"/>
    <w:tmpl w:val="F69A1DA0"/>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28" w15:restartNumberingAfterBreak="0">
    <w:nsid w:val="78AA7146"/>
    <w:multiLevelType w:val="hybridMultilevel"/>
    <w:tmpl w:val="88AEFB0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999442F"/>
    <w:multiLevelType w:val="hybridMultilevel"/>
    <w:tmpl w:val="4BEE56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B2A3EA9"/>
    <w:multiLevelType w:val="hybridMultilevel"/>
    <w:tmpl w:val="14B0F62C"/>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num w:numId="1">
    <w:abstractNumId w:val="0"/>
  </w:num>
  <w:num w:numId="2">
    <w:abstractNumId w:val="22"/>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1"/>
  </w:num>
  <w:num w:numId="6">
    <w:abstractNumId w:val="2"/>
  </w:num>
  <w:num w:numId="7">
    <w:abstractNumId w:val="4"/>
  </w:num>
  <w:num w:numId="8">
    <w:abstractNumId w:val="28"/>
  </w:num>
  <w:num w:numId="9">
    <w:abstractNumId w:val="26"/>
  </w:num>
  <w:num w:numId="10">
    <w:abstractNumId w:val="29"/>
  </w:num>
  <w:num w:numId="11">
    <w:abstractNumId w:val="23"/>
  </w:num>
  <w:num w:numId="12">
    <w:abstractNumId w:val="10"/>
  </w:num>
  <w:num w:numId="13">
    <w:abstractNumId w:val="19"/>
  </w:num>
  <w:num w:numId="14">
    <w:abstractNumId w:val="25"/>
  </w:num>
  <w:num w:numId="15">
    <w:abstractNumId w:val="12"/>
  </w:num>
  <w:num w:numId="16">
    <w:abstractNumId w:val="9"/>
  </w:num>
  <w:num w:numId="17">
    <w:abstractNumId w:val="14"/>
  </w:num>
  <w:num w:numId="18">
    <w:abstractNumId w:val="6"/>
  </w:num>
  <w:num w:numId="19">
    <w:abstractNumId w:val="16"/>
  </w:num>
  <w:num w:numId="20">
    <w:abstractNumId w:val="3"/>
  </w:num>
  <w:num w:numId="21">
    <w:abstractNumId w:val="1"/>
  </w:num>
  <w:num w:numId="22">
    <w:abstractNumId w:val="13"/>
  </w:num>
  <w:num w:numId="23">
    <w:abstractNumId w:val="24"/>
  </w:num>
  <w:num w:numId="24">
    <w:abstractNumId w:val="8"/>
  </w:num>
  <w:num w:numId="25">
    <w:abstractNumId w:val="5"/>
  </w:num>
  <w:num w:numId="26">
    <w:abstractNumId w:val="7"/>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27"/>
  </w:num>
  <w:num w:numId="36">
    <w:abstractNumId w:val="18"/>
  </w:num>
  <w:num w:numId="37">
    <w:abstractNumId w:val="11"/>
  </w:num>
  <w:num w:numId="38">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embedSystemFonts/>
  <w:hideSpellingErrors/>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0"/>
  <w:attachedTemplate r:id="rId1"/>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2529"/>
  </w:hdrShapeDefaults>
  <w:footnotePr>
    <w:footnote w:id="-1"/>
    <w:footnote w:id="0"/>
    <w:footnote w:id="1"/>
  </w:footnotePr>
  <w:endnotePr>
    <w:endnote w:id="-1"/>
    <w:endnote w:id="0"/>
    <w:endnote w:id="1"/>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xtrf9af70tzvxeddfn5fdrrzwewwwwtewad&quot;&gt;CEBIFOX&lt;record-ids&gt;&lt;item&gt;202&lt;/item&gt;&lt;/record-ids&gt;&lt;/item&gt;&lt;/Libraries&gt;"/>
  </w:docVars>
  <w:rsids>
    <w:rsidRoot w:val="00EA5BA8"/>
    <w:rsid w:val="00000B8A"/>
    <w:rsid w:val="000011F1"/>
    <w:rsid w:val="00001C67"/>
    <w:rsid w:val="000032BE"/>
    <w:rsid w:val="00004B99"/>
    <w:rsid w:val="00010E41"/>
    <w:rsid w:val="0001156C"/>
    <w:rsid w:val="000118C1"/>
    <w:rsid w:val="00011E56"/>
    <w:rsid w:val="0002303E"/>
    <w:rsid w:val="00023994"/>
    <w:rsid w:val="00024BF7"/>
    <w:rsid w:val="00027D75"/>
    <w:rsid w:val="00030893"/>
    <w:rsid w:val="00030E6B"/>
    <w:rsid w:val="00031652"/>
    <w:rsid w:val="000322CC"/>
    <w:rsid w:val="00032A5E"/>
    <w:rsid w:val="00032E5E"/>
    <w:rsid w:val="00036CAE"/>
    <w:rsid w:val="00037A1F"/>
    <w:rsid w:val="0004172F"/>
    <w:rsid w:val="00041D16"/>
    <w:rsid w:val="00042443"/>
    <w:rsid w:val="000446D6"/>
    <w:rsid w:val="0005070A"/>
    <w:rsid w:val="0005201F"/>
    <w:rsid w:val="000531C2"/>
    <w:rsid w:val="00053AB9"/>
    <w:rsid w:val="000540C3"/>
    <w:rsid w:val="00060BE7"/>
    <w:rsid w:val="000645D6"/>
    <w:rsid w:val="00064944"/>
    <w:rsid w:val="00065FB7"/>
    <w:rsid w:val="00065FF5"/>
    <w:rsid w:val="00067B48"/>
    <w:rsid w:val="00071EEC"/>
    <w:rsid w:val="00074638"/>
    <w:rsid w:val="00077152"/>
    <w:rsid w:val="00082F25"/>
    <w:rsid w:val="00082F8E"/>
    <w:rsid w:val="0008312D"/>
    <w:rsid w:val="00086A2C"/>
    <w:rsid w:val="000873AC"/>
    <w:rsid w:val="000875FE"/>
    <w:rsid w:val="000878FD"/>
    <w:rsid w:val="0009035E"/>
    <w:rsid w:val="0009379E"/>
    <w:rsid w:val="0009691B"/>
    <w:rsid w:val="000976D9"/>
    <w:rsid w:val="000A0158"/>
    <w:rsid w:val="000A08A1"/>
    <w:rsid w:val="000A1EF6"/>
    <w:rsid w:val="000A2FA0"/>
    <w:rsid w:val="000A2FC7"/>
    <w:rsid w:val="000A3A3F"/>
    <w:rsid w:val="000A3FA8"/>
    <w:rsid w:val="000A4529"/>
    <w:rsid w:val="000A5890"/>
    <w:rsid w:val="000A5C32"/>
    <w:rsid w:val="000B12B1"/>
    <w:rsid w:val="000B1C04"/>
    <w:rsid w:val="000B1DB9"/>
    <w:rsid w:val="000B1F8E"/>
    <w:rsid w:val="000B3973"/>
    <w:rsid w:val="000B697A"/>
    <w:rsid w:val="000B7C64"/>
    <w:rsid w:val="000C2180"/>
    <w:rsid w:val="000C521D"/>
    <w:rsid w:val="000C58EF"/>
    <w:rsid w:val="000D06C7"/>
    <w:rsid w:val="000D0866"/>
    <w:rsid w:val="000D138D"/>
    <w:rsid w:val="000D578A"/>
    <w:rsid w:val="000D74B8"/>
    <w:rsid w:val="000D780C"/>
    <w:rsid w:val="000E199A"/>
    <w:rsid w:val="000E1BD5"/>
    <w:rsid w:val="000E20B6"/>
    <w:rsid w:val="000E21C1"/>
    <w:rsid w:val="000E2DB0"/>
    <w:rsid w:val="000E2F41"/>
    <w:rsid w:val="000E5039"/>
    <w:rsid w:val="000E65E4"/>
    <w:rsid w:val="000F07B6"/>
    <w:rsid w:val="000F3317"/>
    <w:rsid w:val="000F367C"/>
    <w:rsid w:val="00103B04"/>
    <w:rsid w:val="00104F72"/>
    <w:rsid w:val="001063C3"/>
    <w:rsid w:val="00107286"/>
    <w:rsid w:val="001072A1"/>
    <w:rsid w:val="00107A52"/>
    <w:rsid w:val="00107BE6"/>
    <w:rsid w:val="00113261"/>
    <w:rsid w:val="00116E01"/>
    <w:rsid w:val="00117E88"/>
    <w:rsid w:val="0012188A"/>
    <w:rsid w:val="00122532"/>
    <w:rsid w:val="001256E9"/>
    <w:rsid w:val="00126BCD"/>
    <w:rsid w:val="00127DAF"/>
    <w:rsid w:val="001355B7"/>
    <w:rsid w:val="00136F43"/>
    <w:rsid w:val="00142401"/>
    <w:rsid w:val="00147F2F"/>
    <w:rsid w:val="00151E3F"/>
    <w:rsid w:val="00152961"/>
    <w:rsid w:val="001539D2"/>
    <w:rsid w:val="00153C7B"/>
    <w:rsid w:val="00153C9C"/>
    <w:rsid w:val="00154194"/>
    <w:rsid w:val="001543D9"/>
    <w:rsid w:val="00157FC5"/>
    <w:rsid w:val="00160778"/>
    <w:rsid w:val="001615C4"/>
    <w:rsid w:val="00161F6E"/>
    <w:rsid w:val="00162862"/>
    <w:rsid w:val="00162C49"/>
    <w:rsid w:val="00164F0F"/>
    <w:rsid w:val="00165389"/>
    <w:rsid w:val="001669F4"/>
    <w:rsid w:val="001675E2"/>
    <w:rsid w:val="001679C7"/>
    <w:rsid w:val="00172243"/>
    <w:rsid w:val="0017607A"/>
    <w:rsid w:val="001818C4"/>
    <w:rsid w:val="0018244C"/>
    <w:rsid w:val="0018323B"/>
    <w:rsid w:val="001879FC"/>
    <w:rsid w:val="00190249"/>
    <w:rsid w:val="001909E1"/>
    <w:rsid w:val="00190A81"/>
    <w:rsid w:val="00191998"/>
    <w:rsid w:val="001925DA"/>
    <w:rsid w:val="001945E4"/>
    <w:rsid w:val="0019594F"/>
    <w:rsid w:val="001A0D0A"/>
    <w:rsid w:val="001A1E53"/>
    <w:rsid w:val="001A2039"/>
    <w:rsid w:val="001A2D96"/>
    <w:rsid w:val="001A5FE3"/>
    <w:rsid w:val="001B1EB6"/>
    <w:rsid w:val="001B2623"/>
    <w:rsid w:val="001B28D4"/>
    <w:rsid w:val="001B2BDB"/>
    <w:rsid w:val="001B3D28"/>
    <w:rsid w:val="001B442D"/>
    <w:rsid w:val="001B5757"/>
    <w:rsid w:val="001B5DC8"/>
    <w:rsid w:val="001B67D8"/>
    <w:rsid w:val="001B6C39"/>
    <w:rsid w:val="001C0384"/>
    <w:rsid w:val="001C20C5"/>
    <w:rsid w:val="001C26EA"/>
    <w:rsid w:val="001C40D2"/>
    <w:rsid w:val="001C4EBC"/>
    <w:rsid w:val="001C531C"/>
    <w:rsid w:val="001C583E"/>
    <w:rsid w:val="001C6277"/>
    <w:rsid w:val="001C67FC"/>
    <w:rsid w:val="001C728E"/>
    <w:rsid w:val="001C754B"/>
    <w:rsid w:val="001C7D91"/>
    <w:rsid w:val="001D01DB"/>
    <w:rsid w:val="001D1BC4"/>
    <w:rsid w:val="001D5CD0"/>
    <w:rsid w:val="001D7C41"/>
    <w:rsid w:val="001E0F73"/>
    <w:rsid w:val="001E15D0"/>
    <w:rsid w:val="001E23DE"/>
    <w:rsid w:val="001E3DB0"/>
    <w:rsid w:val="001E42C0"/>
    <w:rsid w:val="001E6420"/>
    <w:rsid w:val="001E68FD"/>
    <w:rsid w:val="001F0773"/>
    <w:rsid w:val="001F339C"/>
    <w:rsid w:val="001F3DFA"/>
    <w:rsid w:val="00204CB5"/>
    <w:rsid w:val="002057D5"/>
    <w:rsid w:val="00207284"/>
    <w:rsid w:val="002073FF"/>
    <w:rsid w:val="002106B9"/>
    <w:rsid w:val="002107B5"/>
    <w:rsid w:val="0021576D"/>
    <w:rsid w:val="00220F52"/>
    <w:rsid w:val="002218EC"/>
    <w:rsid w:val="002220EB"/>
    <w:rsid w:val="002254B6"/>
    <w:rsid w:val="00230EF8"/>
    <w:rsid w:val="0023570B"/>
    <w:rsid w:val="0023741D"/>
    <w:rsid w:val="00237A02"/>
    <w:rsid w:val="00237ABC"/>
    <w:rsid w:val="002416BC"/>
    <w:rsid w:val="002426B9"/>
    <w:rsid w:val="00242750"/>
    <w:rsid w:val="00244014"/>
    <w:rsid w:val="00246545"/>
    <w:rsid w:val="002469D0"/>
    <w:rsid w:val="00247F26"/>
    <w:rsid w:val="002509CF"/>
    <w:rsid w:val="00251AC6"/>
    <w:rsid w:val="00251AE3"/>
    <w:rsid w:val="00251C5D"/>
    <w:rsid w:val="002566EF"/>
    <w:rsid w:val="002603AE"/>
    <w:rsid w:val="00261AB0"/>
    <w:rsid w:val="0026200B"/>
    <w:rsid w:val="00263B08"/>
    <w:rsid w:val="002641DA"/>
    <w:rsid w:val="00267A8A"/>
    <w:rsid w:val="00270B9F"/>
    <w:rsid w:val="0027115C"/>
    <w:rsid w:val="00271A1F"/>
    <w:rsid w:val="00272F9E"/>
    <w:rsid w:val="00274F00"/>
    <w:rsid w:val="00284CB5"/>
    <w:rsid w:val="00287A7D"/>
    <w:rsid w:val="00292268"/>
    <w:rsid w:val="002927A3"/>
    <w:rsid w:val="00293680"/>
    <w:rsid w:val="0029569D"/>
    <w:rsid w:val="002975FB"/>
    <w:rsid w:val="00297BBB"/>
    <w:rsid w:val="002A2EDE"/>
    <w:rsid w:val="002A3E35"/>
    <w:rsid w:val="002A452E"/>
    <w:rsid w:val="002A4852"/>
    <w:rsid w:val="002B1307"/>
    <w:rsid w:val="002B1C73"/>
    <w:rsid w:val="002B46B6"/>
    <w:rsid w:val="002B7BF4"/>
    <w:rsid w:val="002C04DD"/>
    <w:rsid w:val="002C1B57"/>
    <w:rsid w:val="002C2FC2"/>
    <w:rsid w:val="002C4C47"/>
    <w:rsid w:val="002C54F1"/>
    <w:rsid w:val="002C5E4C"/>
    <w:rsid w:val="002C6D29"/>
    <w:rsid w:val="002C7A7F"/>
    <w:rsid w:val="002D2E39"/>
    <w:rsid w:val="002D3182"/>
    <w:rsid w:val="002D54A3"/>
    <w:rsid w:val="002E17D4"/>
    <w:rsid w:val="002E7129"/>
    <w:rsid w:val="002F0CCC"/>
    <w:rsid w:val="002F0EBC"/>
    <w:rsid w:val="002F18BE"/>
    <w:rsid w:val="002F219A"/>
    <w:rsid w:val="002F4C7E"/>
    <w:rsid w:val="00301852"/>
    <w:rsid w:val="003059FC"/>
    <w:rsid w:val="003064EF"/>
    <w:rsid w:val="00311EFD"/>
    <w:rsid w:val="0031518F"/>
    <w:rsid w:val="00317377"/>
    <w:rsid w:val="003227CA"/>
    <w:rsid w:val="003239AC"/>
    <w:rsid w:val="003240B9"/>
    <w:rsid w:val="003244F6"/>
    <w:rsid w:val="00325B91"/>
    <w:rsid w:val="00326943"/>
    <w:rsid w:val="003309CD"/>
    <w:rsid w:val="003318EC"/>
    <w:rsid w:val="00332D16"/>
    <w:rsid w:val="003407FD"/>
    <w:rsid w:val="0034225E"/>
    <w:rsid w:val="00345EC5"/>
    <w:rsid w:val="00346AEC"/>
    <w:rsid w:val="0034749B"/>
    <w:rsid w:val="003500B8"/>
    <w:rsid w:val="00351D57"/>
    <w:rsid w:val="003522D7"/>
    <w:rsid w:val="00352D67"/>
    <w:rsid w:val="00353F10"/>
    <w:rsid w:val="00357363"/>
    <w:rsid w:val="003579B4"/>
    <w:rsid w:val="003607FF"/>
    <w:rsid w:val="0036332F"/>
    <w:rsid w:val="00364F52"/>
    <w:rsid w:val="0036513A"/>
    <w:rsid w:val="0037330E"/>
    <w:rsid w:val="00373567"/>
    <w:rsid w:val="003756E8"/>
    <w:rsid w:val="00375E4A"/>
    <w:rsid w:val="00377560"/>
    <w:rsid w:val="00381C1A"/>
    <w:rsid w:val="00381E07"/>
    <w:rsid w:val="00382076"/>
    <w:rsid w:val="00383F5F"/>
    <w:rsid w:val="0038665A"/>
    <w:rsid w:val="0038676D"/>
    <w:rsid w:val="003914A5"/>
    <w:rsid w:val="00392C53"/>
    <w:rsid w:val="00392CFA"/>
    <w:rsid w:val="003939C6"/>
    <w:rsid w:val="00395C1A"/>
    <w:rsid w:val="003961F1"/>
    <w:rsid w:val="003978DA"/>
    <w:rsid w:val="003A280A"/>
    <w:rsid w:val="003A58C1"/>
    <w:rsid w:val="003A5FBB"/>
    <w:rsid w:val="003B0BF0"/>
    <w:rsid w:val="003B2B37"/>
    <w:rsid w:val="003B55AD"/>
    <w:rsid w:val="003C2B42"/>
    <w:rsid w:val="003C4298"/>
    <w:rsid w:val="003C4CE7"/>
    <w:rsid w:val="003C5C0A"/>
    <w:rsid w:val="003C5C17"/>
    <w:rsid w:val="003C5E9B"/>
    <w:rsid w:val="003C706E"/>
    <w:rsid w:val="003C7A23"/>
    <w:rsid w:val="003D6895"/>
    <w:rsid w:val="003E678C"/>
    <w:rsid w:val="003F0B99"/>
    <w:rsid w:val="003F0FFD"/>
    <w:rsid w:val="003F2CC1"/>
    <w:rsid w:val="003F2F66"/>
    <w:rsid w:val="003F65E0"/>
    <w:rsid w:val="004030A7"/>
    <w:rsid w:val="004038AD"/>
    <w:rsid w:val="0040520A"/>
    <w:rsid w:val="00411234"/>
    <w:rsid w:val="00412E97"/>
    <w:rsid w:val="004174BC"/>
    <w:rsid w:val="00420217"/>
    <w:rsid w:val="00426808"/>
    <w:rsid w:val="00426E06"/>
    <w:rsid w:val="004309A3"/>
    <w:rsid w:val="004318AD"/>
    <w:rsid w:val="00431B08"/>
    <w:rsid w:val="00432F91"/>
    <w:rsid w:val="00435ACD"/>
    <w:rsid w:val="00435B24"/>
    <w:rsid w:val="0043694A"/>
    <w:rsid w:val="004416D8"/>
    <w:rsid w:val="004419BE"/>
    <w:rsid w:val="00442FF2"/>
    <w:rsid w:val="004475C5"/>
    <w:rsid w:val="00450DB3"/>
    <w:rsid w:val="0045361F"/>
    <w:rsid w:val="0045513C"/>
    <w:rsid w:val="00457184"/>
    <w:rsid w:val="00460892"/>
    <w:rsid w:val="0046194E"/>
    <w:rsid w:val="00465A66"/>
    <w:rsid w:val="00472E7F"/>
    <w:rsid w:val="00473FA3"/>
    <w:rsid w:val="0047436B"/>
    <w:rsid w:val="0048224A"/>
    <w:rsid w:val="004822F6"/>
    <w:rsid w:val="00483029"/>
    <w:rsid w:val="004846E3"/>
    <w:rsid w:val="00484AE6"/>
    <w:rsid w:val="00484C84"/>
    <w:rsid w:val="00490928"/>
    <w:rsid w:val="00492594"/>
    <w:rsid w:val="00493989"/>
    <w:rsid w:val="0049758B"/>
    <w:rsid w:val="004A01FA"/>
    <w:rsid w:val="004A04B5"/>
    <w:rsid w:val="004A07CB"/>
    <w:rsid w:val="004A1A63"/>
    <w:rsid w:val="004A65CD"/>
    <w:rsid w:val="004A6CFF"/>
    <w:rsid w:val="004A6F2C"/>
    <w:rsid w:val="004A7978"/>
    <w:rsid w:val="004B284A"/>
    <w:rsid w:val="004B598C"/>
    <w:rsid w:val="004C01D9"/>
    <w:rsid w:val="004C0631"/>
    <w:rsid w:val="004C1755"/>
    <w:rsid w:val="004C4483"/>
    <w:rsid w:val="004C5B3E"/>
    <w:rsid w:val="004C6621"/>
    <w:rsid w:val="004C6AF5"/>
    <w:rsid w:val="004D3672"/>
    <w:rsid w:val="004D3AB4"/>
    <w:rsid w:val="004D3E92"/>
    <w:rsid w:val="004D5454"/>
    <w:rsid w:val="004D5EDB"/>
    <w:rsid w:val="004D6863"/>
    <w:rsid w:val="004D7CA6"/>
    <w:rsid w:val="004D7FAE"/>
    <w:rsid w:val="004E1F39"/>
    <w:rsid w:val="004E2B83"/>
    <w:rsid w:val="004E70AE"/>
    <w:rsid w:val="004F30C2"/>
    <w:rsid w:val="004F4478"/>
    <w:rsid w:val="004F5D14"/>
    <w:rsid w:val="00500707"/>
    <w:rsid w:val="00502C43"/>
    <w:rsid w:val="005050CE"/>
    <w:rsid w:val="0050678F"/>
    <w:rsid w:val="00507A02"/>
    <w:rsid w:val="0051006A"/>
    <w:rsid w:val="005135EA"/>
    <w:rsid w:val="00514BCE"/>
    <w:rsid w:val="0051636F"/>
    <w:rsid w:val="0051714C"/>
    <w:rsid w:val="005243F8"/>
    <w:rsid w:val="005261DB"/>
    <w:rsid w:val="00526317"/>
    <w:rsid w:val="005318FF"/>
    <w:rsid w:val="005336BF"/>
    <w:rsid w:val="0053627A"/>
    <w:rsid w:val="00540D06"/>
    <w:rsid w:val="0054245D"/>
    <w:rsid w:val="00542761"/>
    <w:rsid w:val="00544872"/>
    <w:rsid w:val="00550EB4"/>
    <w:rsid w:val="00550FFB"/>
    <w:rsid w:val="005510D8"/>
    <w:rsid w:val="00552466"/>
    <w:rsid w:val="005528EC"/>
    <w:rsid w:val="00552CEF"/>
    <w:rsid w:val="005542AF"/>
    <w:rsid w:val="00554FCC"/>
    <w:rsid w:val="00555368"/>
    <w:rsid w:val="00555BAD"/>
    <w:rsid w:val="0055726C"/>
    <w:rsid w:val="0056072B"/>
    <w:rsid w:val="005610C7"/>
    <w:rsid w:val="00564118"/>
    <w:rsid w:val="00572CA1"/>
    <w:rsid w:val="0057397D"/>
    <w:rsid w:val="00573F82"/>
    <w:rsid w:val="00575A7C"/>
    <w:rsid w:val="00577C51"/>
    <w:rsid w:val="00580CD8"/>
    <w:rsid w:val="00580E8A"/>
    <w:rsid w:val="00580FD5"/>
    <w:rsid w:val="00581663"/>
    <w:rsid w:val="005870C1"/>
    <w:rsid w:val="00587DF6"/>
    <w:rsid w:val="0059328F"/>
    <w:rsid w:val="005939B2"/>
    <w:rsid w:val="00595206"/>
    <w:rsid w:val="005A14C4"/>
    <w:rsid w:val="005A2203"/>
    <w:rsid w:val="005A42CF"/>
    <w:rsid w:val="005B0AC6"/>
    <w:rsid w:val="005B1AD0"/>
    <w:rsid w:val="005C1081"/>
    <w:rsid w:val="005C119C"/>
    <w:rsid w:val="005C2F1C"/>
    <w:rsid w:val="005C4090"/>
    <w:rsid w:val="005C41CA"/>
    <w:rsid w:val="005C4245"/>
    <w:rsid w:val="005C588E"/>
    <w:rsid w:val="005C5E6E"/>
    <w:rsid w:val="005C64BD"/>
    <w:rsid w:val="005C7EFF"/>
    <w:rsid w:val="005D1D5A"/>
    <w:rsid w:val="005D2836"/>
    <w:rsid w:val="005D2F94"/>
    <w:rsid w:val="005D3094"/>
    <w:rsid w:val="005D3F85"/>
    <w:rsid w:val="005D7A6E"/>
    <w:rsid w:val="005E03F4"/>
    <w:rsid w:val="005E1F6D"/>
    <w:rsid w:val="005E6AB0"/>
    <w:rsid w:val="005F2890"/>
    <w:rsid w:val="005F366F"/>
    <w:rsid w:val="005F38D9"/>
    <w:rsid w:val="005F4890"/>
    <w:rsid w:val="005F5E2F"/>
    <w:rsid w:val="005F71B9"/>
    <w:rsid w:val="005F7B60"/>
    <w:rsid w:val="0060122A"/>
    <w:rsid w:val="00601F69"/>
    <w:rsid w:val="006047A6"/>
    <w:rsid w:val="00605DD0"/>
    <w:rsid w:val="006101CD"/>
    <w:rsid w:val="006111B6"/>
    <w:rsid w:val="0061189B"/>
    <w:rsid w:val="006151B9"/>
    <w:rsid w:val="00615EBE"/>
    <w:rsid w:val="006171DC"/>
    <w:rsid w:val="00626A04"/>
    <w:rsid w:val="006275A9"/>
    <w:rsid w:val="006303FA"/>
    <w:rsid w:val="00630DF7"/>
    <w:rsid w:val="00635042"/>
    <w:rsid w:val="006354E0"/>
    <w:rsid w:val="00636154"/>
    <w:rsid w:val="00637625"/>
    <w:rsid w:val="0064051B"/>
    <w:rsid w:val="0064767B"/>
    <w:rsid w:val="00654104"/>
    <w:rsid w:val="00654F78"/>
    <w:rsid w:val="006574A4"/>
    <w:rsid w:val="00660B50"/>
    <w:rsid w:val="00660F14"/>
    <w:rsid w:val="00662771"/>
    <w:rsid w:val="006638BF"/>
    <w:rsid w:val="0066451A"/>
    <w:rsid w:val="00666D05"/>
    <w:rsid w:val="00667C46"/>
    <w:rsid w:val="00670C52"/>
    <w:rsid w:val="00670CB8"/>
    <w:rsid w:val="00673060"/>
    <w:rsid w:val="0067378B"/>
    <w:rsid w:val="00674430"/>
    <w:rsid w:val="00675F80"/>
    <w:rsid w:val="006815DC"/>
    <w:rsid w:val="00681672"/>
    <w:rsid w:val="006838DD"/>
    <w:rsid w:val="00687CFA"/>
    <w:rsid w:val="00690A41"/>
    <w:rsid w:val="006942BC"/>
    <w:rsid w:val="00696CE3"/>
    <w:rsid w:val="00697C2F"/>
    <w:rsid w:val="006A6EED"/>
    <w:rsid w:val="006A7F01"/>
    <w:rsid w:val="006B1371"/>
    <w:rsid w:val="006B1FEA"/>
    <w:rsid w:val="006B246F"/>
    <w:rsid w:val="006B25D4"/>
    <w:rsid w:val="006B324A"/>
    <w:rsid w:val="006C5FFC"/>
    <w:rsid w:val="006D398C"/>
    <w:rsid w:val="006D3FD2"/>
    <w:rsid w:val="006D456A"/>
    <w:rsid w:val="006D4C74"/>
    <w:rsid w:val="006D548A"/>
    <w:rsid w:val="006D7867"/>
    <w:rsid w:val="006E1976"/>
    <w:rsid w:val="006E1DCC"/>
    <w:rsid w:val="006E3706"/>
    <w:rsid w:val="006E4C67"/>
    <w:rsid w:val="006E76FD"/>
    <w:rsid w:val="006F28A3"/>
    <w:rsid w:val="006F3576"/>
    <w:rsid w:val="006F59E3"/>
    <w:rsid w:val="0070004E"/>
    <w:rsid w:val="0070217F"/>
    <w:rsid w:val="007039F0"/>
    <w:rsid w:val="00704C88"/>
    <w:rsid w:val="00705CCF"/>
    <w:rsid w:val="00707FCB"/>
    <w:rsid w:val="00710BB9"/>
    <w:rsid w:val="00713149"/>
    <w:rsid w:val="00713DE3"/>
    <w:rsid w:val="007140A4"/>
    <w:rsid w:val="007179F4"/>
    <w:rsid w:val="00725F4B"/>
    <w:rsid w:val="00727CA4"/>
    <w:rsid w:val="00730162"/>
    <w:rsid w:val="00730B93"/>
    <w:rsid w:val="00733C84"/>
    <w:rsid w:val="00736013"/>
    <w:rsid w:val="00740A10"/>
    <w:rsid w:val="00741479"/>
    <w:rsid w:val="007468BD"/>
    <w:rsid w:val="00747AA2"/>
    <w:rsid w:val="007520B0"/>
    <w:rsid w:val="00753380"/>
    <w:rsid w:val="0075614E"/>
    <w:rsid w:val="00757AC8"/>
    <w:rsid w:val="00760212"/>
    <w:rsid w:val="007603C4"/>
    <w:rsid w:val="00760644"/>
    <w:rsid w:val="00760726"/>
    <w:rsid w:val="00760F2D"/>
    <w:rsid w:val="007623DB"/>
    <w:rsid w:val="00762760"/>
    <w:rsid w:val="00763767"/>
    <w:rsid w:val="00763A60"/>
    <w:rsid w:val="00763D08"/>
    <w:rsid w:val="00763FB9"/>
    <w:rsid w:val="00766E5E"/>
    <w:rsid w:val="00771079"/>
    <w:rsid w:val="00771DE8"/>
    <w:rsid w:val="00772158"/>
    <w:rsid w:val="0077249D"/>
    <w:rsid w:val="00772B33"/>
    <w:rsid w:val="0077664E"/>
    <w:rsid w:val="007825A7"/>
    <w:rsid w:val="00783C14"/>
    <w:rsid w:val="00783FA7"/>
    <w:rsid w:val="00785730"/>
    <w:rsid w:val="007864BC"/>
    <w:rsid w:val="00786A3A"/>
    <w:rsid w:val="00792BC8"/>
    <w:rsid w:val="00792CF4"/>
    <w:rsid w:val="007A1DA6"/>
    <w:rsid w:val="007A3CA1"/>
    <w:rsid w:val="007A45FB"/>
    <w:rsid w:val="007A4EFF"/>
    <w:rsid w:val="007A6146"/>
    <w:rsid w:val="007B2586"/>
    <w:rsid w:val="007B2BAD"/>
    <w:rsid w:val="007B2F62"/>
    <w:rsid w:val="007B4EC0"/>
    <w:rsid w:val="007B5336"/>
    <w:rsid w:val="007B53B2"/>
    <w:rsid w:val="007B5FFF"/>
    <w:rsid w:val="007B6278"/>
    <w:rsid w:val="007B7AF3"/>
    <w:rsid w:val="007C0A9E"/>
    <w:rsid w:val="007C1F75"/>
    <w:rsid w:val="007C3232"/>
    <w:rsid w:val="007C5609"/>
    <w:rsid w:val="007C7BF3"/>
    <w:rsid w:val="007D19AF"/>
    <w:rsid w:val="007E34EC"/>
    <w:rsid w:val="007F0877"/>
    <w:rsid w:val="007F1964"/>
    <w:rsid w:val="007F2709"/>
    <w:rsid w:val="007F2D73"/>
    <w:rsid w:val="007F3D52"/>
    <w:rsid w:val="007F538C"/>
    <w:rsid w:val="007F794C"/>
    <w:rsid w:val="008014DA"/>
    <w:rsid w:val="0080501D"/>
    <w:rsid w:val="00805797"/>
    <w:rsid w:val="008078EA"/>
    <w:rsid w:val="00810E76"/>
    <w:rsid w:val="00811204"/>
    <w:rsid w:val="008130AA"/>
    <w:rsid w:val="00813A11"/>
    <w:rsid w:val="00813A33"/>
    <w:rsid w:val="00814AE1"/>
    <w:rsid w:val="008156BB"/>
    <w:rsid w:val="00821C0A"/>
    <w:rsid w:val="00821E54"/>
    <w:rsid w:val="008254BC"/>
    <w:rsid w:val="008259DA"/>
    <w:rsid w:val="008274C6"/>
    <w:rsid w:val="008317CD"/>
    <w:rsid w:val="0083637E"/>
    <w:rsid w:val="0083753B"/>
    <w:rsid w:val="00840600"/>
    <w:rsid w:val="008406E9"/>
    <w:rsid w:val="008421F8"/>
    <w:rsid w:val="00844114"/>
    <w:rsid w:val="00844E64"/>
    <w:rsid w:val="00847B0A"/>
    <w:rsid w:val="00851875"/>
    <w:rsid w:val="00854F6E"/>
    <w:rsid w:val="00855102"/>
    <w:rsid w:val="008564C7"/>
    <w:rsid w:val="00860AD1"/>
    <w:rsid w:val="00860D33"/>
    <w:rsid w:val="008613B4"/>
    <w:rsid w:val="00865C24"/>
    <w:rsid w:val="00867988"/>
    <w:rsid w:val="00867A3D"/>
    <w:rsid w:val="00867AD0"/>
    <w:rsid w:val="008758BC"/>
    <w:rsid w:val="00875C31"/>
    <w:rsid w:val="00876658"/>
    <w:rsid w:val="00877EBE"/>
    <w:rsid w:val="008846FC"/>
    <w:rsid w:val="008855B8"/>
    <w:rsid w:val="00887D21"/>
    <w:rsid w:val="00890F80"/>
    <w:rsid w:val="0089105B"/>
    <w:rsid w:val="00891D17"/>
    <w:rsid w:val="0089788E"/>
    <w:rsid w:val="008A1AF8"/>
    <w:rsid w:val="008A42F4"/>
    <w:rsid w:val="008A4675"/>
    <w:rsid w:val="008A5E7F"/>
    <w:rsid w:val="008B0DCD"/>
    <w:rsid w:val="008B2F22"/>
    <w:rsid w:val="008B5AF3"/>
    <w:rsid w:val="008B5F95"/>
    <w:rsid w:val="008B7567"/>
    <w:rsid w:val="008B7930"/>
    <w:rsid w:val="008C1120"/>
    <w:rsid w:val="008C405B"/>
    <w:rsid w:val="008C4995"/>
    <w:rsid w:val="008D1F91"/>
    <w:rsid w:val="008D27C9"/>
    <w:rsid w:val="008D335C"/>
    <w:rsid w:val="008D5864"/>
    <w:rsid w:val="008E0C2B"/>
    <w:rsid w:val="008E34CB"/>
    <w:rsid w:val="008E4CBE"/>
    <w:rsid w:val="008E746B"/>
    <w:rsid w:val="008F15C1"/>
    <w:rsid w:val="008F1BEC"/>
    <w:rsid w:val="008F2FBA"/>
    <w:rsid w:val="008F3D6C"/>
    <w:rsid w:val="008F6515"/>
    <w:rsid w:val="00900D6A"/>
    <w:rsid w:val="00905C55"/>
    <w:rsid w:val="009065E9"/>
    <w:rsid w:val="00906C8C"/>
    <w:rsid w:val="00907233"/>
    <w:rsid w:val="009076CC"/>
    <w:rsid w:val="00907B08"/>
    <w:rsid w:val="00910985"/>
    <w:rsid w:val="00913154"/>
    <w:rsid w:val="00916AC3"/>
    <w:rsid w:val="00922025"/>
    <w:rsid w:val="009231B4"/>
    <w:rsid w:val="00935650"/>
    <w:rsid w:val="00935F16"/>
    <w:rsid w:val="00937942"/>
    <w:rsid w:val="00943AF3"/>
    <w:rsid w:val="00944391"/>
    <w:rsid w:val="009457B8"/>
    <w:rsid w:val="00945D80"/>
    <w:rsid w:val="009460AC"/>
    <w:rsid w:val="00947CF9"/>
    <w:rsid w:val="009509A4"/>
    <w:rsid w:val="0095520A"/>
    <w:rsid w:val="00957040"/>
    <w:rsid w:val="009631E9"/>
    <w:rsid w:val="009662C4"/>
    <w:rsid w:val="00973725"/>
    <w:rsid w:val="00977EF9"/>
    <w:rsid w:val="0098101D"/>
    <w:rsid w:val="009849A0"/>
    <w:rsid w:val="00991F7A"/>
    <w:rsid w:val="009926B0"/>
    <w:rsid w:val="00993850"/>
    <w:rsid w:val="0099452C"/>
    <w:rsid w:val="0099606C"/>
    <w:rsid w:val="00996196"/>
    <w:rsid w:val="00996D28"/>
    <w:rsid w:val="00997796"/>
    <w:rsid w:val="00997DE1"/>
    <w:rsid w:val="009B089E"/>
    <w:rsid w:val="009B0904"/>
    <w:rsid w:val="009B1B86"/>
    <w:rsid w:val="009B4B99"/>
    <w:rsid w:val="009C1376"/>
    <w:rsid w:val="009C1F45"/>
    <w:rsid w:val="009D161E"/>
    <w:rsid w:val="009D1C38"/>
    <w:rsid w:val="009D4D9F"/>
    <w:rsid w:val="009D63DE"/>
    <w:rsid w:val="009D64C1"/>
    <w:rsid w:val="009D75E8"/>
    <w:rsid w:val="009D7E1C"/>
    <w:rsid w:val="009E02D3"/>
    <w:rsid w:val="009E14BA"/>
    <w:rsid w:val="009E360E"/>
    <w:rsid w:val="009E56E5"/>
    <w:rsid w:val="009E6875"/>
    <w:rsid w:val="009E6BB7"/>
    <w:rsid w:val="009E6D99"/>
    <w:rsid w:val="009F1FD3"/>
    <w:rsid w:val="009F33CB"/>
    <w:rsid w:val="009F5913"/>
    <w:rsid w:val="009F662C"/>
    <w:rsid w:val="00A008BE"/>
    <w:rsid w:val="00A00B70"/>
    <w:rsid w:val="00A04B82"/>
    <w:rsid w:val="00A0567B"/>
    <w:rsid w:val="00A06535"/>
    <w:rsid w:val="00A06D9C"/>
    <w:rsid w:val="00A07169"/>
    <w:rsid w:val="00A07970"/>
    <w:rsid w:val="00A10AC2"/>
    <w:rsid w:val="00A12BBF"/>
    <w:rsid w:val="00A13432"/>
    <w:rsid w:val="00A13EA4"/>
    <w:rsid w:val="00A20DF2"/>
    <w:rsid w:val="00A22E26"/>
    <w:rsid w:val="00A230D0"/>
    <w:rsid w:val="00A23D15"/>
    <w:rsid w:val="00A24869"/>
    <w:rsid w:val="00A26642"/>
    <w:rsid w:val="00A27D67"/>
    <w:rsid w:val="00A42B10"/>
    <w:rsid w:val="00A42D6C"/>
    <w:rsid w:val="00A430F6"/>
    <w:rsid w:val="00A440D2"/>
    <w:rsid w:val="00A52A5F"/>
    <w:rsid w:val="00A55391"/>
    <w:rsid w:val="00A56630"/>
    <w:rsid w:val="00A57167"/>
    <w:rsid w:val="00A6295C"/>
    <w:rsid w:val="00A6340F"/>
    <w:rsid w:val="00A70E86"/>
    <w:rsid w:val="00A71CCB"/>
    <w:rsid w:val="00A723EA"/>
    <w:rsid w:val="00A766CC"/>
    <w:rsid w:val="00A80E1A"/>
    <w:rsid w:val="00A822B9"/>
    <w:rsid w:val="00A82AEF"/>
    <w:rsid w:val="00A852BC"/>
    <w:rsid w:val="00A857B1"/>
    <w:rsid w:val="00A87975"/>
    <w:rsid w:val="00A934BA"/>
    <w:rsid w:val="00A966D3"/>
    <w:rsid w:val="00A97498"/>
    <w:rsid w:val="00AA0022"/>
    <w:rsid w:val="00AA011B"/>
    <w:rsid w:val="00AA26D7"/>
    <w:rsid w:val="00AA2B00"/>
    <w:rsid w:val="00AA3964"/>
    <w:rsid w:val="00AA5EE3"/>
    <w:rsid w:val="00AA6C60"/>
    <w:rsid w:val="00AA717B"/>
    <w:rsid w:val="00AA7286"/>
    <w:rsid w:val="00AB093C"/>
    <w:rsid w:val="00AB1B08"/>
    <w:rsid w:val="00AB207B"/>
    <w:rsid w:val="00AB5BB2"/>
    <w:rsid w:val="00AB5EAA"/>
    <w:rsid w:val="00AC0CAB"/>
    <w:rsid w:val="00AC2689"/>
    <w:rsid w:val="00AC7B72"/>
    <w:rsid w:val="00AD34A3"/>
    <w:rsid w:val="00AD4FA9"/>
    <w:rsid w:val="00AE5755"/>
    <w:rsid w:val="00AE7455"/>
    <w:rsid w:val="00AE7CFB"/>
    <w:rsid w:val="00AE7FDF"/>
    <w:rsid w:val="00AF099C"/>
    <w:rsid w:val="00AF0DB1"/>
    <w:rsid w:val="00AF21BA"/>
    <w:rsid w:val="00AF5073"/>
    <w:rsid w:val="00AF58C1"/>
    <w:rsid w:val="00AF5EA6"/>
    <w:rsid w:val="00B00D3F"/>
    <w:rsid w:val="00B02169"/>
    <w:rsid w:val="00B02F7C"/>
    <w:rsid w:val="00B046BA"/>
    <w:rsid w:val="00B0580E"/>
    <w:rsid w:val="00B0618B"/>
    <w:rsid w:val="00B07756"/>
    <w:rsid w:val="00B110D3"/>
    <w:rsid w:val="00B12B79"/>
    <w:rsid w:val="00B1764E"/>
    <w:rsid w:val="00B202B2"/>
    <w:rsid w:val="00B2103B"/>
    <w:rsid w:val="00B23B35"/>
    <w:rsid w:val="00B24027"/>
    <w:rsid w:val="00B25E52"/>
    <w:rsid w:val="00B3146C"/>
    <w:rsid w:val="00B34A46"/>
    <w:rsid w:val="00B34DE1"/>
    <w:rsid w:val="00B37B7E"/>
    <w:rsid w:val="00B37EDF"/>
    <w:rsid w:val="00B41592"/>
    <w:rsid w:val="00B4226A"/>
    <w:rsid w:val="00B50BD7"/>
    <w:rsid w:val="00B519B3"/>
    <w:rsid w:val="00B54666"/>
    <w:rsid w:val="00B560E6"/>
    <w:rsid w:val="00B60665"/>
    <w:rsid w:val="00B606C5"/>
    <w:rsid w:val="00B63B35"/>
    <w:rsid w:val="00B63D70"/>
    <w:rsid w:val="00B66B5C"/>
    <w:rsid w:val="00B67471"/>
    <w:rsid w:val="00B73124"/>
    <w:rsid w:val="00B7330E"/>
    <w:rsid w:val="00B7335F"/>
    <w:rsid w:val="00B73D1E"/>
    <w:rsid w:val="00B73E6B"/>
    <w:rsid w:val="00B7579C"/>
    <w:rsid w:val="00B81CAC"/>
    <w:rsid w:val="00B829B4"/>
    <w:rsid w:val="00B83764"/>
    <w:rsid w:val="00B90B1B"/>
    <w:rsid w:val="00B90F78"/>
    <w:rsid w:val="00B91B61"/>
    <w:rsid w:val="00B93ADB"/>
    <w:rsid w:val="00B93EE6"/>
    <w:rsid w:val="00B95A8F"/>
    <w:rsid w:val="00B95C3B"/>
    <w:rsid w:val="00BA0EB2"/>
    <w:rsid w:val="00BA12BC"/>
    <w:rsid w:val="00BA3FE0"/>
    <w:rsid w:val="00BA6DFE"/>
    <w:rsid w:val="00BB55BA"/>
    <w:rsid w:val="00BB7E8E"/>
    <w:rsid w:val="00BC3BC8"/>
    <w:rsid w:val="00BC4481"/>
    <w:rsid w:val="00BC5199"/>
    <w:rsid w:val="00BD09B6"/>
    <w:rsid w:val="00BD0C0D"/>
    <w:rsid w:val="00BD21D6"/>
    <w:rsid w:val="00BD3712"/>
    <w:rsid w:val="00BD780F"/>
    <w:rsid w:val="00BE1A1A"/>
    <w:rsid w:val="00BE3C58"/>
    <w:rsid w:val="00BE536A"/>
    <w:rsid w:val="00BF25EB"/>
    <w:rsid w:val="00BF2A6C"/>
    <w:rsid w:val="00BF3F50"/>
    <w:rsid w:val="00BF4531"/>
    <w:rsid w:val="00BF681A"/>
    <w:rsid w:val="00C04378"/>
    <w:rsid w:val="00C04FA1"/>
    <w:rsid w:val="00C05F58"/>
    <w:rsid w:val="00C10660"/>
    <w:rsid w:val="00C1158A"/>
    <w:rsid w:val="00C1474F"/>
    <w:rsid w:val="00C15FB5"/>
    <w:rsid w:val="00C21E61"/>
    <w:rsid w:val="00C22801"/>
    <w:rsid w:val="00C23151"/>
    <w:rsid w:val="00C23870"/>
    <w:rsid w:val="00C241BB"/>
    <w:rsid w:val="00C2578F"/>
    <w:rsid w:val="00C306F1"/>
    <w:rsid w:val="00C33D70"/>
    <w:rsid w:val="00C34066"/>
    <w:rsid w:val="00C3416C"/>
    <w:rsid w:val="00C3544C"/>
    <w:rsid w:val="00C36A55"/>
    <w:rsid w:val="00C37049"/>
    <w:rsid w:val="00C37A9F"/>
    <w:rsid w:val="00C42893"/>
    <w:rsid w:val="00C4310E"/>
    <w:rsid w:val="00C43204"/>
    <w:rsid w:val="00C47A27"/>
    <w:rsid w:val="00C50678"/>
    <w:rsid w:val="00C509CE"/>
    <w:rsid w:val="00C5323D"/>
    <w:rsid w:val="00C543DB"/>
    <w:rsid w:val="00C5612D"/>
    <w:rsid w:val="00C62269"/>
    <w:rsid w:val="00C6252B"/>
    <w:rsid w:val="00C62DE7"/>
    <w:rsid w:val="00C639C0"/>
    <w:rsid w:val="00C644AA"/>
    <w:rsid w:val="00C6682E"/>
    <w:rsid w:val="00C7182F"/>
    <w:rsid w:val="00C7432E"/>
    <w:rsid w:val="00C755D8"/>
    <w:rsid w:val="00C7717D"/>
    <w:rsid w:val="00C77FB7"/>
    <w:rsid w:val="00C82A7D"/>
    <w:rsid w:val="00C82CE1"/>
    <w:rsid w:val="00C860C7"/>
    <w:rsid w:val="00C871B9"/>
    <w:rsid w:val="00C91616"/>
    <w:rsid w:val="00C933A5"/>
    <w:rsid w:val="00C948E8"/>
    <w:rsid w:val="00C9601D"/>
    <w:rsid w:val="00C97039"/>
    <w:rsid w:val="00CA3A70"/>
    <w:rsid w:val="00CA3D85"/>
    <w:rsid w:val="00CA4A83"/>
    <w:rsid w:val="00CA637A"/>
    <w:rsid w:val="00CA71DB"/>
    <w:rsid w:val="00CA77A6"/>
    <w:rsid w:val="00CB050D"/>
    <w:rsid w:val="00CB0C39"/>
    <w:rsid w:val="00CB62FA"/>
    <w:rsid w:val="00CB68A6"/>
    <w:rsid w:val="00CC175A"/>
    <w:rsid w:val="00CC1796"/>
    <w:rsid w:val="00CC340E"/>
    <w:rsid w:val="00CC52D6"/>
    <w:rsid w:val="00CC5406"/>
    <w:rsid w:val="00CD0446"/>
    <w:rsid w:val="00CD0A73"/>
    <w:rsid w:val="00CD1207"/>
    <w:rsid w:val="00CD21B9"/>
    <w:rsid w:val="00CD4C3F"/>
    <w:rsid w:val="00CD590F"/>
    <w:rsid w:val="00CD6C9B"/>
    <w:rsid w:val="00CE491C"/>
    <w:rsid w:val="00CE751B"/>
    <w:rsid w:val="00CE7DC8"/>
    <w:rsid w:val="00CF003B"/>
    <w:rsid w:val="00CF39F3"/>
    <w:rsid w:val="00CF3B9C"/>
    <w:rsid w:val="00CF3F96"/>
    <w:rsid w:val="00CF5D82"/>
    <w:rsid w:val="00CF6332"/>
    <w:rsid w:val="00CF6530"/>
    <w:rsid w:val="00D00212"/>
    <w:rsid w:val="00D00A68"/>
    <w:rsid w:val="00D01D30"/>
    <w:rsid w:val="00D03302"/>
    <w:rsid w:val="00D0480E"/>
    <w:rsid w:val="00D0794E"/>
    <w:rsid w:val="00D15894"/>
    <w:rsid w:val="00D16869"/>
    <w:rsid w:val="00D16F49"/>
    <w:rsid w:val="00D213CA"/>
    <w:rsid w:val="00D23E3F"/>
    <w:rsid w:val="00D26194"/>
    <w:rsid w:val="00D268E0"/>
    <w:rsid w:val="00D27F35"/>
    <w:rsid w:val="00D30991"/>
    <w:rsid w:val="00D315F6"/>
    <w:rsid w:val="00D31B19"/>
    <w:rsid w:val="00D33373"/>
    <w:rsid w:val="00D360F2"/>
    <w:rsid w:val="00D36765"/>
    <w:rsid w:val="00D367F3"/>
    <w:rsid w:val="00D372C6"/>
    <w:rsid w:val="00D40FD0"/>
    <w:rsid w:val="00D41117"/>
    <w:rsid w:val="00D4147B"/>
    <w:rsid w:val="00D440FA"/>
    <w:rsid w:val="00D45929"/>
    <w:rsid w:val="00D46042"/>
    <w:rsid w:val="00D50220"/>
    <w:rsid w:val="00D538E8"/>
    <w:rsid w:val="00D539E0"/>
    <w:rsid w:val="00D55F8D"/>
    <w:rsid w:val="00D5707B"/>
    <w:rsid w:val="00D6346E"/>
    <w:rsid w:val="00D63A04"/>
    <w:rsid w:val="00D63DE6"/>
    <w:rsid w:val="00D64367"/>
    <w:rsid w:val="00D6598E"/>
    <w:rsid w:val="00D733CE"/>
    <w:rsid w:val="00D73C14"/>
    <w:rsid w:val="00D74DA6"/>
    <w:rsid w:val="00D75667"/>
    <w:rsid w:val="00D75F4C"/>
    <w:rsid w:val="00D765AB"/>
    <w:rsid w:val="00D8150F"/>
    <w:rsid w:val="00D81960"/>
    <w:rsid w:val="00D81D4A"/>
    <w:rsid w:val="00D81F4E"/>
    <w:rsid w:val="00D839B9"/>
    <w:rsid w:val="00D83EDA"/>
    <w:rsid w:val="00D86999"/>
    <w:rsid w:val="00D91FA7"/>
    <w:rsid w:val="00D92538"/>
    <w:rsid w:val="00D9586B"/>
    <w:rsid w:val="00DA0232"/>
    <w:rsid w:val="00DA0ABD"/>
    <w:rsid w:val="00DA0CBA"/>
    <w:rsid w:val="00DA4936"/>
    <w:rsid w:val="00DA74E4"/>
    <w:rsid w:val="00DB4E0D"/>
    <w:rsid w:val="00DB5B03"/>
    <w:rsid w:val="00DB66B9"/>
    <w:rsid w:val="00DB6BB7"/>
    <w:rsid w:val="00DC0A83"/>
    <w:rsid w:val="00DC10F3"/>
    <w:rsid w:val="00DC16E7"/>
    <w:rsid w:val="00DC3DEF"/>
    <w:rsid w:val="00DC41CF"/>
    <w:rsid w:val="00DC6492"/>
    <w:rsid w:val="00DD020E"/>
    <w:rsid w:val="00DD05D2"/>
    <w:rsid w:val="00DD1043"/>
    <w:rsid w:val="00DD1FC6"/>
    <w:rsid w:val="00DD2968"/>
    <w:rsid w:val="00DD2E17"/>
    <w:rsid w:val="00DD346B"/>
    <w:rsid w:val="00DD3539"/>
    <w:rsid w:val="00DD36CB"/>
    <w:rsid w:val="00DD36F5"/>
    <w:rsid w:val="00DD3B96"/>
    <w:rsid w:val="00DE020F"/>
    <w:rsid w:val="00DE106B"/>
    <w:rsid w:val="00DE1A3E"/>
    <w:rsid w:val="00DE4CEC"/>
    <w:rsid w:val="00DF121A"/>
    <w:rsid w:val="00DF45CC"/>
    <w:rsid w:val="00E0010D"/>
    <w:rsid w:val="00E00486"/>
    <w:rsid w:val="00E02D78"/>
    <w:rsid w:val="00E04046"/>
    <w:rsid w:val="00E05EA5"/>
    <w:rsid w:val="00E06262"/>
    <w:rsid w:val="00E10033"/>
    <w:rsid w:val="00E11D6B"/>
    <w:rsid w:val="00E16358"/>
    <w:rsid w:val="00E174D5"/>
    <w:rsid w:val="00E214FA"/>
    <w:rsid w:val="00E23E83"/>
    <w:rsid w:val="00E250A8"/>
    <w:rsid w:val="00E25197"/>
    <w:rsid w:val="00E26B3D"/>
    <w:rsid w:val="00E31794"/>
    <w:rsid w:val="00E33DEE"/>
    <w:rsid w:val="00E36C9A"/>
    <w:rsid w:val="00E44130"/>
    <w:rsid w:val="00E46009"/>
    <w:rsid w:val="00E46AD3"/>
    <w:rsid w:val="00E505A1"/>
    <w:rsid w:val="00E50B4C"/>
    <w:rsid w:val="00E52AE3"/>
    <w:rsid w:val="00E52D73"/>
    <w:rsid w:val="00E531CC"/>
    <w:rsid w:val="00E53816"/>
    <w:rsid w:val="00E544B0"/>
    <w:rsid w:val="00E5660A"/>
    <w:rsid w:val="00E5760E"/>
    <w:rsid w:val="00E61D92"/>
    <w:rsid w:val="00E62C30"/>
    <w:rsid w:val="00E64305"/>
    <w:rsid w:val="00E644DA"/>
    <w:rsid w:val="00E6610D"/>
    <w:rsid w:val="00E7120D"/>
    <w:rsid w:val="00E75C7E"/>
    <w:rsid w:val="00E765EB"/>
    <w:rsid w:val="00E80CF9"/>
    <w:rsid w:val="00E85F5B"/>
    <w:rsid w:val="00E86759"/>
    <w:rsid w:val="00E873DE"/>
    <w:rsid w:val="00E90318"/>
    <w:rsid w:val="00E94838"/>
    <w:rsid w:val="00E9550E"/>
    <w:rsid w:val="00EA188D"/>
    <w:rsid w:val="00EA18EE"/>
    <w:rsid w:val="00EA3FA9"/>
    <w:rsid w:val="00EA5BA8"/>
    <w:rsid w:val="00EA5C96"/>
    <w:rsid w:val="00EA5D8E"/>
    <w:rsid w:val="00EB12B0"/>
    <w:rsid w:val="00EB7B8A"/>
    <w:rsid w:val="00EC3F6E"/>
    <w:rsid w:val="00EC503F"/>
    <w:rsid w:val="00EC53D2"/>
    <w:rsid w:val="00EC730A"/>
    <w:rsid w:val="00ED0095"/>
    <w:rsid w:val="00ED0491"/>
    <w:rsid w:val="00ED24C4"/>
    <w:rsid w:val="00ED4D84"/>
    <w:rsid w:val="00ED67DA"/>
    <w:rsid w:val="00ED703A"/>
    <w:rsid w:val="00EE18BC"/>
    <w:rsid w:val="00EE2973"/>
    <w:rsid w:val="00EE3182"/>
    <w:rsid w:val="00EE6117"/>
    <w:rsid w:val="00EE63AB"/>
    <w:rsid w:val="00EE6DD0"/>
    <w:rsid w:val="00EE6F4D"/>
    <w:rsid w:val="00EE731E"/>
    <w:rsid w:val="00EF2380"/>
    <w:rsid w:val="00EF3052"/>
    <w:rsid w:val="00EF3069"/>
    <w:rsid w:val="00EF59F3"/>
    <w:rsid w:val="00EF5F8A"/>
    <w:rsid w:val="00F00635"/>
    <w:rsid w:val="00F00D08"/>
    <w:rsid w:val="00F04B6C"/>
    <w:rsid w:val="00F10CCE"/>
    <w:rsid w:val="00F15007"/>
    <w:rsid w:val="00F16C86"/>
    <w:rsid w:val="00F20838"/>
    <w:rsid w:val="00F24540"/>
    <w:rsid w:val="00F25D34"/>
    <w:rsid w:val="00F30311"/>
    <w:rsid w:val="00F32FDF"/>
    <w:rsid w:val="00F36118"/>
    <w:rsid w:val="00F37635"/>
    <w:rsid w:val="00F408F0"/>
    <w:rsid w:val="00F4098C"/>
    <w:rsid w:val="00F40D7A"/>
    <w:rsid w:val="00F42AD8"/>
    <w:rsid w:val="00F448FE"/>
    <w:rsid w:val="00F45F71"/>
    <w:rsid w:val="00F465B5"/>
    <w:rsid w:val="00F47023"/>
    <w:rsid w:val="00F50943"/>
    <w:rsid w:val="00F54C7F"/>
    <w:rsid w:val="00F5562C"/>
    <w:rsid w:val="00F60F34"/>
    <w:rsid w:val="00F611CB"/>
    <w:rsid w:val="00F61366"/>
    <w:rsid w:val="00F744D7"/>
    <w:rsid w:val="00F75C69"/>
    <w:rsid w:val="00F77A61"/>
    <w:rsid w:val="00F81F67"/>
    <w:rsid w:val="00F85C68"/>
    <w:rsid w:val="00F879EA"/>
    <w:rsid w:val="00F87E2C"/>
    <w:rsid w:val="00F9423C"/>
    <w:rsid w:val="00F94BCA"/>
    <w:rsid w:val="00F94CF3"/>
    <w:rsid w:val="00FA1E16"/>
    <w:rsid w:val="00FA292E"/>
    <w:rsid w:val="00FA525E"/>
    <w:rsid w:val="00FA5DC3"/>
    <w:rsid w:val="00FB1D2E"/>
    <w:rsid w:val="00FB4DFF"/>
    <w:rsid w:val="00FC0084"/>
    <w:rsid w:val="00FC05FD"/>
    <w:rsid w:val="00FC4AD8"/>
    <w:rsid w:val="00FC55DE"/>
    <w:rsid w:val="00FC73C5"/>
    <w:rsid w:val="00FC7F81"/>
    <w:rsid w:val="00FD0675"/>
    <w:rsid w:val="00FD0AD8"/>
    <w:rsid w:val="00FD28D8"/>
    <w:rsid w:val="00FD2C19"/>
    <w:rsid w:val="00FD4F28"/>
    <w:rsid w:val="00FD51CD"/>
    <w:rsid w:val="00FD5FDD"/>
    <w:rsid w:val="00FE080C"/>
    <w:rsid w:val="00FE0DFB"/>
    <w:rsid w:val="00FE23FA"/>
    <w:rsid w:val="00FE45C6"/>
    <w:rsid w:val="00FE6AF3"/>
    <w:rsid w:val="00FE74E6"/>
    <w:rsid w:val="00FE7B7E"/>
    <w:rsid w:val="00FF15DC"/>
    <w:rsid w:val="00FF283B"/>
    <w:rsid w:val="00FF39BB"/>
    <w:rsid w:val="00FF7E0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B4E4FA6"/>
  <w15:docId w15:val="{6517229F-1FFC-4F64-B79A-F5065D92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C0CAB"/>
    <w:pPr>
      <w:autoSpaceDE w:val="0"/>
      <w:autoSpaceDN w:val="0"/>
      <w:spacing w:line="280" w:lineRule="atLeast"/>
    </w:pPr>
    <w:rPr>
      <w:rFonts w:ascii="Arial" w:hAnsi="Arial"/>
      <w:sz w:val="22"/>
      <w:szCs w:val="24"/>
    </w:rPr>
  </w:style>
  <w:style w:type="paragraph" w:styleId="berschrift1">
    <w:name w:val="heading 1"/>
    <w:basedOn w:val="Standard"/>
    <w:next w:val="Standard"/>
    <w:link w:val="berschrift1Zchn"/>
    <w:uiPriority w:val="99"/>
    <w:qFormat/>
    <w:pPr>
      <w:keepNext/>
      <w:numPr>
        <w:numId w:val="2"/>
      </w:numPr>
      <w:spacing w:before="240" w:after="60"/>
      <w:outlineLvl w:val="0"/>
    </w:pPr>
    <w:rPr>
      <w:b/>
      <w:bCs/>
      <w:kern w:val="32"/>
      <w:sz w:val="28"/>
      <w:szCs w:val="28"/>
    </w:rPr>
  </w:style>
  <w:style w:type="paragraph" w:styleId="berschrift2">
    <w:name w:val="heading 2"/>
    <w:basedOn w:val="Standard"/>
    <w:next w:val="Standard"/>
    <w:link w:val="berschrift2Zchn"/>
    <w:uiPriority w:val="99"/>
    <w:qFormat/>
    <w:pPr>
      <w:keepNext/>
      <w:numPr>
        <w:ilvl w:val="1"/>
        <w:numId w:val="2"/>
      </w:numPr>
      <w:spacing w:before="240" w:after="60"/>
      <w:outlineLvl w:val="1"/>
    </w:pPr>
    <w:rPr>
      <w:b/>
      <w:bCs/>
    </w:rPr>
  </w:style>
  <w:style w:type="paragraph" w:styleId="berschrift3">
    <w:name w:val="heading 3"/>
    <w:basedOn w:val="Standard"/>
    <w:next w:val="Standard"/>
    <w:link w:val="berschrift3Zchn"/>
    <w:uiPriority w:val="99"/>
    <w:qFormat/>
    <w:pPr>
      <w:keepNext/>
      <w:numPr>
        <w:ilvl w:val="2"/>
        <w:numId w:val="2"/>
      </w:numPr>
      <w:tabs>
        <w:tab w:val="clear" w:pos="5965"/>
        <w:tab w:val="num" w:pos="1146"/>
      </w:tabs>
      <w:spacing w:before="240" w:after="60"/>
      <w:ind w:left="1146"/>
      <w:outlineLvl w:val="2"/>
    </w:pPr>
    <w:rPr>
      <w:b/>
      <w:bCs/>
    </w:rPr>
  </w:style>
  <w:style w:type="paragraph" w:styleId="berschrift4">
    <w:name w:val="heading 4"/>
    <w:basedOn w:val="Standard"/>
    <w:next w:val="Standard"/>
    <w:link w:val="berschrift4Zchn"/>
    <w:uiPriority w:val="99"/>
    <w:qFormat/>
    <w:pPr>
      <w:keepNext/>
      <w:numPr>
        <w:ilvl w:val="3"/>
        <w:numId w:val="2"/>
      </w:numPr>
      <w:spacing w:before="240" w:after="60"/>
      <w:outlineLvl w:val="3"/>
    </w:pPr>
    <w:rPr>
      <w:b/>
      <w:bCs/>
    </w:rPr>
  </w:style>
  <w:style w:type="paragraph" w:styleId="berschrift5">
    <w:name w:val="heading 5"/>
    <w:basedOn w:val="Standard"/>
    <w:next w:val="Standard"/>
    <w:link w:val="berschrift5Zchn"/>
    <w:uiPriority w:val="99"/>
    <w:qFormat/>
    <w:pPr>
      <w:numPr>
        <w:ilvl w:val="4"/>
        <w:numId w:val="2"/>
      </w:numPr>
      <w:spacing w:before="240" w:after="60"/>
      <w:outlineLvl w:val="4"/>
    </w:pPr>
    <w:rPr>
      <w:b/>
      <w:bCs/>
    </w:rPr>
  </w:style>
  <w:style w:type="paragraph" w:styleId="berschrift6">
    <w:name w:val="heading 6"/>
    <w:basedOn w:val="Standard"/>
    <w:next w:val="Standard"/>
    <w:link w:val="berschrift6Zchn"/>
    <w:uiPriority w:val="99"/>
    <w:qFormat/>
    <w:pPr>
      <w:numPr>
        <w:ilvl w:val="5"/>
        <w:numId w:val="2"/>
      </w:numPr>
      <w:spacing w:before="240" w:after="60"/>
      <w:outlineLvl w:val="5"/>
    </w:pPr>
    <w:rPr>
      <w:b/>
      <w:bCs/>
      <w:szCs w:val="22"/>
    </w:rPr>
  </w:style>
  <w:style w:type="paragraph" w:styleId="berschrift7">
    <w:name w:val="heading 7"/>
    <w:basedOn w:val="Standard"/>
    <w:next w:val="Standard"/>
    <w:link w:val="berschrift7Zchn"/>
    <w:uiPriority w:val="99"/>
    <w:qFormat/>
    <w:pPr>
      <w:numPr>
        <w:ilvl w:val="6"/>
        <w:numId w:val="2"/>
      </w:numPr>
      <w:spacing w:before="240" w:after="60"/>
      <w:outlineLvl w:val="6"/>
    </w:pPr>
  </w:style>
  <w:style w:type="paragraph" w:styleId="berschrift8">
    <w:name w:val="heading 8"/>
    <w:basedOn w:val="Standard"/>
    <w:next w:val="Standard"/>
    <w:link w:val="berschrift8Zchn"/>
    <w:uiPriority w:val="99"/>
    <w:qFormat/>
    <w:pPr>
      <w:numPr>
        <w:ilvl w:val="7"/>
        <w:numId w:val="2"/>
      </w:numPr>
      <w:spacing w:before="240" w:after="60"/>
      <w:outlineLvl w:val="7"/>
    </w:pPr>
    <w:rPr>
      <w:i/>
      <w:iCs/>
    </w:rPr>
  </w:style>
  <w:style w:type="paragraph" w:styleId="berschrift9">
    <w:name w:val="heading 9"/>
    <w:basedOn w:val="Standard"/>
    <w:next w:val="Standard"/>
    <w:link w:val="berschrift9Zchn"/>
    <w:uiPriority w:val="99"/>
    <w:qFormat/>
    <w:pPr>
      <w:numPr>
        <w:ilvl w:val="8"/>
        <w:numId w:val="2"/>
      </w:num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rPr>
      <w:rFonts w:ascii="Arial" w:hAnsi="Arial"/>
      <w:b/>
      <w:bCs/>
      <w:kern w:val="32"/>
      <w:sz w:val="28"/>
      <w:szCs w:val="28"/>
    </w:rPr>
  </w:style>
  <w:style w:type="character" w:customStyle="1" w:styleId="berschrift2Zchn">
    <w:name w:val="Überschrift 2 Zchn"/>
    <w:basedOn w:val="Absatz-Standardschriftart"/>
    <w:link w:val="berschrift2"/>
    <w:uiPriority w:val="99"/>
    <w:rPr>
      <w:rFonts w:ascii="Arial" w:hAnsi="Arial"/>
      <w:b/>
      <w:bCs/>
      <w:sz w:val="22"/>
      <w:szCs w:val="24"/>
    </w:rPr>
  </w:style>
  <w:style w:type="character" w:customStyle="1" w:styleId="berschrift3Zchn">
    <w:name w:val="Überschrift 3 Zchn"/>
    <w:basedOn w:val="Absatz-Standardschriftart"/>
    <w:link w:val="berschrift3"/>
    <w:uiPriority w:val="99"/>
    <w:rPr>
      <w:rFonts w:ascii="Arial" w:hAnsi="Arial"/>
      <w:b/>
      <w:bCs/>
      <w:sz w:val="22"/>
      <w:szCs w:val="24"/>
    </w:rPr>
  </w:style>
  <w:style w:type="character" w:customStyle="1" w:styleId="berschrift4Zchn">
    <w:name w:val="Überschrift 4 Zchn"/>
    <w:basedOn w:val="Absatz-Standardschriftart"/>
    <w:link w:val="berschrift4"/>
    <w:uiPriority w:val="99"/>
    <w:rPr>
      <w:rFonts w:ascii="Arial" w:hAnsi="Arial"/>
      <w:b/>
      <w:bCs/>
      <w:sz w:val="22"/>
      <w:szCs w:val="24"/>
    </w:rPr>
  </w:style>
  <w:style w:type="character" w:customStyle="1" w:styleId="berschrift5Zchn">
    <w:name w:val="Überschrift 5 Zchn"/>
    <w:basedOn w:val="Absatz-Standardschriftart"/>
    <w:link w:val="berschrift5"/>
    <w:uiPriority w:val="99"/>
    <w:rPr>
      <w:rFonts w:ascii="Arial" w:hAnsi="Arial"/>
      <w:b/>
      <w:bCs/>
      <w:sz w:val="22"/>
      <w:szCs w:val="24"/>
    </w:rPr>
  </w:style>
  <w:style w:type="character" w:customStyle="1" w:styleId="berschrift6Zchn">
    <w:name w:val="Überschrift 6 Zchn"/>
    <w:basedOn w:val="Absatz-Standardschriftart"/>
    <w:link w:val="berschrift6"/>
    <w:uiPriority w:val="99"/>
    <w:rPr>
      <w:rFonts w:ascii="Arial" w:hAnsi="Arial"/>
      <w:b/>
      <w:bCs/>
      <w:sz w:val="22"/>
      <w:szCs w:val="22"/>
    </w:rPr>
  </w:style>
  <w:style w:type="character" w:customStyle="1" w:styleId="berschrift7Zchn">
    <w:name w:val="Überschrift 7 Zchn"/>
    <w:basedOn w:val="Absatz-Standardschriftart"/>
    <w:link w:val="berschrift7"/>
    <w:uiPriority w:val="99"/>
    <w:rPr>
      <w:rFonts w:ascii="Arial" w:hAnsi="Arial"/>
      <w:sz w:val="22"/>
      <w:szCs w:val="24"/>
    </w:rPr>
  </w:style>
  <w:style w:type="character" w:customStyle="1" w:styleId="berschrift8Zchn">
    <w:name w:val="Überschrift 8 Zchn"/>
    <w:basedOn w:val="Absatz-Standardschriftart"/>
    <w:link w:val="berschrift8"/>
    <w:uiPriority w:val="99"/>
    <w:rPr>
      <w:rFonts w:ascii="Arial" w:hAnsi="Arial"/>
      <w:i/>
      <w:iCs/>
      <w:sz w:val="22"/>
      <w:szCs w:val="24"/>
    </w:rPr>
  </w:style>
  <w:style w:type="character" w:customStyle="1" w:styleId="berschrift9Zchn">
    <w:name w:val="Überschrift 9 Zchn"/>
    <w:basedOn w:val="Absatz-Standardschriftart"/>
    <w:link w:val="berschrift9"/>
    <w:uiPriority w:val="99"/>
    <w:rPr>
      <w:rFonts w:ascii="Arial" w:hAnsi="Arial" w:cs="Arial"/>
      <w:sz w:val="22"/>
      <w:szCs w:val="22"/>
    </w:rPr>
  </w:style>
  <w:style w:type="paragraph" w:styleId="Kopfzeile">
    <w:name w:val="header"/>
    <w:basedOn w:val="Standard"/>
    <w:link w:val="KopfzeileZchn"/>
    <w:pPr>
      <w:tabs>
        <w:tab w:val="center" w:pos="4536"/>
        <w:tab w:val="right" w:pos="9072"/>
      </w:tabs>
    </w:pPr>
  </w:style>
  <w:style w:type="character" w:customStyle="1" w:styleId="KopfzeileZchn">
    <w:name w:val="Kopfzeile Zchn"/>
    <w:basedOn w:val="Absatz-Standardschriftart"/>
    <w:link w:val="Kopfzeile"/>
    <w:rPr>
      <w:rFonts w:ascii="Times New Roman" w:hAnsi="Times New Roman" w:cs="Times New Roman"/>
      <w:sz w:val="24"/>
      <w:szCs w:val="24"/>
    </w:rPr>
  </w:style>
  <w:style w:type="paragraph" w:styleId="Fuzeile">
    <w:name w:val="footer"/>
    <w:basedOn w:val="Standard"/>
    <w:link w:val="FuzeileZchn"/>
    <w:pPr>
      <w:tabs>
        <w:tab w:val="center" w:pos="4536"/>
        <w:tab w:val="right" w:pos="9072"/>
      </w:tabs>
    </w:pPr>
  </w:style>
  <w:style w:type="character" w:customStyle="1" w:styleId="FuzeileZchn">
    <w:name w:val="Fußzeile Zchn"/>
    <w:basedOn w:val="Absatz-Standardschriftart"/>
    <w:link w:val="Fuzeile"/>
    <w:uiPriority w:val="99"/>
    <w:rPr>
      <w:rFonts w:ascii="Times New Roman" w:hAnsi="Times New Roman" w:cs="Times New Roman"/>
      <w:sz w:val="24"/>
      <w:szCs w:val="24"/>
    </w:rPr>
  </w:style>
  <w:style w:type="paragraph" w:styleId="Textkrper2">
    <w:name w:val="Body Text 2"/>
    <w:basedOn w:val="Standard"/>
    <w:link w:val="Textkrper2Zchn"/>
    <w:uiPriority w:val="99"/>
    <w:pPr>
      <w:jc w:val="both"/>
    </w:pPr>
    <w:rPr>
      <w:szCs w:val="22"/>
      <w:lang w:val="en-GB"/>
    </w:rPr>
  </w:style>
  <w:style w:type="character" w:customStyle="1" w:styleId="Textkrper2Zchn">
    <w:name w:val="Textkörper 2 Zchn"/>
    <w:basedOn w:val="Absatz-Standardschriftart"/>
    <w:link w:val="Textkrper2"/>
    <w:uiPriority w:val="99"/>
    <w:rPr>
      <w:rFonts w:ascii="Times New Roman" w:hAnsi="Times New Roman" w:cs="Times New Roman"/>
      <w:sz w:val="24"/>
      <w:szCs w:val="24"/>
    </w:rPr>
  </w:style>
  <w:style w:type="paragraph" w:customStyle="1" w:styleId="EntryTextTi10">
    <w:name w:val="EntryText:Ti10"/>
    <w:basedOn w:val="Standard"/>
    <w:uiPriority w:val="99"/>
    <w:pPr>
      <w:spacing w:before="40" w:after="40"/>
    </w:pPr>
    <w:rPr>
      <w:lang w:val="en-US"/>
    </w:rPr>
  </w:style>
  <w:style w:type="paragraph" w:styleId="Textkrper-Einzug2">
    <w:name w:val="Body Text Indent 2"/>
    <w:basedOn w:val="Standard"/>
    <w:link w:val="Textkrper-Einzug2Zchn"/>
    <w:uiPriority w:val="99"/>
    <w:pPr>
      <w:ind w:left="2124"/>
    </w:pPr>
  </w:style>
  <w:style w:type="character" w:customStyle="1" w:styleId="Textkrper-Einzug2Zchn">
    <w:name w:val="Textkörper-Einzug 2 Zchn"/>
    <w:basedOn w:val="Absatz-Standardschriftart"/>
    <w:link w:val="Textkrper-Einzug2"/>
    <w:uiPriority w:val="99"/>
    <w:rPr>
      <w:rFonts w:ascii="Times New Roman" w:hAnsi="Times New Roman" w:cs="Times New Roman"/>
      <w:sz w:val="24"/>
      <w:szCs w:val="24"/>
    </w:rPr>
  </w:style>
  <w:style w:type="paragraph" w:styleId="Textkrper-Einzug3">
    <w:name w:val="Body Text Indent 3"/>
    <w:basedOn w:val="Standard"/>
    <w:link w:val="Textkrper-Einzug3Zchn"/>
    <w:uiPriority w:val="99"/>
    <w:pPr>
      <w:ind w:left="1440"/>
    </w:pPr>
  </w:style>
  <w:style w:type="character" w:customStyle="1" w:styleId="Textkrper-Einzug3Zchn">
    <w:name w:val="Textkörper-Einzug 3 Zchn"/>
    <w:basedOn w:val="Absatz-Standardschriftart"/>
    <w:link w:val="Textkrper-Einzug3"/>
    <w:uiPriority w:val="99"/>
    <w:rPr>
      <w:rFonts w:ascii="Times New Roman" w:hAnsi="Times New Roman" w:cs="Times New Roman"/>
      <w:sz w:val="16"/>
      <w:szCs w:val="16"/>
    </w:rPr>
  </w:style>
  <w:style w:type="paragraph" w:styleId="Textkrper3">
    <w:name w:val="Body Text 3"/>
    <w:basedOn w:val="Standard"/>
    <w:link w:val="Textkrper3Zchn"/>
    <w:uiPriority w:val="99"/>
    <w:pPr>
      <w:spacing w:line="360" w:lineRule="auto"/>
      <w:jc w:val="both"/>
    </w:pPr>
  </w:style>
  <w:style w:type="character" w:customStyle="1" w:styleId="Textkrper3Zchn">
    <w:name w:val="Textkörper 3 Zchn"/>
    <w:basedOn w:val="Absatz-Standardschriftart"/>
    <w:link w:val="Textkrper3"/>
    <w:uiPriority w:val="99"/>
    <w:rPr>
      <w:rFonts w:ascii="Times New Roman" w:hAnsi="Times New Roman" w:cs="Times New Roman"/>
      <w:sz w:val="16"/>
      <w:szCs w:val="16"/>
    </w:rPr>
  </w:style>
  <w:style w:type="paragraph" w:styleId="Aufzhlungszeichen3">
    <w:name w:val="List Bullet 3"/>
    <w:basedOn w:val="Standard"/>
    <w:autoRedefine/>
    <w:uiPriority w:val="99"/>
    <w:pPr>
      <w:numPr>
        <w:numId w:val="1"/>
      </w:numPr>
    </w:pPr>
    <w:rPr>
      <w:szCs w:val="22"/>
      <w:lang w:val="en-GB"/>
    </w:rPr>
  </w:style>
  <w:style w:type="character" w:styleId="Seitenzahl">
    <w:name w:val="page number"/>
    <w:basedOn w:val="Absatz-Standardschriftart"/>
    <w:uiPriority w:val="99"/>
  </w:style>
  <w:style w:type="paragraph" w:styleId="Textkrper">
    <w:name w:val="Body Text"/>
    <w:basedOn w:val="Standard"/>
    <w:link w:val="TextkrperZchn"/>
    <w:uiPriority w:val="99"/>
  </w:style>
  <w:style w:type="character" w:customStyle="1" w:styleId="TextkrperZchn">
    <w:name w:val="Textkörper Zchn"/>
    <w:basedOn w:val="Absatz-Standardschriftart"/>
    <w:link w:val="Textkrper"/>
    <w:uiPriority w:val="99"/>
    <w:rPr>
      <w:rFonts w:ascii="Times New Roman" w:hAnsi="Times New Roman" w:cs="Times New Roman"/>
      <w:sz w:val="24"/>
      <w:szCs w:val="24"/>
    </w:rPr>
  </w:style>
  <w:style w:type="paragraph" w:styleId="Titel">
    <w:name w:val="Title"/>
    <w:basedOn w:val="Standard"/>
    <w:link w:val="TitelZchn"/>
    <w:autoRedefine/>
    <w:uiPriority w:val="99"/>
    <w:qFormat/>
    <w:pPr>
      <w:spacing w:before="240" w:after="60"/>
      <w:jc w:val="center"/>
      <w:outlineLvl w:val="0"/>
    </w:pPr>
    <w:rPr>
      <w:b/>
      <w:bCs/>
      <w:kern w:val="28"/>
      <w:sz w:val="36"/>
      <w:szCs w:val="36"/>
    </w:rPr>
  </w:style>
  <w:style w:type="character" w:customStyle="1" w:styleId="TitelZchn">
    <w:name w:val="Titel Zchn"/>
    <w:basedOn w:val="Absatz-Standardschriftart"/>
    <w:link w:val="Titel"/>
    <w:uiPriority w:val="10"/>
    <w:rPr>
      <w:rFonts w:ascii="Cambria" w:eastAsia="Times New Roman" w:hAnsi="Cambria" w:cs="Times New Roman"/>
      <w:b/>
      <w:bCs/>
      <w:kern w:val="28"/>
      <w:sz w:val="32"/>
      <w:szCs w:val="32"/>
    </w:rPr>
  </w:style>
  <w:style w:type="paragraph" w:customStyle="1" w:styleId="t1">
    <w:name w:val="t1"/>
    <w:basedOn w:val="Standard"/>
    <w:uiPriority w:val="99"/>
    <w:pPr>
      <w:widowControl w:val="0"/>
      <w:spacing w:line="220" w:lineRule="atLeast"/>
    </w:pPr>
  </w:style>
  <w:style w:type="paragraph" w:customStyle="1" w:styleId="c5">
    <w:name w:val="c5"/>
    <w:basedOn w:val="Standard"/>
    <w:uiPriority w:val="99"/>
    <w:pPr>
      <w:widowControl w:val="0"/>
      <w:spacing w:line="240" w:lineRule="atLeast"/>
      <w:jc w:val="center"/>
    </w:pPr>
  </w:style>
  <w:style w:type="paragraph" w:customStyle="1" w:styleId="c6">
    <w:name w:val="c6"/>
    <w:basedOn w:val="Standard"/>
    <w:uiPriority w:val="99"/>
    <w:pPr>
      <w:widowControl w:val="0"/>
      <w:spacing w:line="240" w:lineRule="atLeast"/>
      <w:jc w:val="center"/>
    </w:pPr>
  </w:style>
  <w:style w:type="paragraph" w:customStyle="1" w:styleId="c7">
    <w:name w:val="c7"/>
    <w:basedOn w:val="Standard"/>
    <w:uiPriority w:val="99"/>
    <w:pPr>
      <w:widowControl w:val="0"/>
      <w:spacing w:line="240" w:lineRule="atLeast"/>
      <w:jc w:val="center"/>
    </w:pPr>
  </w:style>
  <w:style w:type="character" w:styleId="Hyperlink">
    <w:name w:val="Hyperlink"/>
    <w:basedOn w:val="Absatz-Standardschriftart"/>
    <w:uiPriority w:val="99"/>
    <w:rPr>
      <w:color w:val="0000FF"/>
      <w:u w:val="single"/>
    </w:rPr>
  </w:style>
  <w:style w:type="paragraph" w:styleId="Kommentartext">
    <w:name w:val="annotation text"/>
    <w:basedOn w:val="Standard"/>
    <w:link w:val="KommentartextZchn"/>
    <w:uiPriority w:val="99"/>
    <w:pPr>
      <w:jc w:val="both"/>
    </w:pPr>
  </w:style>
  <w:style w:type="character" w:customStyle="1" w:styleId="KommentartextZchn">
    <w:name w:val="Kommentartext Zchn"/>
    <w:basedOn w:val="Absatz-Standardschriftart"/>
    <w:link w:val="Kommentartext"/>
    <w:uiPriority w:val="99"/>
    <w:rPr>
      <w:rFonts w:ascii="Times New Roman" w:hAnsi="Times New Roman" w:cs="Times New Roman"/>
      <w:sz w:val="20"/>
      <w:szCs w:val="20"/>
    </w:rPr>
  </w:style>
  <w:style w:type="paragraph" w:styleId="Verzeichnis1">
    <w:name w:val="toc 1"/>
    <w:basedOn w:val="Standard"/>
    <w:next w:val="Standard"/>
    <w:autoRedefine/>
    <w:uiPriority w:val="39"/>
    <w:pPr>
      <w:tabs>
        <w:tab w:val="left" w:pos="400"/>
        <w:tab w:val="right" w:leader="dot" w:pos="9628"/>
      </w:tabs>
      <w:spacing w:line="360" w:lineRule="auto"/>
    </w:pPr>
    <w:rPr>
      <w:rFonts w:cs="Arial"/>
      <w:szCs w:val="22"/>
    </w:rPr>
  </w:style>
  <w:style w:type="paragraph" w:styleId="Verzeichnis2">
    <w:name w:val="toc 2"/>
    <w:basedOn w:val="Standard"/>
    <w:next w:val="Standard"/>
    <w:autoRedefine/>
    <w:uiPriority w:val="39"/>
    <w:rsid w:val="00760726"/>
    <w:pPr>
      <w:tabs>
        <w:tab w:val="left" w:pos="960"/>
        <w:tab w:val="right" w:leader="dot" w:pos="9639"/>
      </w:tabs>
      <w:spacing w:after="120"/>
      <w:ind w:left="198"/>
    </w:pPr>
    <w:rPr>
      <w:rFonts w:cs="Arial"/>
      <w:szCs w:val="22"/>
    </w:rPr>
  </w:style>
  <w:style w:type="paragraph" w:styleId="Verzeichnis3">
    <w:name w:val="toc 3"/>
    <w:basedOn w:val="Standard"/>
    <w:next w:val="Standard"/>
    <w:autoRedefine/>
    <w:uiPriority w:val="39"/>
    <w:rsid w:val="00760726"/>
    <w:pPr>
      <w:tabs>
        <w:tab w:val="left" w:pos="1200"/>
        <w:tab w:val="right" w:leader="dot" w:pos="9639"/>
      </w:tabs>
      <w:spacing w:after="120"/>
      <w:ind w:left="403"/>
    </w:pPr>
    <w:rPr>
      <w:rFonts w:cs="Arial"/>
      <w:szCs w:val="22"/>
    </w:rPr>
  </w:style>
  <w:style w:type="paragraph" w:customStyle="1" w:styleId="Spiegelstrich">
    <w:name w:val="Spiegelstrich"/>
    <w:basedOn w:val="Standard"/>
    <w:uiPriority w:val="99"/>
    <w:pPr>
      <w:ind w:left="567" w:hanging="283"/>
    </w:pPr>
    <w:rPr>
      <w:rFonts w:cs="Arial"/>
    </w:rPr>
  </w:style>
  <w:style w:type="paragraph" w:styleId="Sprechblasentext">
    <w:name w:val="Balloon Text"/>
    <w:basedOn w:val="Standard"/>
    <w:link w:val="SprechblasentextZchn"/>
    <w:uiPriority w:val="9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character" w:styleId="Kommentarzeichen">
    <w:name w:val="annotation reference"/>
    <w:basedOn w:val="Absatz-Standardschriftart"/>
    <w:uiPriority w:val="99"/>
    <w:rPr>
      <w:sz w:val="16"/>
      <w:szCs w:val="16"/>
    </w:rPr>
  </w:style>
  <w:style w:type="paragraph" w:styleId="Kommentarthema">
    <w:name w:val="annotation subject"/>
    <w:basedOn w:val="Kommentartext"/>
    <w:next w:val="Kommentartext"/>
    <w:link w:val="KommentarthemaZchn"/>
    <w:uiPriority w:val="99"/>
    <w:pPr>
      <w:jc w:val="left"/>
    </w:pPr>
    <w:rPr>
      <w:b/>
      <w:bCs/>
    </w:rPr>
  </w:style>
  <w:style w:type="character" w:customStyle="1" w:styleId="KommentarthemaZchn">
    <w:name w:val="Kommentarthema Zchn"/>
    <w:basedOn w:val="KommentartextZchn"/>
    <w:link w:val="Kommentarthema"/>
    <w:uiPriority w:val="99"/>
    <w:semiHidden/>
    <w:rPr>
      <w:rFonts w:ascii="Times New Roman" w:hAnsi="Times New Roman" w:cs="Times New Roman"/>
      <w:b/>
      <w:bCs/>
      <w:sz w:val="20"/>
      <w:szCs w:val="20"/>
    </w:rPr>
  </w:style>
  <w:style w:type="paragraph" w:styleId="Verzeichnis4">
    <w:name w:val="toc 4"/>
    <w:basedOn w:val="Standard"/>
    <w:next w:val="Standard"/>
    <w:autoRedefine/>
    <w:uiPriority w:val="39"/>
    <w:pPr>
      <w:ind w:left="720"/>
    </w:pPr>
    <w:rPr>
      <w:rFonts w:cs="Arial"/>
      <w:szCs w:val="22"/>
    </w:rPr>
  </w:style>
  <w:style w:type="paragraph" w:styleId="Verzeichnis5">
    <w:name w:val="toc 5"/>
    <w:basedOn w:val="Standard"/>
    <w:next w:val="Standard"/>
    <w:autoRedefine/>
    <w:uiPriority w:val="39"/>
    <w:pPr>
      <w:ind w:left="960"/>
    </w:pPr>
    <w:rPr>
      <w:rFonts w:cs="Arial"/>
      <w:szCs w:val="22"/>
    </w:rPr>
  </w:style>
  <w:style w:type="paragraph" w:styleId="Verzeichnis6">
    <w:name w:val="toc 6"/>
    <w:basedOn w:val="Standard"/>
    <w:next w:val="Standard"/>
    <w:autoRedefine/>
    <w:uiPriority w:val="39"/>
    <w:pPr>
      <w:ind w:left="1200"/>
    </w:pPr>
  </w:style>
  <w:style w:type="paragraph" w:styleId="Verzeichnis7">
    <w:name w:val="toc 7"/>
    <w:basedOn w:val="Standard"/>
    <w:next w:val="Standard"/>
    <w:autoRedefine/>
    <w:uiPriority w:val="39"/>
    <w:pPr>
      <w:ind w:left="1440"/>
    </w:pPr>
  </w:style>
  <w:style w:type="paragraph" w:styleId="Verzeichnis8">
    <w:name w:val="toc 8"/>
    <w:basedOn w:val="Standard"/>
    <w:next w:val="Standard"/>
    <w:autoRedefine/>
    <w:uiPriority w:val="39"/>
    <w:pPr>
      <w:ind w:left="1680"/>
    </w:pPr>
  </w:style>
  <w:style w:type="paragraph" w:styleId="Verzeichnis9">
    <w:name w:val="toc 9"/>
    <w:basedOn w:val="Standard"/>
    <w:next w:val="Standard"/>
    <w:autoRedefine/>
    <w:uiPriority w:val="39"/>
    <w:pPr>
      <w:ind w:left="1920"/>
    </w:pPr>
  </w:style>
  <w:style w:type="paragraph" w:styleId="Dokumentstruktur">
    <w:name w:val="Document Map"/>
    <w:basedOn w:val="Standard"/>
    <w:link w:val="DokumentstrukturZchn"/>
    <w:uiPriority w:val="99"/>
    <w:pPr>
      <w:shd w:val="clear" w:color="auto" w:fill="000080"/>
    </w:pPr>
    <w:rPr>
      <w:rFonts w:ascii="Tahoma" w:hAnsi="Tahoma" w:cs="Tahoma"/>
    </w:rPr>
  </w:style>
  <w:style w:type="character" w:customStyle="1" w:styleId="DokumentstrukturZchn">
    <w:name w:val="Dokumentstruktur Zchn"/>
    <w:basedOn w:val="Absatz-Standardschriftart"/>
    <w:link w:val="Dokumentstruktur"/>
    <w:uiPriority w:val="99"/>
    <w:rPr>
      <w:rFonts w:ascii="Tahoma" w:hAnsi="Tahoma" w:cs="Tahoma"/>
      <w:sz w:val="16"/>
      <w:szCs w:val="16"/>
    </w:rPr>
  </w:style>
  <w:style w:type="paragraph" w:customStyle="1" w:styleId="Formatvorlageberschrift1Links0cmErsteZeile0cm">
    <w:name w:val="Formatvorlage Überschrift 1 + Links:  0 cm Erste Zeile:  0 cm"/>
    <w:basedOn w:val="berschrift1"/>
    <w:uiPriority w:val="99"/>
    <w:pPr>
      <w:ind w:left="0" w:firstLine="0"/>
    </w:pPr>
  </w:style>
  <w:style w:type="paragraph" w:customStyle="1" w:styleId="Formatvorlageberschrift2NichtFett">
    <w:name w:val="Formatvorlage Überschrift 2 + Nicht Fett"/>
    <w:basedOn w:val="berschrift2"/>
    <w:uiPriority w:val="99"/>
    <w:rPr>
      <w:b w:val="0"/>
      <w:bCs w:val="0"/>
    </w:rPr>
  </w:style>
  <w:style w:type="paragraph" w:customStyle="1" w:styleId="Kommentar">
    <w:name w:val="Kommentar"/>
    <w:basedOn w:val="Standard"/>
    <w:uiPriority w:val="99"/>
    <w:rPr>
      <w:i/>
      <w:iCs/>
      <w:color w:val="0000FF"/>
    </w:rPr>
  </w:style>
  <w:style w:type="paragraph" w:customStyle="1" w:styleId="Textbaustein">
    <w:name w:val="Textbaustein"/>
    <w:basedOn w:val="Standard"/>
    <w:uiPriority w:val="99"/>
    <w:rPr>
      <w:i/>
      <w:iCs/>
      <w:color w:val="0000FF"/>
    </w:rPr>
  </w:style>
  <w:style w:type="character" w:customStyle="1" w:styleId="KommentarChar">
    <w:name w:val="Kommentar Char"/>
    <w:basedOn w:val="Absatz-Standardschriftart"/>
    <w:uiPriority w:val="99"/>
    <w:rPr>
      <w:i/>
      <w:iCs/>
      <w:color w:val="0000FF"/>
      <w:sz w:val="24"/>
      <w:szCs w:val="24"/>
      <w:lang w:val="de-DE"/>
    </w:rPr>
  </w:style>
  <w:style w:type="paragraph" w:customStyle="1" w:styleId="Formatvorlage">
    <w:name w:val="Formatvorlage"/>
    <w:basedOn w:val="Standard"/>
    <w:next w:val="Textkrper2"/>
    <w:uiPriority w:val="99"/>
    <w:pPr>
      <w:numPr>
        <w:ilvl w:val="12"/>
      </w:numPr>
      <w:ind w:firstLine="1"/>
    </w:pPr>
    <w:rPr>
      <w:rFonts w:cs="Arial"/>
      <w:sz w:val="20"/>
      <w:szCs w:val="20"/>
    </w:rPr>
  </w:style>
  <w:style w:type="character" w:styleId="BesuchterLink">
    <w:name w:val="FollowedHyperlink"/>
    <w:basedOn w:val="Absatz-Standardschriftart"/>
    <w:uiPriority w:val="99"/>
    <w:rPr>
      <w:color w:val="800080"/>
      <w:u w:val="single"/>
    </w:rPr>
  </w:style>
  <w:style w:type="paragraph" w:styleId="StandardWeb">
    <w:name w:val="Normal (Web)"/>
    <w:basedOn w:val="Standard"/>
    <w:uiPriority w:val="99"/>
    <w:pPr>
      <w:spacing w:before="100" w:after="100"/>
    </w:pPr>
    <w:rPr>
      <w:color w:val="000000"/>
    </w:rPr>
  </w:style>
  <w:style w:type="paragraph" w:styleId="Blocktext">
    <w:name w:val="Block Text"/>
    <w:basedOn w:val="Standard"/>
    <w:uiPriority w:val="99"/>
    <w:pPr>
      <w:widowControl w:val="0"/>
      <w:spacing w:line="278" w:lineRule="exact"/>
      <w:ind w:left="28" w:right="38"/>
      <w:jc w:val="both"/>
    </w:pPr>
    <w:rPr>
      <w:rFonts w:cs="Arial"/>
      <w:noProof/>
      <w:lang w:val="en-US"/>
    </w:rPr>
  </w:style>
  <w:style w:type="character" w:customStyle="1" w:styleId="Standard1">
    <w:name w:val="Standard1"/>
    <w:basedOn w:val="Absatz-Standardschriftart"/>
    <w:uiPriority w:val="99"/>
  </w:style>
  <w:style w:type="paragraph" w:customStyle="1" w:styleId="Formatvorlage1">
    <w:name w:val="Formatvorlage1"/>
    <w:basedOn w:val="Standard"/>
    <w:uiPriority w:val="99"/>
  </w:style>
  <w:style w:type="paragraph" w:customStyle="1" w:styleId="font5">
    <w:name w:val="font5"/>
    <w:basedOn w:val="Standard"/>
    <w:uiPriority w:val="99"/>
    <w:pPr>
      <w:spacing w:before="100" w:after="100"/>
    </w:pPr>
    <w:rPr>
      <w:rFonts w:cs="Arial"/>
      <w:szCs w:val="22"/>
    </w:rPr>
  </w:style>
  <w:style w:type="paragraph" w:customStyle="1" w:styleId="font6">
    <w:name w:val="font6"/>
    <w:basedOn w:val="Standard"/>
    <w:uiPriority w:val="99"/>
    <w:pPr>
      <w:spacing w:before="100" w:after="100"/>
    </w:pPr>
    <w:rPr>
      <w:rFonts w:cs="Arial"/>
      <w:sz w:val="20"/>
      <w:szCs w:val="20"/>
    </w:rPr>
  </w:style>
  <w:style w:type="paragraph" w:customStyle="1" w:styleId="font7">
    <w:name w:val="font7"/>
    <w:basedOn w:val="Standard"/>
    <w:uiPriority w:val="99"/>
    <w:pPr>
      <w:spacing w:before="100" w:after="100"/>
    </w:pPr>
    <w:rPr>
      <w:rFonts w:cs="Arial"/>
      <w:sz w:val="20"/>
      <w:szCs w:val="20"/>
    </w:rPr>
  </w:style>
  <w:style w:type="paragraph" w:customStyle="1" w:styleId="xl24">
    <w:name w:val="xl24"/>
    <w:basedOn w:val="Standard"/>
    <w:uiPriority w:val="99"/>
    <w:pPr>
      <w:spacing w:before="100" w:after="100"/>
    </w:pPr>
    <w:rPr>
      <w:szCs w:val="22"/>
    </w:rPr>
  </w:style>
  <w:style w:type="paragraph" w:customStyle="1" w:styleId="xl25">
    <w:name w:val="xl25"/>
    <w:basedOn w:val="Standard"/>
    <w:uiPriority w:val="99"/>
    <w:pPr>
      <w:spacing w:before="100" w:after="100"/>
    </w:pPr>
    <w:rPr>
      <w:rFonts w:cs="Arial"/>
    </w:rPr>
  </w:style>
  <w:style w:type="paragraph" w:customStyle="1" w:styleId="xl26">
    <w:name w:val="xl26"/>
    <w:basedOn w:val="Standard"/>
    <w:uiPriority w:val="99"/>
    <w:pPr>
      <w:spacing w:before="100" w:after="100"/>
    </w:pPr>
    <w:rPr>
      <w:rFonts w:cs="Arial"/>
    </w:rPr>
  </w:style>
  <w:style w:type="paragraph" w:customStyle="1" w:styleId="xl27">
    <w:name w:val="xl27"/>
    <w:basedOn w:val="Standard"/>
    <w:uiPriority w:val="99"/>
    <w:pPr>
      <w:spacing w:before="100" w:after="100"/>
    </w:pPr>
    <w:rPr>
      <w:rFonts w:ascii="Symbol" w:hAnsi="Symbol" w:cs="Symbol"/>
      <w:szCs w:val="22"/>
    </w:rPr>
  </w:style>
  <w:style w:type="paragraph" w:customStyle="1" w:styleId="xl28">
    <w:name w:val="xl28"/>
    <w:basedOn w:val="Standard"/>
    <w:uiPriority w:val="99"/>
    <w:pPr>
      <w:spacing w:before="100" w:after="100"/>
    </w:pPr>
    <w:rPr>
      <w:rFonts w:cs="Arial"/>
    </w:rPr>
  </w:style>
  <w:style w:type="paragraph" w:customStyle="1" w:styleId="xl29">
    <w:name w:val="xl29"/>
    <w:basedOn w:val="Standard"/>
    <w:uiPriority w:val="99"/>
    <w:pPr>
      <w:spacing w:before="100" w:after="100"/>
    </w:pPr>
  </w:style>
  <w:style w:type="paragraph" w:customStyle="1" w:styleId="xl30">
    <w:name w:val="xl30"/>
    <w:basedOn w:val="Standard"/>
    <w:uiPriority w:val="99"/>
    <w:pPr>
      <w:spacing w:before="100" w:after="100"/>
      <w:jc w:val="center"/>
    </w:pPr>
    <w:rPr>
      <w:rFonts w:ascii="Wingdings 2" w:hAnsi="Wingdings 2" w:cs="Wingdings 2"/>
      <w:szCs w:val="22"/>
    </w:rPr>
  </w:style>
  <w:style w:type="paragraph" w:customStyle="1" w:styleId="xl31">
    <w:name w:val="xl31"/>
    <w:basedOn w:val="Standard"/>
    <w:uiPriority w:val="99"/>
    <w:pPr>
      <w:spacing w:before="100" w:after="100"/>
      <w:jc w:val="center"/>
    </w:pPr>
    <w:rPr>
      <w:szCs w:val="22"/>
    </w:rPr>
  </w:style>
  <w:style w:type="paragraph" w:customStyle="1" w:styleId="xl32">
    <w:name w:val="xl32"/>
    <w:basedOn w:val="Standard"/>
    <w:uiPriority w:val="99"/>
    <w:pPr>
      <w:spacing w:before="100" w:after="100"/>
    </w:pPr>
    <w:rPr>
      <w:rFonts w:cs="Arial"/>
    </w:rPr>
  </w:style>
  <w:style w:type="paragraph" w:customStyle="1" w:styleId="xl33">
    <w:name w:val="xl33"/>
    <w:basedOn w:val="Standard"/>
    <w:uiPriority w:val="99"/>
    <w:pPr>
      <w:spacing w:before="100" w:after="100"/>
    </w:pPr>
    <w:rPr>
      <w:rFonts w:cs="Arial"/>
      <w:sz w:val="18"/>
      <w:szCs w:val="18"/>
    </w:rPr>
  </w:style>
  <w:style w:type="paragraph" w:customStyle="1" w:styleId="xl34">
    <w:name w:val="xl34"/>
    <w:basedOn w:val="Standard"/>
    <w:uiPriority w:val="99"/>
    <w:pPr>
      <w:spacing w:before="100" w:after="100"/>
    </w:pPr>
    <w:rPr>
      <w:rFonts w:ascii="Symbol" w:hAnsi="Symbol" w:cs="Symbol"/>
      <w:szCs w:val="22"/>
    </w:rPr>
  </w:style>
  <w:style w:type="paragraph" w:customStyle="1" w:styleId="xl35">
    <w:name w:val="xl35"/>
    <w:basedOn w:val="Standard"/>
    <w:uiPriority w:val="99"/>
    <w:pPr>
      <w:spacing w:before="100" w:after="100"/>
    </w:pPr>
    <w:rPr>
      <w:rFonts w:cs="Arial"/>
      <w:szCs w:val="22"/>
    </w:rPr>
  </w:style>
  <w:style w:type="paragraph" w:customStyle="1" w:styleId="xl36">
    <w:name w:val="xl36"/>
    <w:basedOn w:val="Standard"/>
    <w:uiPriority w:val="99"/>
    <w:pPr>
      <w:spacing w:before="100" w:after="100"/>
    </w:pPr>
    <w:rPr>
      <w:sz w:val="16"/>
      <w:szCs w:val="16"/>
    </w:rPr>
  </w:style>
  <w:style w:type="paragraph" w:customStyle="1" w:styleId="xl37">
    <w:name w:val="xl37"/>
    <w:basedOn w:val="Standard"/>
    <w:uiPriority w:val="99"/>
    <w:pPr>
      <w:spacing w:before="100" w:after="100"/>
    </w:pPr>
    <w:rPr>
      <w:szCs w:val="22"/>
    </w:rPr>
  </w:style>
  <w:style w:type="paragraph" w:customStyle="1" w:styleId="xl38">
    <w:name w:val="xl38"/>
    <w:basedOn w:val="Standard"/>
    <w:uiPriority w:val="99"/>
    <w:pPr>
      <w:spacing w:before="100" w:after="100"/>
      <w:jc w:val="center"/>
    </w:pPr>
    <w:rPr>
      <w:szCs w:val="22"/>
    </w:rPr>
  </w:style>
  <w:style w:type="paragraph" w:customStyle="1" w:styleId="xl39">
    <w:name w:val="xl39"/>
    <w:basedOn w:val="Standard"/>
    <w:uiPriority w:val="99"/>
    <w:pPr>
      <w:spacing w:before="100" w:after="100"/>
      <w:jc w:val="center"/>
    </w:pPr>
    <w:rPr>
      <w:szCs w:val="22"/>
    </w:rPr>
  </w:style>
  <w:style w:type="paragraph" w:customStyle="1" w:styleId="xl40">
    <w:name w:val="xl40"/>
    <w:basedOn w:val="Standard"/>
    <w:uiPriority w:val="99"/>
    <w:pPr>
      <w:spacing w:before="100" w:after="100"/>
    </w:pPr>
    <w:rPr>
      <w:szCs w:val="22"/>
    </w:rPr>
  </w:style>
  <w:style w:type="paragraph" w:customStyle="1" w:styleId="xl41">
    <w:name w:val="xl41"/>
    <w:basedOn w:val="Standard"/>
    <w:uiPriority w:val="99"/>
    <w:pPr>
      <w:spacing w:before="100" w:after="100"/>
    </w:pPr>
    <w:rPr>
      <w:szCs w:val="22"/>
    </w:rPr>
  </w:style>
  <w:style w:type="paragraph" w:customStyle="1" w:styleId="xl42">
    <w:name w:val="xl42"/>
    <w:basedOn w:val="Standard"/>
    <w:uiPriority w:val="99"/>
    <w:pPr>
      <w:spacing w:before="100" w:after="100"/>
    </w:pPr>
    <w:rPr>
      <w:rFonts w:cs="Arial"/>
    </w:rPr>
  </w:style>
  <w:style w:type="paragraph" w:customStyle="1" w:styleId="xl43">
    <w:name w:val="xl43"/>
    <w:basedOn w:val="Standard"/>
    <w:uiPriority w:val="99"/>
    <w:pPr>
      <w:spacing w:before="100" w:after="100"/>
    </w:pPr>
  </w:style>
  <w:style w:type="paragraph" w:customStyle="1" w:styleId="xl44">
    <w:name w:val="xl44"/>
    <w:basedOn w:val="Standard"/>
    <w:uiPriority w:val="99"/>
    <w:pPr>
      <w:spacing w:before="100" w:after="100"/>
    </w:pPr>
  </w:style>
  <w:style w:type="paragraph" w:customStyle="1" w:styleId="xl45">
    <w:name w:val="xl45"/>
    <w:basedOn w:val="Standard"/>
    <w:uiPriority w:val="99"/>
    <w:pPr>
      <w:spacing w:before="100" w:after="100"/>
      <w:jc w:val="center"/>
    </w:pPr>
    <w:rPr>
      <w:rFonts w:cs="Arial"/>
      <w:b/>
      <w:bCs/>
      <w:szCs w:val="22"/>
    </w:rPr>
  </w:style>
  <w:style w:type="paragraph" w:customStyle="1" w:styleId="xl46">
    <w:name w:val="xl46"/>
    <w:basedOn w:val="Standard"/>
    <w:uiPriority w:val="99"/>
    <w:pPr>
      <w:spacing w:before="100" w:after="100"/>
      <w:jc w:val="center"/>
    </w:pPr>
    <w:rPr>
      <w:rFonts w:cs="Arial"/>
      <w:b/>
      <w:bCs/>
      <w:szCs w:val="22"/>
    </w:rPr>
  </w:style>
  <w:style w:type="paragraph" w:customStyle="1" w:styleId="xl47">
    <w:name w:val="xl47"/>
    <w:basedOn w:val="Standard"/>
    <w:uiPriority w:val="99"/>
    <w:pPr>
      <w:spacing w:before="100" w:after="100"/>
    </w:pPr>
    <w:rPr>
      <w:rFonts w:cs="Arial"/>
      <w:sz w:val="18"/>
      <w:szCs w:val="18"/>
    </w:rPr>
  </w:style>
  <w:style w:type="paragraph" w:customStyle="1" w:styleId="xl48">
    <w:name w:val="xl48"/>
    <w:basedOn w:val="Standard"/>
    <w:uiPriority w:val="99"/>
    <w:pPr>
      <w:spacing w:before="100" w:after="100"/>
    </w:pPr>
    <w:rPr>
      <w:rFonts w:ascii="Symbol" w:hAnsi="Symbol" w:cs="Symbol"/>
      <w:szCs w:val="22"/>
    </w:rPr>
  </w:style>
  <w:style w:type="paragraph" w:customStyle="1" w:styleId="xl49">
    <w:name w:val="xl49"/>
    <w:basedOn w:val="Standard"/>
    <w:uiPriority w:val="99"/>
    <w:pPr>
      <w:spacing w:before="100" w:after="100"/>
    </w:pPr>
    <w:rPr>
      <w:rFonts w:cs="Arial"/>
      <w:szCs w:val="22"/>
    </w:rPr>
  </w:style>
  <w:style w:type="paragraph" w:customStyle="1" w:styleId="xl50">
    <w:name w:val="xl50"/>
    <w:basedOn w:val="Standard"/>
    <w:uiPriority w:val="99"/>
    <w:pPr>
      <w:spacing w:before="100" w:after="100"/>
    </w:pPr>
    <w:rPr>
      <w:sz w:val="16"/>
      <w:szCs w:val="16"/>
    </w:rPr>
  </w:style>
  <w:style w:type="paragraph" w:customStyle="1" w:styleId="Punkte">
    <w:name w:val="Punkte"/>
    <w:basedOn w:val="Standard"/>
    <w:uiPriority w:val="99"/>
    <w:pPr>
      <w:tabs>
        <w:tab w:val="num" w:pos="926"/>
      </w:tabs>
      <w:ind w:left="360" w:hanging="360"/>
    </w:pPr>
    <w:rPr>
      <w:rFonts w:cs="Arial"/>
      <w:szCs w:val="22"/>
    </w:rPr>
  </w:style>
  <w:style w:type="paragraph" w:customStyle="1" w:styleId="CharCharCharCharCharCharCharCharCharChar">
    <w:name w:val="Char Char Char Char Char Char Char Char Char Char"/>
    <w:basedOn w:val="Standard"/>
    <w:uiPriority w:val="99"/>
    <w:pPr>
      <w:spacing w:after="160" w:line="240" w:lineRule="exact"/>
    </w:pPr>
    <w:rPr>
      <w:rFonts w:ascii="Verdana" w:hAnsi="Verdana" w:cs="Verdana"/>
      <w:sz w:val="20"/>
      <w:szCs w:val="20"/>
      <w:lang w:val="en-US"/>
    </w:rPr>
  </w:style>
  <w:style w:type="character" w:customStyle="1" w:styleId="FontStyle35">
    <w:name w:val="Font Style35"/>
    <w:basedOn w:val="Absatz-Standardschriftart"/>
    <w:uiPriority w:val="99"/>
    <w:rPr>
      <w:rFonts w:ascii="Arial" w:hAnsi="Arial" w:cs="Arial"/>
      <w:color w:val="000000"/>
      <w:sz w:val="20"/>
      <w:szCs w:val="20"/>
      <w:lang w:val="en-US"/>
    </w:rPr>
  </w:style>
  <w:style w:type="character" w:customStyle="1" w:styleId="Flietext">
    <w:name w:val="Fließtext_"/>
    <w:uiPriority w:val="99"/>
    <w:rPr>
      <w:rFonts w:ascii="Verdana" w:hAnsi="Verdana" w:cs="Verdana"/>
      <w:lang w:val="en-US"/>
    </w:rPr>
  </w:style>
  <w:style w:type="paragraph" w:customStyle="1" w:styleId="Flietext1">
    <w:name w:val="Fließtext1"/>
    <w:basedOn w:val="Standard"/>
    <w:uiPriority w:val="99"/>
    <w:pPr>
      <w:widowControl w:val="0"/>
      <w:shd w:val="clear" w:color="auto" w:fill="FFFFFF"/>
      <w:spacing w:line="279" w:lineRule="exact"/>
      <w:ind w:hanging="340"/>
      <w:jc w:val="both"/>
    </w:pPr>
    <w:rPr>
      <w:rFonts w:ascii="Verdana" w:hAnsi="Verdana" w:cs="Verdana"/>
      <w:sz w:val="20"/>
      <w:szCs w:val="20"/>
      <w:lang w:val="en-US"/>
    </w:rPr>
  </w:style>
  <w:style w:type="paragraph" w:styleId="Listenabsatz">
    <w:name w:val="List Paragraph"/>
    <w:basedOn w:val="Standard"/>
    <w:uiPriority w:val="34"/>
    <w:qFormat/>
    <w:rsid w:val="00854F6E"/>
    <w:pPr>
      <w:ind w:left="720"/>
      <w:contextualSpacing/>
    </w:pPr>
  </w:style>
  <w:style w:type="paragraph" w:customStyle="1" w:styleId="Default">
    <w:name w:val="Default"/>
    <w:rsid w:val="00BE536A"/>
    <w:pPr>
      <w:autoSpaceDE w:val="0"/>
      <w:autoSpaceDN w:val="0"/>
      <w:adjustRightInd w:val="0"/>
    </w:pPr>
    <w:rPr>
      <w:rFonts w:ascii="Times New Roman" w:hAnsi="Times New Roman"/>
      <w:color w:val="000000"/>
      <w:sz w:val="24"/>
      <w:szCs w:val="24"/>
    </w:rPr>
  </w:style>
  <w:style w:type="character" w:customStyle="1" w:styleId="nlmcontrib-group">
    <w:name w:val="nlm_contrib-group"/>
    <w:basedOn w:val="Absatz-Standardschriftart"/>
    <w:rsid w:val="00160778"/>
  </w:style>
  <w:style w:type="character" w:customStyle="1" w:styleId="contribdegrees">
    <w:name w:val="contribdegrees"/>
    <w:basedOn w:val="Absatz-Standardschriftart"/>
    <w:rsid w:val="00160778"/>
  </w:style>
  <w:style w:type="table" w:styleId="Tabellenraster">
    <w:name w:val="Table Grid"/>
    <w:basedOn w:val="NormaleTabelle"/>
    <w:rsid w:val="00EE18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uiPriority w:val="35"/>
    <w:unhideWhenUsed/>
    <w:qFormat/>
    <w:rsid w:val="00EC730A"/>
    <w:pPr>
      <w:spacing w:after="200"/>
    </w:pPr>
    <w:rPr>
      <w:bCs/>
      <w:szCs w:val="18"/>
    </w:rPr>
  </w:style>
  <w:style w:type="paragraph" w:customStyle="1" w:styleId="Tabletext">
    <w:name w:val="Table text"/>
    <w:basedOn w:val="Textkrper"/>
    <w:rsid w:val="00C6682E"/>
    <w:pPr>
      <w:keepLines/>
      <w:autoSpaceDE/>
      <w:autoSpaceDN/>
      <w:spacing w:before="40" w:after="40"/>
    </w:pPr>
    <w:rPr>
      <w:rFonts w:cs="Arial"/>
      <w:sz w:val="18"/>
      <w:szCs w:val="18"/>
      <w:lang w:val="en-US"/>
    </w:rPr>
  </w:style>
  <w:style w:type="numbering" w:customStyle="1" w:styleId="KeineListe1">
    <w:name w:val="Keine Liste1"/>
    <w:next w:val="KeineListe"/>
    <w:uiPriority w:val="99"/>
    <w:semiHidden/>
    <w:unhideWhenUsed/>
    <w:rsid w:val="009460AC"/>
  </w:style>
  <w:style w:type="paragraph" w:customStyle="1" w:styleId="ATitelFZoA">
    <w:name w:val="A Titel FZ oA"/>
    <w:basedOn w:val="Standard"/>
    <w:uiPriority w:val="99"/>
    <w:rsid w:val="009460AC"/>
    <w:pPr>
      <w:autoSpaceDE/>
      <w:autoSpaceDN/>
      <w:spacing w:line="240" w:lineRule="auto"/>
      <w:jc w:val="center"/>
    </w:pPr>
    <w:rPr>
      <w:rFonts w:ascii="Times New Roman Fett" w:hAnsi="Times New Roman Fett" w:cs="Arial"/>
      <w:b/>
      <w:szCs w:val="28"/>
    </w:rPr>
  </w:style>
  <w:style w:type="paragraph" w:styleId="HTMLVorformatiert">
    <w:name w:val="HTML Preformatted"/>
    <w:basedOn w:val="Standard"/>
    <w:link w:val="HTMLVorformatiertZchn"/>
    <w:uiPriority w:val="99"/>
    <w:rsid w:val="00946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pPr>
    <w:rPr>
      <w:rFonts w:ascii="Courier New" w:eastAsia="MS Mincho" w:hAnsi="Courier New" w:cs="Courier New"/>
      <w:sz w:val="20"/>
      <w:szCs w:val="20"/>
      <w:lang w:eastAsia="ja-JP"/>
    </w:rPr>
  </w:style>
  <w:style w:type="character" w:customStyle="1" w:styleId="HTMLVorformatiertZchn">
    <w:name w:val="HTML Vorformatiert Zchn"/>
    <w:basedOn w:val="Absatz-Standardschriftart"/>
    <w:link w:val="HTMLVorformatiert"/>
    <w:uiPriority w:val="99"/>
    <w:rsid w:val="009460AC"/>
    <w:rPr>
      <w:rFonts w:ascii="Courier New" w:eastAsia="MS Mincho" w:hAnsi="Courier New" w:cs="Courier New"/>
      <w:lang w:eastAsia="ja-JP"/>
    </w:rPr>
  </w:style>
  <w:style w:type="character" w:customStyle="1" w:styleId="longtext">
    <w:name w:val="long_text"/>
    <w:uiPriority w:val="99"/>
    <w:rsid w:val="009460AC"/>
  </w:style>
  <w:style w:type="character" w:customStyle="1" w:styleId="shorttext">
    <w:name w:val="short_text"/>
    <w:uiPriority w:val="99"/>
    <w:rsid w:val="009460AC"/>
  </w:style>
  <w:style w:type="table" w:customStyle="1" w:styleId="Tabellenraster1">
    <w:name w:val="Tabellenraster1"/>
    <w:basedOn w:val="NormaleTabelle"/>
    <w:next w:val="Tabellenraster"/>
    <w:locked/>
    <w:rsid w:val="009460AC"/>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Standard"/>
    <w:next w:val="Standard"/>
    <w:autoRedefine/>
    <w:uiPriority w:val="99"/>
    <w:unhideWhenUsed/>
    <w:rsid w:val="009460AC"/>
    <w:pPr>
      <w:autoSpaceDE/>
      <w:autoSpaceDN/>
      <w:spacing w:line="240" w:lineRule="auto"/>
      <w:ind w:left="220" w:hanging="220"/>
    </w:pPr>
    <w:rPr>
      <w:rFonts w:cs="Arial"/>
    </w:rPr>
  </w:style>
  <w:style w:type="paragraph" w:styleId="Index2">
    <w:name w:val="index 2"/>
    <w:basedOn w:val="Standard"/>
    <w:next w:val="Standard"/>
    <w:autoRedefine/>
    <w:uiPriority w:val="99"/>
    <w:unhideWhenUsed/>
    <w:rsid w:val="009460AC"/>
    <w:pPr>
      <w:autoSpaceDE/>
      <w:autoSpaceDN/>
      <w:spacing w:line="240" w:lineRule="auto"/>
      <w:ind w:left="440" w:hanging="220"/>
    </w:pPr>
    <w:rPr>
      <w:rFonts w:cs="Arial"/>
    </w:rPr>
  </w:style>
  <w:style w:type="paragraph" w:styleId="Index3">
    <w:name w:val="index 3"/>
    <w:basedOn w:val="Standard"/>
    <w:next w:val="Standard"/>
    <w:autoRedefine/>
    <w:uiPriority w:val="99"/>
    <w:unhideWhenUsed/>
    <w:rsid w:val="009460AC"/>
    <w:pPr>
      <w:autoSpaceDE/>
      <w:autoSpaceDN/>
      <w:spacing w:line="240" w:lineRule="auto"/>
      <w:ind w:left="660" w:hanging="220"/>
    </w:pPr>
    <w:rPr>
      <w:rFonts w:cs="Arial"/>
    </w:rPr>
  </w:style>
  <w:style w:type="paragraph" w:styleId="Index4">
    <w:name w:val="index 4"/>
    <w:basedOn w:val="Standard"/>
    <w:next w:val="Standard"/>
    <w:autoRedefine/>
    <w:uiPriority w:val="99"/>
    <w:unhideWhenUsed/>
    <w:rsid w:val="009460AC"/>
    <w:pPr>
      <w:autoSpaceDE/>
      <w:autoSpaceDN/>
      <w:spacing w:line="240" w:lineRule="auto"/>
      <w:ind w:left="880" w:hanging="220"/>
    </w:pPr>
    <w:rPr>
      <w:rFonts w:cs="Arial"/>
    </w:rPr>
  </w:style>
  <w:style w:type="paragraph" w:styleId="Index5">
    <w:name w:val="index 5"/>
    <w:basedOn w:val="Standard"/>
    <w:next w:val="Standard"/>
    <w:autoRedefine/>
    <w:uiPriority w:val="99"/>
    <w:unhideWhenUsed/>
    <w:rsid w:val="009460AC"/>
    <w:pPr>
      <w:autoSpaceDE/>
      <w:autoSpaceDN/>
      <w:spacing w:line="240" w:lineRule="auto"/>
      <w:ind w:left="1100" w:hanging="220"/>
    </w:pPr>
    <w:rPr>
      <w:rFonts w:cs="Arial"/>
    </w:rPr>
  </w:style>
  <w:style w:type="paragraph" w:styleId="Index6">
    <w:name w:val="index 6"/>
    <w:basedOn w:val="Standard"/>
    <w:next w:val="Standard"/>
    <w:autoRedefine/>
    <w:uiPriority w:val="99"/>
    <w:unhideWhenUsed/>
    <w:rsid w:val="009460AC"/>
    <w:pPr>
      <w:autoSpaceDE/>
      <w:autoSpaceDN/>
      <w:spacing w:line="240" w:lineRule="auto"/>
      <w:ind w:left="1320" w:hanging="220"/>
    </w:pPr>
    <w:rPr>
      <w:rFonts w:cs="Arial"/>
    </w:rPr>
  </w:style>
  <w:style w:type="paragraph" w:styleId="Index7">
    <w:name w:val="index 7"/>
    <w:basedOn w:val="Standard"/>
    <w:next w:val="Standard"/>
    <w:autoRedefine/>
    <w:uiPriority w:val="99"/>
    <w:unhideWhenUsed/>
    <w:rsid w:val="009460AC"/>
    <w:pPr>
      <w:autoSpaceDE/>
      <w:autoSpaceDN/>
      <w:spacing w:line="240" w:lineRule="auto"/>
      <w:ind w:left="1540" w:hanging="220"/>
    </w:pPr>
    <w:rPr>
      <w:rFonts w:cs="Arial"/>
    </w:rPr>
  </w:style>
  <w:style w:type="paragraph" w:styleId="Index8">
    <w:name w:val="index 8"/>
    <w:basedOn w:val="Standard"/>
    <w:next w:val="Standard"/>
    <w:autoRedefine/>
    <w:uiPriority w:val="99"/>
    <w:unhideWhenUsed/>
    <w:rsid w:val="009460AC"/>
    <w:pPr>
      <w:autoSpaceDE/>
      <w:autoSpaceDN/>
      <w:spacing w:line="240" w:lineRule="auto"/>
      <w:ind w:left="1760" w:hanging="220"/>
    </w:pPr>
    <w:rPr>
      <w:rFonts w:cs="Arial"/>
    </w:rPr>
  </w:style>
  <w:style w:type="paragraph" w:styleId="Index9">
    <w:name w:val="index 9"/>
    <w:basedOn w:val="Standard"/>
    <w:next w:val="Standard"/>
    <w:autoRedefine/>
    <w:uiPriority w:val="99"/>
    <w:unhideWhenUsed/>
    <w:rsid w:val="009460AC"/>
    <w:pPr>
      <w:autoSpaceDE/>
      <w:autoSpaceDN/>
      <w:spacing w:line="240" w:lineRule="auto"/>
      <w:ind w:left="1980" w:hanging="220"/>
    </w:pPr>
    <w:rPr>
      <w:rFonts w:cs="Arial"/>
    </w:rPr>
  </w:style>
  <w:style w:type="paragraph" w:styleId="Indexberschrift">
    <w:name w:val="index heading"/>
    <w:basedOn w:val="Standard"/>
    <w:next w:val="Index1"/>
    <w:uiPriority w:val="99"/>
    <w:unhideWhenUsed/>
    <w:rsid w:val="009460AC"/>
    <w:pPr>
      <w:autoSpaceDE/>
      <w:autoSpaceDN/>
      <w:spacing w:line="240" w:lineRule="auto"/>
    </w:pPr>
    <w:rPr>
      <w:rFonts w:cs="Arial"/>
    </w:rPr>
  </w:style>
  <w:style w:type="paragraph" w:customStyle="1" w:styleId="Vordruck">
    <w:name w:val="Vordruck"/>
    <w:rsid w:val="009460AC"/>
    <w:pPr>
      <w:overflowPunct w:val="0"/>
      <w:autoSpaceDE w:val="0"/>
      <w:autoSpaceDN w:val="0"/>
      <w:adjustRightInd w:val="0"/>
      <w:textAlignment w:val="baseline"/>
    </w:pPr>
    <w:rPr>
      <w:rFonts w:ascii="Times New Roman" w:hAnsi="Times New Roman"/>
      <w:sz w:val="24"/>
      <w:szCs w:val="24"/>
    </w:rPr>
  </w:style>
  <w:style w:type="table" w:customStyle="1" w:styleId="HelleListe1">
    <w:name w:val="Helle Liste1"/>
    <w:basedOn w:val="NormaleTabelle"/>
    <w:next w:val="HelleListe"/>
    <w:uiPriority w:val="61"/>
    <w:rsid w:val="009460AC"/>
    <w:rPr>
      <w:rFonts w:ascii="Arial" w:hAnsi="Arial" w:cs="Arial"/>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HellesRaster1">
    <w:name w:val="Helles Raster1"/>
    <w:basedOn w:val="NormaleTabelle"/>
    <w:next w:val="HellesRaster"/>
    <w:uiPriority w:val="62"/>
    <w:rsid w:val="009460AC"/>
    <w:rPr>
      <w:rFonts w:ascii="Arial" w:hAnsi="Arial" w:cs="Arial"/>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MS Gothic"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MS Gothic"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Sample">
    <w:name w:val="Sample"/>
    <w:rsid w:val="009460AC"/>
    <w:rPr>
      <w:color w:val="808080"/>
      <w:lang w:val="en-GB"/>
    </w:rPr>
  </w:style>
  <w:style w:type="table" w:styleId="HelleListe">
    <w:name w:val="Light List"/>
    <w:basedOn w:val="NormaleTabelle"/>
    <w:uiPriority w:val="61"/>
    <w:rsid w:val="009460A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sRaster">
    <w:name w:val="Light Grid"/>
    <w:basedOn w:val="NormaleTabelle"/>
    <w:uiPriority w:val="62"/>
    <w:rsid w:val="009460A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ellenraster2">
    <w:name w:val="Tabellenraster2"/>
    <w:basedOn w:val="NormaleTabelle"/>
    <w:next w:val="Tabellenraster"/>
    <w:locked/>
    <w:rsid w:val="009460AC"/>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locked/>
    <w:rsid w:val="009460AC"/>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qFormat/>
    <w:rsid w:val="001D1BC4"/>
    <w:rPr>
      <w:b/>
      <w:bCs/>
    </w:rPr>
  </w:style>
  <w:style w:type="character" w:styleId="Hervorhebung">
    <w:name w:val="Emphasis"/>
    <w:basedOn w:val="Absatz-Standardschriftart"/>
    <w:uiPriority w:val="20"/>
    <w:qFormat/>
    <w:rsid w:val="001D1BC4"/>
    <w:rPr>
      <w:i/>
      <w:iCs/>
    </w:rPr>
  </w:style>
  <w:style w:type="paragraph" w:customStyle="1" w:styleId="EndNoteBibliographyTitle">
    <w:name w:val="EndNote Bibliography Title"/>
    <w:basedOn w:val="Standard"/>
    <w:link w:val="EndNoteBibliographyTitleZchn"/>
    <w:rsid w:val="001D1BC4"/>
    <w:pPr>
      <w:jc w:val="center"/>
    </w:pPr>
    <w:rPr>
      <w:rFonts w:cs="Arial"/>
      <w:noProof/>
    </w:rPr>
  </w:style>
  <w:style w:type="character" w:customStyle="1" w:styleId="EndNoteBibliographyTitleZchn">
    <w:name w:val="EndNote Bibliography Title Zchn"/>
    <w:basedOn w:val="Absatz-Standardschriftart"/>
    <w:link w:val="EndNoteBibliographyTitle"/>
    <w:rsid w:val="001D1BC4"/>
    <w:rPr>
      <w:rFonts w:ascii="Arial" w:hAnsi="Arial" w:cs="Arial"/>
      <w:noProof/>
      <w:sz w:val="22"/>
      <w:szCs w:val="24"/>
    </w:rPr>
  </w:style>
  <w:style w:type="paragraph" w:customStyle="1" w:styleId="EndNoteBibliography">
    <w:name w:val="EndNote Bibliography"/>
    <w:basedOn w:val="Standard"/>
    <w:link w:val="EndNoteBibliographyZchn"/>
    <w:rsid w:val="001D1BC4"/>
    <w:pPr>
      <w:spacing w:line="240" w:lineRule="atLeast"/>
      <w:jc w:val="both"/>
    </w:pPr>
    <w:rPr>
      <w:rFonts w:cs="Arial"/>
      <w:noProof/>
    </w:rPr>
  </w:style>
  <w:style w:type="character" w:customStyle="1" w:styleId="EndNoteBibliographyZchn">
    <w:name w:val="EndNote Bibliography Zchn"/>
    <w:basedOn w:val="Absatz-Standardschriftart"/>
    <w:link w:val="EndNoteBibliography"/>
    <w:rsid w:val="001D1BC4"/>
    <w:rPr>
      <w:rFonts w:ascii="Arial" w:hAnsi="Arial" w:cs="Arial"/>
      <w:noProof/>
      <w:sz w:val="22"/>
      <w:szCs w:val="24"/>
    </w:rPr>
  </w:style>
  <w:style w:type="paragraph" w:styleId="berarbeitung">
    <w:name w:val="Revision"/>
    <w:hidden/>
    <w:uiPriority w:val="99"/>
    <w:semiHidden/>
    <w:rsid w:val="008E746B"/>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906">
      <w:bodyDiv w:val="1"/>
      <w:marLeft w:val="0"/>
      <w:marRight w:val="0"/>
      <w:marTop w:val="0"/>
      <w:marBottom w:val="0"/>
      <w:divBdr>
        <w:top w:val="none" w:sz="0" w:space="0" w:color="auto"/>
        <w:left w:val="none" w:sz="0" w:space="0" w:color="auto"/>
        <w:bottom w:val="none" w:sz="0" w:space="0" w:color="auto"/>
        <w:right w:val="none" w:sz="0" w:space="0" w:color="auto"/>
      </w:divBdr>
    </w:div>
    <w:div w:id="51125534">
      <w:bodyDiv w:val="1"/>
      <w:marLeft w:val="0"/>
      <w:marRight w:val="0"/>
      <w:marTop w:val="0"/>
      <w:marBottom w:val="0"/>
      <w:divBdr>
        <w:top w:val="none" w:sz="0" w:space="0" w:color="auto"/>
        <w:left w:val="none" w:sz="0" w:space="0" w:color="auto"/>
        <w:bottom w:val="none" w:sz="0" w:space="0" w:color="auto"/>
        <w:right w:val="none" w:sz="0" w:space="0" w:color="auto"/>
      </w:divBdr>
      <w:divsChild>
        <w:div w:id="2033606552">
          <w:marLeft w:val="0"/>
          <w:marRight w:val="0"/>
          <w:marTop w:val="0"/>
          <w:marBottom w:val="0"/>
          <w:divBdr>
            <w:top w:val="none" w:sz="0" w:space="0" w:color="auto"/>
            <w:left w:val="none" w:sz="0" w:space="0" w:color="auto"/>
            <w:bottom w:val="none" w:sz="0" w:space="0" w:color="auto"/>
            <w:right w:val="none" w:sz="0" w:space="0" w:color="auto"/>
          </w:divBdr>
        </w:div>
        <w:div w:id="1788507641">
          <w:marLeft w:val="0"/>
          <w:marRight w:val="0"/>
          <w:marTop w:val="0"/>
          <w:marBottom w:val="0"/>
          <w:divBdr>
            <w:top w:val="none" w:sz="0" w:space="0" w:color="auto"/>
            <w:left w:val="none" w:sz="0" w:space="0" w:color="auto"/>
            <w:bottom w:val="none" w:sz="0" w:space="0" w:color="auto"/>
            <w:right w:val="none" w:sz="0" w:space="0" w:color="auto"/>
          </w:divBdr>
        </w:div>
        <w:div w:id="11422030">
          <w:marLeft w:val="0"/>
          <w:marRight w:val="0"/>
          <w:marTop w:val="0"/>
          <w:marBottom w:val="0"/>
          <w:divBdr>
            <w:top w:val="none" w:sz="0" w:space="0" w:color="auto"/>
            <w:left w:val="none" w:sz="0" w:space="0" w:color="auto"/>
            <w:bottom w:val="none" w:sz="0" w:space="0" w:color="auto"/>
            <w:right w:val="none" w:sz="0" w:space="0" w:color="auto"/>
          </w:divBdr>
        </w:div>
        <w:div w:id="1417248485">
          <w:marLeft w:val="0"/>
          <w:marRight w:val="0"/>
          <w:marTop w:val="0"/>
          <w:marBottom w:val="0"/>
          <w:divBdr>
            <w:top w:val="none" w:sz="0" w:space="0" w:color="auto"/>
            <w:left w:val="none" w:sz="0" w:space="0" w:color="auto"/>
            <w:bottom w:val="none" w:sz="0" w:space="0" w:color="auto"/>
            <w:right w:val="none" w:sz="0" w:space="0" w:color="auto"/>
          </w:divBdr>
        </w:div>
        <w:div w:id="1072774960">
          <w:marLeft w:val="0"/>
          <w:marRight w:val="0"/>
          <w:marTop w:val="0"/>
          <w:marBottom w:val="0"/>
          <w:divBdr>
            <w:top w:val="none" w:sz="0" w:space="0" w:color="auto"/>
            <w:left w:val="none" w:sz="0" w:space="0" w:color="auto"/>
            <w:bottom w:val="none" w:sz="0" w:space="0" w:color="auto"/>
            <w:right w:val="none" w:sz="0" w:space="0" w:color="auto"/>
          </w:divBdr>
        </w:div>
        <w:div w:id="762334109">
          <w:marLeft w:val="0"/>
          <w:marRight w:val="0"/>
          <w:marTop w:val="0"/>
          <w:marBottom w:val="0"/>
          <w:divBdr>
            <w:top w:val="none" w:sz="0" w:space="0" w:color="auto"/>
            <w:left w:val="none" w:sz="0" w:space="0" w:color="auto"/>
            <w:bottom w:val="none" w:sz="0" w:space="0" w:color="auto"/>
            <w:right w:val="none" w:sz="0" w:space="0" w:color="auto"/>
          </w:divBdr>
        </w:div>
        <w:div w:id="1767916912">
          <w:marLeft w:val="0"/>
          <w:marRight w:val="0"/>
          <w:marTop w:val="0"/>
          <w:marBottom w:val="0"/>
          <w:divBdr>
            <w:top w:val="none" w:sz="0" w:space="0" w:color="auto"/>
            <w:left w:val="none" w:sz="0" w:space="0" w:color="auto"/>
            <w:bottom w:val="none" w:sz="0" w:space="0" w:color="auto"/>
            <w:right w:val="none" w:sz="0" w:space="0" w:color="auto"/>
          </w:divBdr>
        </w:div>
      </w:divsChild>
    </w:div>
    <w:div w:id="65878191">
      <w:bodyDiv w:val="1"/>
      <w:marLeft w:val="0"/>
      <w:marRight w:val="0"/>
      <w:marTop w:val="0"/>
      <w:marBottom w:val="0"/>
      <w:divBdr>
        <w:top w:val="none" w:sz="0" w:space="0" w:color="auto"/>
        <w:left w:val="none" w:sz="0" w:space="0" w:color="auto"/>
        <w:bottom w:val="none" w:sz="0" w:space="0" w:color="auto"/>
        <w:right w:val="none" w:sz="0" w:space="0" w:color="auto"/>
      </w:divBdr>
    </w:div>
    <w:div w:id="191773844">
      <w:bodyDiv w:val="1"/>
      <w:marLeft w:val="0"/>
      <w:marRight w:val="0"/>
      <w:marTop w:val="0"/>
      <w:marBottom w:val="0"/>
      <w:divBdr>
        <w:top w:val="none" w:sz="0" w:space="0" w:color="auto"/>
        <w:left w:val="none" w:sz="0" w:space="0" w:color="auto"/>
        <w:bottom w:val="none" w:sz="0" w:space="0" w:color="auto"/>
        <w:right w:val="none" w:sz="0" w:space="0" w:color="auto"/>
      </w:divBdr>
    </w:div>
    <w:div w:id="200440517">
      <w:bodyDiv w:val="1"/>
      <w:marLeft w:val="0"/>
      <w:marRight w:val="0"/>
      <w:marTop w:val="0"/>
      <w:marBottom w:val="0"/>
      <w:divBdr>
        <w:top w:val="none" w:sz="0" w:space="0" w:color="auto"/>
        <w:left w:val="none" w:sz="0" w:space="0" w:color="auto"/>
        <w:bottom w:val="none" w:sz="0" w:space="0" w:color="auto"/>
        <w:right w:val="none" w:sz="0" w:space="0" w:color="auto"/>
      </w:divBdr>
    </w:div>
    <w:div w:id="250117742">
      <w:bodyDiv w:val="1"/>
      <w:marLeft w:val="0"/>
      <w:marRight w:val="0"/>
      <w:marTop w:val="0"/>
      <w:marBottom w:val="0"/>
      <w:divBdr>
        <w:top w:val="none" w:sz="0" w:space="0" w:color="auto"/>
        <w:left w:val="none" w:sz="0" w:space="0" w:color="auto"/>
        <w:bottom w:val="none" w:sz="0" w:space="0" w:color="auto"/>
        <w:right w:val="none" w:sz="0" w:space="0" w:color="auto"/>
      </w:divBdr>
    </w:div>
    <w:div w:id="307592019">
      <w:bodyDiv w:val="1"/>
      <w:marLeft w:val="0"/>
      <w:marRight w:val="0"/>
      <w:marTop w:val="0"/>
      <w:marBottom w:val="0"/>
      <w:divBdr>
        <w:top w:val="none" w:sz="0" w:space="0" w:color="auto"/>
        <w:left w:val="none" w:sz="0" w:space="0" w:color="auto"/>
        <w:bottom w:val="none" w:sz="0" w:space="0" w:color="auto"/>
        <w:right w:val="none" w:sz="0" w:space="0" w:color="auto"/>
      </w:divBdr>
    </w:div>
    <w:div w:id="315569531">
      <w:bodyDiv w:val="1"/>
      <w:marLeft w:val="0"/>
      <w:marRight w:val="0"/>
      <w:marTop w:val="0"/>
      <w:marBottom w:val="0"/>
      <w:divBdr>
        <w:top w:val="none" w:sz="0" w:space="0" w:color="auto"/>
        <w:left w:val="none" w:sz="0" w:space="0" w:color="auto"/>
        <w:bottom w:val="none" w:sz="0" w:space="0" w:color="auto"/>
        <w:right w:val="none" w:sz="0" w:space="0" w:color="auto"/>
      </w:divBdr>
    </w:div>
    <w:div w:id="566114826">
      <w:bodyDiv w:val="1"/>
      <w:marLeft w:val="0"/>
      <w:marRight w:val="0"/>
      <w:marTop w:val="0"/>
      <w:marBottom w:val="0"/>
      <w:divBdr>
        <w:top w:val="none" w:sz="0" w:space="0" w:color="auto"/>
        <w:left w:val="none" w:sz="0" w:space="0" w:color="auto"/>
        <w:bottom w:val="none" w:sz="0" w:space="0" w:color="auto"/>
        <w:right w:val="none" w:sz="0" w:space="0" w:color="auto"/>
      </w:divBdr>
    </w:div>
    <w:div w:id="607351786">
      <w:bodyDiv w:val="1"/>
      <w:marLeft w:val="0"/>
      <w:marRight w:val="0"/>
      <w:marTop w:val="0"/>
      <w:marBottom w:val="0"/>
      <w:divBdr>
        <w:top w:val="none" w:sz="0" w:space="0" w:color="auto"/>
        <w:left w:val="none" w:sz="0" w:space="0" w:color="auto"/>
        <w:bottom w:val="none" w:sz="0" w:space="0" w:color="auto"/>
        <w:right w:val="none" w:sz="0" w:space="0" w:color="auto"/>
      </w:divBdr>
    </w:div>
    <w:div w:id="624894365">
      <w:bodyDiv w:val="1"/>
      <w:marLeft w:val="0"/>
      <w:marRight w:val="0"/>
      <w:marTop w:val="0"/>
      <w:marBottom w:val="0"/>
      <w:divBdr>
        <w:top w:val="none" w:sz="0" w:space="0" w:color="auto"/>
        <w:left w:val="none" w:sz="0" w:space="0" w:color="auto"/>
        <w:bottom w:val="none" w:sz="0" w:space="0" w:color="auto"/>
        <w:right w:val="none" w:sz="0" w:space="0" w:color="auto"/>
      </w:divBdr>
    </w:div>
    <w:div w:id="691226001">
      <w:bodyDiv w:val="1"/>
      <w:marLeft w:val="0"/>
      <w:marRight w:val="0"/>
      <w:marTop w:val="0"/>
      <w:marBottom w:val="0"/>
      <w:divBdr>
        <w:top w:val="none" w:sz="0" w:space="0" w:color="auto"/>
        <w:left w:val="none" w:sz="0" w:space="0" w:color="auto"/>
        <w:bottom w:val="none" w:sz="0" w:space="0" w:color="auto"/>
        <w:right w:val="none" w:sz="0" w:space="0" w:color="auto"/>
      </w:divBdr>
    </w:div>
    <w:div w:id="904531414">
      <w:bodyDiv w:val="1"/>
      <w:marLeft w:val="0"/>
      <w:marRight w:val="0"/>
      <w:marTop w:val="0"/>
      <w:marBottom w:val="0"/>
      <w:divBdr>
        <w:top w:val="none" w:sz="0" w:space="0" w:color="auto"/>
        <w:left w:val="none" w:sz="0" w:space="0" w:color="auto"/>
        <w:bottom w:val="none" w:sz="0" w:space="0" w:color="auto"/>
        <w:right w:val="none" w:sz="0" w:space="0" w:color="auto"/>
      </w:divBdr>
    </w:div>
    <w:div w:id="952055191">
      <w:bodyDiv w:val="1"/>
      <w:marLeft w:val="0"/>
      <w:marRight w:val="0"/>
      <w:marTop w:val="0"/>
      <w:marBottom w:val="0"/>
      <w:divBdr>
        <w:top w:val="none" w:sz="0" w:space="0" w:color="auto"/>
        <w:left w:val="none" w:sz="0" w:space="0" w:color="auto"/>
        <w:bottom w:val="none" w:sz="0" w:space="0" w:color="auto"/>
        <w:right w:val="none" w:sz="0" w:space="0" w:color="auto"/>
      </w:divBdr>
    </w:div>
    <w:div w:id="964578795">
      <w:bodyDiv w:val="1"/>
      <w:marLeft w:val="0"/>
      <w:marRight w:val="0"/>
      <w:marTop w:val="0"/>
      <w:marBottom w:val="0"/>
      <w:divBdr>
        <w:top w:val="none" w:sz="0" w:space="0" w:color="auto"/>
        <w:left w:val="none" w:sz="0" w:space="0" w:color="auto"/>
        <w:bottom w:val="none" w:sz="0" w:space="0" w:color="auto"/>
        <w:right w:val="none" w:sz="0" w:space="0" w:color="auto"/>
      </w:divBdr>
    </w:div>
    <w:div w:id="1312755412">
      <w:bodyDiv w:val="1"/>
      <w:marLeft w:val="0"/>
      <w:marRight w:val="0"/>
      <w:marTop w:val="0"/>
      <w:marBottom w:val="0"/>
      <w:divBdr>
        <w:top w:val="none" w:sz="0" w:space="0" w:color="auto"/>
        <w:left w:val="none" w:sz="0" w:space="0" w:color="auto"/>
        <w:bottom w:val="none" w:sz="0" w:space="0" w:color="auto"/>
        <w:right w:val="none" w:sz="0" w:space="0" w:color="auto"/>
      </w:divBdr>
    </w:div>
    <w:div w:id="1393968813">
      <w:bodyDiv w:val="1"/>
      <w:marLeft w:val="0"/>
      <w:marRight w:val="0"/>
      <w:marTop w:val="0"/>
      <w:marBottom w:val="0"/>
      <w:divBdr>
        <w:top w:val="none" w:sz="0" w:space="0" w:color="auto"/>
        <w:left w:val="none" w:sz="0" w:space="0" w:color="auto"/>
        <w:bottom w:val="none" w:sz="0" w:space="0" w:color="auto"/>
        <w:right w:val="none" w:sz="0" w:space="0" w:color="auto"/>
      </w:divBdr>
    </w:div>
    <w:div w:id="1427113977">
      <w:bodyDiv w:val="1"/>
      <w:marLeft w:val="0"/>
      <w:marRight w:val="0"/>
      <w:marTop w:val="0"/>
      <w:marBottom w:val="0"/>
      <w:divBdr>
        <w:top w:val="none" w:sz="0" w:space="0" w:color="auto"/>
        <w:left w:val="none" w:sz="0" w:space="0" w:color="auto"/>
        <w:bottom w:val="none" w:sz="0" w:space="0" w:color="auto"/>
        <w:right w:val="none" w:sz="0" w:space="0" w:color="auto"/>
      </w:divBdr>
    </w:div>
    <w:div w:id="1477800300">
      <w:bodyDiv w:val="1"/>
      <w:marLeft w:val="0"/>
      <w:marRight w:val="0"/>
      <w:marTop w:val="0"/>
      <w:marBottom w:val="0"/>
      <w:divBdr>
        <w:top w:val="none" w:sz="0" w:space="0" w:color="auto"/>
        <w:left w:val="none" w:sz="0" w:space="0" w:color="auto"/>
        <w:bottom w:val="none" w:sz="0" w:space="0" w:color="auto"/>
        <w:right w:val="none" w:sz="0" w:space="0" w:color="auto"/>
      </w:divBdr>
    </w:div>
    <w:div w:id="1507819402">
      <w:bodyDiv w:val="1"/>
      <w:marLeft w:val="0"/>
      <w:marRight w:val="0"/>
      <w:marTop w:val="0"/>
      <w:marBottom w:val="0"/>
      <w:divBdr>
        <w:top w:val="none" w:sz="0" w:space="0" w:color="auto"/>
        <w:left w:val="none" w:sz="0" w:space="0" w:color="auto"/>
        <w:bottom w:val="none" w:sz="0" w:space="0" w:color="auto"/>
        <w:right w:val="none" w:sz="0" w:space="0" w:color="auto"/>
      </w:divBdr>
    </w:div>
    <w:div w:id="1523401395">
      <w:bodyDiv w:val="1"/>
      <w:marLeft w:val="0"/>
      <w:marRight w:val="0"/>
      <w:marTop w:val="0"/>
      <w:marBottom w:val="0"/>
      <w:divBdr>
        <w:top w:val="none" w:sz="0" w:space="0" w:color="auto"/>
        <w:left w:val="none" w:sz="0" w:space="0" w:color="auto"/>
        <w:bottom w:val="none" w:sz="0" w:space="0" w:color="auto"/>
        <w:right w:val="none" w:sz="0" w:space="0" w:color="auto"/>
      </w:divBdr>
    </w:div>
    <w:div w:id="1696736953">
      <w:bodyDiv w:val="1"/>
      <w:marLeft w:val="0"/>
      <w:marRight w:val="0"/>
      <w:marTop w:val="0"/>
      <w:marBottom w:val="0"/>
      <w:divBdr>
        <w:top w:val="none" w:sz="0" w:space="0" w:color="auto"/>
        <w:left w:val="none" w:sz="0" w:space="0" w:color="auto"/>
        <w:bottom w:val="none" w:sz="0" w:space="0" w:color="auto"/>
        <w:right w:val="none" w:sz="0" w:space="0" w:color="auto"/>
      </w:divBdr>
    </w:div>
    <w:div w:id="1704868099">
      <w:bodyDiv w:val="1"/>
      <w:marLeft w:val="0"/>
      <w:marRight w:val="0"/>
      <w:marTop w:val="0"/>
      <w:marBottom w:val="0"/>
      <w:divBdr>
        <w:top w:val="none" w:sz="0" w:space="0" w:color="auto"/>
        <w:left w:val="none" w:sz="0" w:space="0" w:color="auto"/>
        <w:bottom w:val="none" w:sz="0" w:space="0" w:color="auto"/>
        <w:right w:val="none" w:sz="0" w:space="0" w:color="auto"/>
      </w:divBdr>
    </w:div>
    <w:div w:id="1712725333">
      <w:bodyDiv w:val="1"/>
      <w:marLeft w:val="0"/>
      <w:marRight w:val="0"/>
      <w:marTop w:val="0"/>
      <w:marBottom w:val="0"/>
      <w:divBdr>
        <w:top w:val="none" w:sz="0" w:space="0" w:color="auto"/>
        <w:left w:val="none" w:sz="0" w:space="0" w:color="auto"/>
        <w:bottom w:val="none" w:sz="0" w:space="0" w:color="auto"/>
        <w:right w:val="none" w:sz="0" w:space="0" w:color="auto"/>
      </w:divBdr>
    </w:div>
    <w:div w:id="1721706962">
      <w:bodyDiv w:val="1"/>
      <w:marLeft w:val="0"/>
      <w:marRight w:val="0"/>
      <w:marTop w:val="0"/>
      <w:marBottom w:val="0"/>
      <w:divBdr>
        <w:top w:val="none" w:sz="0" w:space="0" w:color="auto"/>
        <w:left w:val="none" w:sz="0" w:space="0" w:color="auto"/>
        <w:bottom w:val="none" w:sz="0" w:space="0" w:color="auto"/>
        <w:right w:val="none" w:sz="0" w:space="0" w:color="auto"/>
      </w:divBdr>
    </w:div>
    <w:div w:id="1728608105">
      <w:bodyDiv w:val="1"/>
      <w:marLeft w:val="0"/>
      <w:marRight w:val="0"/>
      <w:marTop w:val="0"/>
      <w:marBottom w:val="0"/>
      <w:divBdr>
        <w:top w:val="none" w:sz="0" w:space="0" w:color="auto"/>
        <w:left w:val="none" w:sz="0" w:space="0" w:color="auto"/>
        <w:bottom w:val="none" w:sz="0" w:space="0" w:color="auto"/>
        <w:right w:val="none" w:sz="0" w:space="0" w:color="auto"/>
      </w:divBdr>
    </w:div>
    <w:div w:id="1836795440">
      <w:bodyDiv w:val="1"/>
      <w:marLeft w:val="0"/>
      <w:marRight w:val="0"/>
      <w:marTop w:val="0"/>
      <w:marBottom w:val="0"/>
      <w:divBdr>
        <w:top w:val="none" w:sz="0" w:space="0" w:color="auto"/>
        <w:left w:val="none" w:sz="0" w:space="0" w:color="auto"/>
        <w:bottom w:val="none" w:sz="0" w:space="0" w:color="auto"/>
        <w:right w:val="none" w:sz="0" w:space="0" w:color="auto"/>
      </w:divBdr>
    </w:div>
    <w:div w:id="1881167016">
      <w:bodyDiv w:val="1"/>
      <w:marLeft w:val="0"/>
      <w:marRight w:val="0"/>
      <w:marTop w:val="0"/>
      <w:marBottom w:val="0"/>
      <w:divBdr>
        <w:top w:val="none" w:sz="0" w:space="0" w:color="auto"/>
        <w:left w:val="none" w:sz="0" w:space="0" w:color="auto"/>
        <w:bottom w:val="none" w:sz="0" w:space="0" w:color="auto"/>
        <w:right w:val="none" w:sz="0" w:space="0" w:color="auto"/>
      </w:divBdr>
    </w:div>
    <w:div w:id="1987585308">
      <w:bodyDiv w:val="1"/>
      <w:marLeft w:val="0"/>
      <w:marRight w:val="0"/>
      <w:marTop w:val="0"/>
      <w:marBottom w:val="0"/>
      <w:divBdr>
        <w:top w:val="none" w:sz="0" w:space="0" w:color="auto"/>
        <w:left w:val="none" w:sz="0" w:space="0" w:color="auto"/>
        <w:bottom w:val="none" w:sz="0" w:space="0" w:color="auto"/>
        <w:right w:val="none" w:sz="0" w:space="0" w:color="auto"/>
      </w:divBdr>
    </w:div>
    <w:div w:id="211709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23"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s\AppData\Local\Temp\en-sp07-a2-clinical-study-report-v04-template.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4B6A4A03697F4AAE21E07A803C22A3" ma:contentTypeVersion="10" ma:contentTypeDescription="Create a new document." ma:contentTypeScope="" ma:versionID="9c289f3be6a710984cbe189e6068417c">
  <xsd:schema xmlns:xsd="http://www.w3.org/2001/XMLSchema" xmlns:xs="http://www.w3.org/2001/XMLSchema" xmlns:p="http://schemas.microsoft.com/office/2006/metadata/properties" xmlns:ns2="0f270a7e-a8ee-4708-8a7b-a85e9a6bb11b" xmlns:ns3="59b4333b-8a30-4381-9627-766ecdfb8ce6" targetNamespace="http://schemas.microsoft.com/office/2006/metadata/properties" ma:root="true" ma:fieldsID="06efcf0f27e33cdb4a4288375b3e9876" ns2:_="" ns3:_="">
    <xsd:import namespace="0f270a7e-a8ee-4708-8a7b-a85e9a6bb11b"/>
    <xsd:import namespace="59b4333b-8a30-4381-9627-766ecdfb8ce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270a7e-a8ee-4708-8a7b-a85e9a6bb1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b4333b-8a30-4381-9627-766ecdfb8ce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5F63B-9275-4B8A-9C8B-139A94E108F1}">
  <ds:schemaRefs>
    <ds:schemaRef ds:uri="http://schemas.microsoft.com/sharepoint/v3/contenttype/forms"/>
  </ds:schemaRefs>
</ds:datastoreItem>
</file>

<file path=customXml/itemProps2.xml><?xml version="1.0" encoding="utf-8"?>
<ds:datastoreItem xmlns:ds="http://schemas.openxmlformats.org/officeDocument/2006/customXml" ds:itemID="{87D58061-D55A-4AEB-980E-B6482397B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270a7e-a8ee-4708-8a7b-a85e9a6bb11b"/>
    <ds:schemaRef ds:uri="59b4333b-8a30-4381-9627-766ecdfb8c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094A1-54A3-4089-804B-57930F6152BD}">
  <ds:schemaRefs>
    <ds:schemaRef ds:uri="0f270a7e-a8ee-4708-8a7b-a85e9a6bb1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9b4333b-8a30-4381-9627-766ecdfb8ce6"/>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2963B55-1298-4676-B832-DCC5DB794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en-sp07-a2-clinical-study-report-v04-template</Template>
  <TotalTime>0</TotalTime>
  <Pages>6</Pages>
  <Words>2234</Words>
  <Characters>12925</Characters>
  <Application>Microsoft Office Word</Application>
  <DocSecurity>0</DocSecurity>
  <Lines>107</Lines>
  <Paragraphs>30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SOP für klinische Studien: Anlage 2 zu Abschlussbericht nach AMG</vt:lpstr>
      <vt:lpstr>SOP für klinische Studien: Anlage 2 zu Abschlussbericht nach AMG</vt:lpstr>
    </vt:vector>
  </TitlesOfParts>
  <Company>Alcedis GmbH</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für klinische Studien: Anlage 2 zu Abschlussbericht nach AMG</dc:title>
  <dc:creator>Claudia Lorenz-Schlueter</dc:creator>
  <cp:lastModifiedBy>Kasper-Virchow, Stefan</cp:lastModifiedBy>
  <cp:revision>3</cp:revision>
  <cp:lastPrinted>2018-12-28T09:05:00Z</cp:lastPrinted>
  <dcterms:created xsi:type="dcterms:W3CDTF">2020-02-26T13:27:00Z</dcterms:created>
  <dcterms:modified xsi:type="dcterms:W3CDTF">2020-02-26T13:30:00Z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0x010100114B6A4A03697F4AAE21E07A803C22A3</vt:lpwstr>
  </property>
</Properties>
</file>