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48"/>
        <w:gridCol w:w="3197"/>
      </w:tblGrid>
      <w:tr w:rsidR="00345A71" w:rsidRPr="002B24F8" w:rsidTr="0058191A">
        <w:tc>
          <w:tcPr>
            <w:tcW w:w="9245" w:type="dxa"/>
            <w:gridSpan w:val="2"/>
            <w:tcBorders>
              <w:top w:val="single" w:sz="6" w:space="0" w:color="auto"/>
              <w:left w:val="single" w:sz="6" w:space="0" w:color="auto"/>
              <w:right w:val="single" w:sz="6" w:space="0" w:color="auto"/>
            </w:tcBorders>
          </w:tcPr>
          <w:p w:rsidR="00345A71" w:rsidRPr="002B24F8" w:rsidRDefault="00345A71" w:rsidP="00345A71">
            <w:pPr>
              <w:spacing w:before="40" w:after="40"/>
              <w:jc w:val="center"/>
              <w:rPr>
                <w:rFonts w:ascii="Arial" w:hAnsi="Arial" w:cs="Arial"/>
                <w:b/>
                <w:sz w:val="20"/>
                <w:lang w:val="en-US"/>
              </w:rPr>
            </w:pPr>
            <w:r>
              <w:rPr>
                <w:rFonts w:ascii="Arial" w:hAnsi="Arial" w:cs="Arial"/>
                <w:b/>
                <w:sz w:val="20"/>
                <w:lang w:val="en-US"/>
              </w:rPr>
              <w:t>STUDY SUMMARY</w:t>
            </w:r>
          </w:p>
        </w:tc>
      </w:tr>
      <w:tr w:rsidR="002F4DDE" w:rsidRPr="002B24F8" w:rsidTr="0058191A">
        <w:tc>
          <w:tcPr>
            <w:tcW w:w="9245" w:type="dxa"/>
            <w:gridSpan w:val="2"/>
            <w:tcBorders>
              <w:top w:val="single" w:sz="6" w:space="0" w:color="auto"/>
              <w:left w:val="single" w:sz="6" w:space="0" w:color="auto"/>
              <w:right w:val="single" w:sz="6" w:space="0" w:color="auto"/>
            </w:tcBorders>
          </w:tcPr>
          <w:p w:rsidR="002F4DDE" w:rsidRDefault="002F4DDE" w:rsidP="002F4DDE">
            <w:pPr>
              <w:spacing w:before="40" w:after="40"/>
              <w:rPr>
                <w:rFonts w:ascii="Arial" w:hAnsi="Arial" w:cs="Arial"/>
                <w:b/>
                <w:sz w:val="20"/>
                <w:lang w:val="en-US"/>
              </w:rPr>
            </w:pPr>
            <w:r>
              <w:rPr>
                <w:rFonts w:ascii="Arial" w:hAnsi="Arial" w:cs="Arial"/>
                <w:b/>
                <w:sz w:val="20"/>
                <w:lang w:val="en-US"/>
              </w:rPr>
              <w:t xml:space="preserve">Study Number: </w:t>
            </w:r>
            <w:r w:rsidRPr="002F4DDE">
              <w:rPr>
                <w:rFonts w:ascii="Arial" w:hAnsi="Arial" w:cs="Arial"/>
                <w:sz w:val="20"/>
                <w:lang w:val="en-US"/>
              </w:rPr>
              <w:t>BVT.BSSL-002</w:t>
            </w:r>
          </w:p>
        </w:tc>
      </w:tr>
      <w:tr w:rsidR="002F4DDE" w:rsidRPr="002B24F8" w:rsidTr="0058191A">
        <w:tc>
          <w:tcPr>
            <w:tcW w:w="9245" w:type="dxa"/>
            <w:gridSpan w:val="2"/>
            <w:tcBorders>
              <w:top w:val="single" w:sz="6" w:space="0" w:color="auto"/>
              <w:left w:val="single" w:sz="6" w:space="0" w:color="auto"/>
              <w:right w:val="single" w:sz="6" w:space="0" w:color="auto"/>
            </w:tcBorders>
          </w:tcPr>
          <w:p w:rsidR="002F4DDE" w:rsidRPr="002F4DDE" w:rsidRDefault="002F4DDE" w:rsidP="002F4DDE">
            <w:pPr>
              <w:spacing w:before="40" w:after="40"/>
              <w:rPr>
                <w:rFonts w:ascii="Arial" w:hAnsi="Arial" w:cs="Arial"/>
                <w:sz w:val="20"/>
                <w:lang w:val="en-US"/>
              </w:rPr>
            </w:pPr>
            <w:r>
              <w:rPr>
                <w:rFonts w:ascii="Arial" w:hAnsi="Arial" w:cs="Arial"/>
                <w:b/>
                <w:sz w:val="20"/>
                <w:lang w:val="en-US"/>
              </w:rPr>
              <w:t xml:space="preserve">EUDRACT No.: </w:t>
            </w:r>
            <w:r>
              <w:rPr>
                <w:rFonts w:ascii="Arial" w:hAnsi="Arial" w:cs="Arial"/>
                <w:sz w:val="20"/>
                <w:lang w:val="en-US"/>
              </w:rPr>
              <w:t>2007-004063-21</w:t>
            </w:r>
          </w:p>
        </w:tc>
      </w:tr>
      <w:tr w:rsidR="00345A71" w:rsidRPr="002B24F8" w:rsidTr="0058191A">
        <w:tc>
          <w:tcPr>
            <w:tcW w:w="9245" w:type="dxa"/>
            <w:gridSpan w:val="2"/>
            <w:tcBorders>
              <w:top w:val="single" w:sz="6" w:space="0" w:color="auto"/>
              <w:left w:val="single" w:sz="6" w:space="0" w:color="auto"/>
              <w:right w:val="single" w:sz="6" w:space="0" w:color="auto"/>
            </w:tcBorders>
          </w:tcPr>
          <w:p w:rsidR="00345A71" w:rsidRDefault="00345A71" w:rsidP="00345A71">
            <w:pPr>
              <w:spacing w:before="40" w:after="40"/>
              <w:rPr>
                <w:rFonts w:ascii="Arial" w:hAnsi="Arial" w:cs="Arial"/>
                <w:b/>
                <w:sz w:val="20"/>
                <w:lang w:val="en-US"/>
              </w:rPr>
            </w:pPr>
            <w:r w:rsidRPr="002B24F8">
              <w:rPr>
                <w:rFonts w:ascii="Arial" w:hAnsi="Arial" w:cs="Arial"/>
                <w:b/>
                <w:sz w:val="20"/>
                <w:lang w:val="en-US"/>
              </w:rPr>
              <w:t>Name of Sponsor:</w:t>
            </w:r>
          </w:p>
          <w:p w:rsidR="00345A71" w:rsidRPr="002B24F8" w:rsidRDefault="00345A71" w:rsidP="00345A71">
            <w:pPr>
              <w:spacing w:before="40" w:after="40"/>
              <w:rPr>
                <w:rFonts w:ascii="Arial" w:hAnsi="Arial" w:cs="Arial"/>
                <w:b/>
                <w:sz w:val="20"/>
                <w:lang w:val="en-US"/>
              </w:rPr>
            </w:pPr>
            <w:r w:rsidRPr="002B24F8">
              <w:rPr>
                <w:rFonts w:ascii="Arial" w:hAnsi="Arial" w:cs="Arial"/>
                <w:sz w:val="20"/>
                <w:lang w:val="en-US"/>
              </w:rPr>
              <w:t>Biovitrum AB</w:t>
            </w:r>
          </w:p>
        </w:tc>
      </w:tr>
      <w:tr w:rsidR="00345A71" w:rsidRPr="002B24F8" w:rsidTr="0058191A">
        <w:tc>
          <w:tcPr>
            <w:tcW w:w="9245" w:type="dxa"/>
            <w:gridSpan w:val="2"/>
            <w:tcBorders>
              <w:top w:val="single" w:sz="6" w:space="0" w:color="auto"/>
              <w:left w:val="single" w:sz="6" w:space="0" w:color="auto"/>
              <w:right w:val="single" w:sz="6" w:space="0" w:color="auto"/>
            </w:tcBorders>
          </w:tcPr>
          <w:p w:rsidR="00345A71" w:rsidRDefault="00345A71" w:rsidP="00345A71">
            <w:pPr>
              <w:spacing w:before="40" w:after="40"/>
              <w:rPr>
                <w:rFonts w:ascii="Arial" w:hAnsi="Arial" w:cs="Arial"/>
                <w:b/>
                <w:sz w:val="20"/>
                <w:lang w:val="en-US"/>
              </w:rPr>
            </w:pPr>
            <w:r w:rsidRPr="002B24F8">
              <w:rPr>
                <w:rFonts w:ascii="Arial" w:hAnsi="Arial" w:cs="Arial"/>
                <w:b/>
                <w:sz w:val="20"/>
                <w:lang w:val="en-US"/>
              </w:rPr>
              <w:t>Name of Finished Product:</w:t>
            </w:r>
          </w:p>
          <w:p w:rsidR="00345A71" w:rsidRPr="002B24F8" w:rsidRDefault="00345A71" w:rsidP="00345A71">
            <w:pPr>
              <w:spacing w:before="40" w:after="40"/>
              <w:rPr>
                <w:rFonts w:ascii="Arial" w:hAnsi="Arial" w:cs="Arial"/>
                <w:b/>
                <w:sz w:val="20"/>
                <w:lang w:val="en-US"/>
              </w:rPr>
            </w:pPr>
            <w:r w:rsidRPr="002B24F8">
              <w:rPr>
                <w:rFonts w:ascii="Arial" w:hAnsi="Arial" w:cs="Arial"/>
                <w:bCs/>
                <w:sz w:val="20"/>
                <w:lang w:val="en-US"/>
              </w:rPr>
              <w:t>Exinalda</w:t>
            </w:r>
          </w:p>
        </w:tc>
      </w:tr>
      <w:tr w:rsidR="00345A71" w:rsidRPr="002B24F8" w:rsidTr="0058191A">
        <w:tc>
          <w:tcPr>
            <w:tcW w:w="9245" w:type="dxa"/>
            <w:gridSpan w:val="2"/>
            <w:tcBorders>
              <w:top w:val="single" w:sz="6" w:space="0" w:color="auto"/>
              <w:left w:val="single" w:sz="6" w:space="0" w:color="auto"/>
              <w:right w:val="single" w:sz="6" w:space="0" w:color="auto"/>
            </w:tcBorders>
          </w:tcPr>
          <w:p w:rsidR="00345A71" w:rsidRDefault="00345A71" w:rsidP="00345A71">
            <w:pPr>
              <w:spacing w:before="40" w:after="40"/>
              <w:rPr>
                <w:rFonts w:ascii="Arial" w:hAnsi="Arial" w:cs="Arial"/>
                <w:b/>
                <w:sz w:val="20"/>
                <w:lang w:val="en-US"/>
              </w:rPr>
            </w:pPr>
            <w:r w:rsidRPr="002B24F8">
              <w:rPr>
                <w:rFonts w:ascii="Arial" w:hAnsi="Arial" w:cs="Arial"/>
                <w:b/>
                <w:sz w:val="20"/>
                <w:lang w:val="en-US"/>
              </w:rPr>
              <w:t>Name of Active Ingredient:</w:t>
            </w:r>
          </w:p>
          <w:p w:rsidR="00345A71" w:rsidRPr="002B24F8" w:rsidRDefault="005E1308" w:rsidP="00345A71">
            <w:pPr>
              <w:spacing w:before="40" w:after="40"/>
              <w:rPr>
                <w:rFonts w:ascii="Arial" w:hAnsi="Arial" w:cs="Arial"/>
                <w:b/>
                <w:sz w:val="20"/>
                <w:lang w:val="en-US"/>
              </w:rPr>
            </w:pPr>
            <w:r>
              <w:rPr>
                <w:rFonts w:ascii="Arial" w:hAnsi="Arial" w:cs="Arial"/>
                <w:bCs/>
                <w:sz w:val="20"/>
                <w:lang w:val="en-US"/>
              </w:rPr>
              <w:t xml:space="preserve">Recombinant human bile salt stimulated lipase, </w:t>
            </w:r>
            <w:r w:rsidR="00345A71" w:rsidRPr="00345A71">
              <w:rPr>
                <w:rFonts w:ascii="Arial" w:hAnsi="Arial" w:cs="Arial"/>
                <w:bCs/>
                <w:sz w:val="20"/>
                <w:lang w:val="en-US"/>
              </w:rPr>
              <w:t>rhBSSL</w:t>
            </w:r>
          </w:p>
        </w:tc>
      </w:tr>
      <w:tr w:rsidR="00345A71" w:rsidRPr="002B24F8" w:rsidTr="0058191A">
        <w:tc>
          <w:tcPr>
            <w:tcW w:w="9245" w:type="dxa"/>
            <w:gridSpan w:val="2"/>
            <w:tcBorders>
              <w:left w:val="single" w:sz="6" w:space="0" w:color="auto"/>
              <w:right w:val="single" w:sz="6" w:space="0" w:color="auto"/>
            </w:tcBorders>
          </w:tcPr>
          <w:p w:rsidR="00345A71" w:rsidRDefault="00345A71" w:rsidP="00345A71">
            <w:pPr>
              <w:pStyle w:val="Body"/>
              <w:rPr>
                <w:rFonts w:cs="Arial"/>
                <w:lang w:val="en-US"/>
              </w:rPr>
            </w:pPr>
            <w:r>
              <w:rPr>
                <w:rFonts w:cs="Arial"/>
                <w:lang w:val="en-US"/>
              </w:rPr>
              <w:t>Title of the Study:</w:t>
            </w:r>
          </w:p>
          <w:p w:rsidR="00345A71" w:rsidRPr="002B24F8" w:rsidRDefault="00345A71" w:rsidP="00345A71">
            <w:pPr>
              <w:spacing w:before="40" w:after="40"/>
              <w:rPr>
                <w:rFonts w:cs="Arial"/>
                <w:lang w:val="en-US"/>
              </w:rPr>
            </w:pPr>
            <w:r w:rsidRPr="00345A71">
              <w:rPr>
                <w:rFonts w:ascii="Arial" w:hAnsi="Arial" w:cs="Arial"/>
                <w:bCs/>
                <w:sz w:val="20"/>
                <w:lang w:val="en-US"/>
              </w:rPr>
              <w:t>An open label, exploratory study on the effect of rhBSSL on the f</w:t>
            </w:r>
            <w:r w:rsidR="005E1308">
              <w:rPr>
                <w:rFonts w:ascii="Arial" w:hAnsi="Arial" w:cs="Arial"/>
                <w:bCs/>
                <w:sz w:val="20"/>
                <w:lang w:val="en-US"/>
              </w:rPr>
              <w:t>at absorption in patients with c</w:t>
            </w:r>
            <w:r w:rsidRPr="00345A71">
              <w:rPr>
                <w:rFonts w:ascii="Arial" w:hAnsi="Arial" w:cs="Arial"/>
                <w:bCs/>
                <w:sz w:val="20"/>
                <w:lang w:val="en-US"/>
              </w:rPr>
              <w:t>ystic fibrosis and pancreatic insufficiency.</w:t>
            </w:r>
          </w:p>
        </w:tc>
      </w:tr>
      <w:tr w:rsidR="00345A71" w:rsidRPr="002B24F8" w:rsidTr="0058191A">
        <w:tc>
          <w:tcPr>
            <w:tcW w:w="9245" w:type="dxa"/>
            <w:gridSpan w:val="2"/>
            <w:tcBorders>
              <w:left w:val="single" w:sz="6" w:space="0" w:color="auto"/>
              <w:right w:val="single" w:sz="6" w:space="0" w:color="auto"/>
            </w:tcBorders>
          </w:tcPr>
          <w:p w:rsidR="00345A71" w:rsidRPr="002B24F8" w:rsidRDefault="00345A71" w:rsidP="00345A71">
            <w:pPr>
              <w:pStyle w:val="Body"/>
              <w:rPr>
                <w:rFonts w:cs="Arial"/>
                <w:i/>
                <w:lang w:val="en-US"/>
              </w:rPr>
            </w:pPr>
            <w:r w:rsidRPr="002B24F8">
              <w:rPr>
                <w:rFonts w:cs="Arial"/>
                <w:lang w:val="en-US"/>
              </w:rPr>
              <w:t>Investigators and Study Centres:</w:t>
            </w:r>
          </w:p>
          <w:p w:rsidR="00345A71" w:rsidRPr="002B24F8" w:rsidRDefault="00345A71" w:rsidP="00345A71">
            <w:pPr>
              <w:pStyle w:val="Body"/>
              <w:numPr>
                <w:ilvl w:val="0"/>
                <w:numId w:val="1"/>
              </w:numPr>
              <w:rPr>
                <w:rFonts w:cs="Arial"/>
                <w:b w:val="0"/>
                <w:lang w:val="en-US"/>
              </w:rPr>
            </w:pPr>
            <w:r w:rsidRPr="002B24F8">
              <w:rPr>
                <w:rFonts w:cs="Arial"/>
                <w:lang w:val="en-US"/>
              </w:rPr>
              <w:t>Site 1</w:t>
            </w:r>
            <w:r w:rsidRPr="002B24F8">
              <w:rPr>
                <w:rFonts w:cs="Arial"/>
                <w:b w:val="0"/>
                <w:lang w:val="en-US"/>
              </w:rPr>
              <w:t>: Dr Janneke Langendonk, Vas</w:t>
            </w:r>
            <w:r>
              <w:rPr>
                <w:rFonts w:cs="Arial"/>
                <w:b w:val="0"/>
                <w:lang w:val="en-US"/>
              </w:rPr>
              <w:t xml:space="preserve">cular Medicine Erasmus Medical </w:t>
            </w:r>
            <w:r w:rsidRPr="002B24F8">
              <w:rPr>
                <w:rFonts w:cs="Arial"/>
                <w:b w:val="0"/>
                <w:lang w:val="en-US"/>
              </w:rPr>
              <w:t>Center</w:t>
            </w:r>
            <w:r>
              <w:rPr>
                <w:rFonts w:cs="Arial"/>
                <w:b w:val="0"/>
                <w:lang w:val="en-US"/>
              </w:rPr>
              <w:t>, Office D-416</w:t>
            </w:r>
            <w:r w:rsidRPr="002B24F8">
              <w:rPr>
                <w:rFonts w:cs="Arial"/>
                <w:b w:val="0"/>
                <w:lang w:val="en-US"/>
              </w:rPr>
              <w:t xml:space="preserve"> PO box 2040, 3000 CA Rotterdam, The Netherlands;</w:t>
            </w:r>
          </w:p>
          <w:p w:rsidR="00345A71" w:rsidRPr="002B24F8" w:rsidRDefault="00345A71" w:rsidP="00345A71">
            <w:pPr>
              <w:pStyle w:val="Body"/>
              <w:numPr>
                <w:ilvl w:val="0"/>
                <w:numId w:val="1"/>
              </w:numPr>
              <w:jc w:val="left"/>
              <w:rPr>
                <w:rFonts w:cs="Arial"/>
                <w:b w:val="0"/>
                <w:lang w:val="en-US"/>
              </w:rPr>
            </w:pPr>
            <w:r w:rsidRPr="002B24F8">
              <w:rPr>
                <w:rFonts w:cs="Arial"/>
                <w:lang w:val="en-US"/>
              </w:rPr>
              <w:t>Site 2:</w:t>
            </w:r>
            <w:r>
              <w:rPr>
                <w:rFonts w:cs="Arial"/>
                <w:lang w:val="en-US"/>
              </w:rPr>
              <w:t xml:space="preserve">  </w:t>
            </w:r>
            <w:r w:rsidRPr="002B24F8">
              <w:rPr>
                <w:rFonts w:cs="Arial"/>
                <w:b w:val="0"/>
                <w:lang w:val="en-US"/>
              </w:rPr>
              <w:t>Professor Halina Batura-Gabryel, Szpital Kliniczny Przemienienia Pańskiego Uniwesytetu Medycznego im. Karola, ul. Szamarzewskiego 84, 60-569 Poznań, Poland;</w:t>
            </w:r>
          </w:p>
          <w:p w:rsidR="00345A71" w:rsidRPr="002B24F8" w:rsidRDefault="00345A71" w:rsidP="00345A71">
            <w:pPr>
              <w:pStyle w:val="Body"/>
              <w:numPr>
                <w:ilvl w:val="0"/>
                <w:numId w:val="1"/>
              </w:numPr>
              <w:rPr>
                <w:rFonts w:cs="Arial"/>
                <w:b w:val="0"/>
                <w:lang w:val="en-US"/>
              </w:rPr>
            </w:pPr>
            <w:r w:rsidRPr="002B24F8">
              <w:rPr>
                <w:rFonts w:cs="Arial"/>
                <w:lang w:val="en-US"/>
              </w:rPr>
              <w:t>Site 3:</w:t>
            </w:r>
            <w:r w:rsidRPr="002B24F8">
              <w:rPr>
                <w:rFonts w:cs="Arial"/>
                <w:b w:val="0"/>
                <w:lang w:val="en-US"/>
              </w:rPr>
              <w:t xml:space="preserve"> Dr Henryk Mazurek, Klinika Pneumonologii i Mukowicscydozy Oddziału Terenowego Instytutu Gruźlicy i Chorób Płuc w Rabce-Zdroju, ul. Prof. J. Rudnika 3b, 34-700 Rabka-Zdrój, Poland;</w:t>
            </w:r>
          </w:p>
          <w:p w:rsidR="00345A71" w:rsidRPr="002B24F8" w:rsidRDefault="00345A71" w:rsidP="00345A71">
            <w:pPr>
              <w:pStyle w:val="Body"/>
              <w:numPr>
                <w:ilvl w:val="0"/>
                <w:numId w:val="1"/>
              </w:numPr>
              <w:spacing w:after="60"/>
              <w:ind w:left="714" w:hanging="357"/>
              <w:jc w:val="left"/>
              <w:rPr>
                <w:rFonts w:cs="Arial"/>
                <w:b w:val="0"/>
                <w:lang w:val="en-US"/>
              </w:rPr>
            </w:pPr>
            <w:r>
              <w:rPr>
                <w:rFonts w:cs="Arial"/>
                <w:lang w:val="en-US"/>
              </w:rPr>
              <w:t xml:space="preserve">Site 4: </w:t>
            </w:r>
            <w:r w:rsidRPr="002B24F8">
              <w:rPr>
                <w:rFonts w:cs="Arial"/>
                <w:b w:val="0"/>
                <w:lang w:val="en-US"/>
              </w:rPr>
              <w:t>Dr Maria Trawińska-Bartnicka, Specjalistyczny Zespół Opieki Zdrowotnej nad Matką i Dzieckiem w Gdańsku, Poradnia Leczenia Mukowiscydozy, Polanki 119, 80-308 Gdańsk, Poland.</w:t>
            </w:r>
          </w:p>
        </w:tc>
      </w:tr>
      <w:tr w:rsidR="00345A71" w:rsidRPr="002B24F8" w:rsidTr="0058191A">
        <w:tc>
          <w:tcPr>
            <w:tcW w:w="9245" w:type="dxa"/>
            <w:gridSpan w:val="2"/>
            <w:tcBorders>
              <w:left w:val="single" w:sz="6" w:space="0" w:color="auto"/>
              <w:right w:val="single" w:sz="6" w:space="0" w:color="auto"/>
            </w:tcBorders>
          </w:tcPr>
          <w:p w:rsidR="00345A71" w:rsidRDefault="00345A71" w:rsidP="00345A71">
            <w:pPr>
              <w:pStyle w:val="Body"/>
              <w:spacing w:after="60"/>
              <w:rPr>
                <w:rFonts w:cs="Arial"/>
                <w:lang w:val="en-US"/>
              </w:rPr>
            </w:pPr>
            <w:r w:rsidRPr="002B24F8">
              <w:rPr>
                <w:rFonts w:cs="Arial"/>
                <w:lang w:val="en-US"/>
              </w:rPr>
              <w:t xml:space="preserve">Publication (Reference): </w:t>
            </w:r>
          </w:p>
          <w:p w:rsidR="00345A71" w:rsidRPr="002B24F8" w:rsidRDefault="00345A71" w:rsidP="00345A71">
            <w:pPr>
              <w:pStyle w:val="Body"/>
              <w:spacing w:after="60"/>
              <w:rPr>
                <w:rFonts w:cs="Arial"/>
                <w:lang w:val="en-US"/>
              </w:rPr>
            </w:pPr>
            <w:r>
              <w:rPr>
                <w:rFonts w:cs="Arial"/>
                <w:b w:val="0"/>
                <w:lang w:val="en-US"/>
              </w:rPr>
              <w:t>Poster presented at the 34</w:t>
            </w:r>
            <w:r w:rsidRPr="00640CCA">
              <w:rPr>
                <w:rFonts w:cs="Arial"/>
                <w:b w:val="0"/>
                <w:vertAlign w:val="superscript"/>
                <w:lang w:val="en-US"/>
              </w:rPr>
              <w:t>th</w:t>
            </w:r>
            <w:r>
              <w:rPr>
                <w:rFonts w:cs="Arial"/>
                <w:b w:val="0"/>
                <w:lang w:val="en-US"/>
              </w:rPr>
              <w:t xml:space="preserve"> European Cystic Fibrosis Conference, Hamburg, Germany, June 2011</w:t>
            </w:r>
          </w:p>
        </w:tc>
      </w:tr>
      <w:tr w:rsidR="00345A71" w:rsidRPr="002B24F8" w:rsidTr="0058191A">
        <w:tblPrEx>
          <w:tblBorders>
            <w:top w:val="none" w:sz="0" w:space="0" w:color="auto"/>
            <w:left w:val="double" w:sz="6" w:space="0" w:color="auto"/>
            <w:bottom w:val="none" w:sz="0" w:space="0" w:color="auto"/>
            <w:right w:val="double" w:sz="6" w:space="0" w:color="auto"/>
            <w:insideH w:val="none" w:sz="0" w:space="0" w:color="auto"/>
          </w:tblBorders>
        </w:tblPrEx>
        <w:tc>
          <w:tcPr>
            <w:tcW w:w="6048" w:type="dxa"/>
            <w:tcBorders>
              <w:left w:val="single" w:sz="6" w:space="0" w:color="auto"/>
            </w:tcBorders>
          </w:tcPr>
          <w:p w:rsidR="00345A71" w:rsidRPr="002B24F8" w:rsidRDefault="00345A71" w:rsidP="00345A71">
            <w:pPr>
              <w:pStyle w:val="Body"/>
              <w:rPr>
                <w:rFonts w:cs="Arial"/>
                <w:lang w:val="en-US"/>
              </w:rPr>
            </w:pPr>
            <w:r w:rsidRPr="002B24F8">
              <w:rPr>
                <w:rFonts w:cs="Arial"/>
                <w:lang w:val="en-US"/>
              </w:rPr>
              <w:t xml:space="preserve">Studied Period: </w:t>
            </w:r>
          </w:p>
          <w:p w:rsidR="00345A71" w:rsidRPr="002B24F8" w:rsidRDefault="00345A71" w:rsidP="00345A71">
            <w:pPr>
              <w:pStyle w:val="Body"/>
              <w:rPr>
                <w:rFonts w:cs="Arial"/>
                <w:lang w:val="en-US"/>
              </w:rPr>
            </w:pPr>
            <w:r w:rsidRPr="002B24F8">
              <w:rPr>
                <w:rFonts w:cs="Arial"/>
                <w:lang w:val="en-US"/>
              </w:rPr>
              <w:t>FPFV:</w:t>
            </w:r>
            <w:r w:rsidRPr="002B24F8">
              <w:rPr>
                <w:rFonts w:cs="Arial"/>
                <w:b w:val="0"/>
                <w:lang w:val="en-US"/>
              </w:rPr>
              <w:t xml:space="preserve"> 21 August 2008</w:t>
            </w:r>
          </w:p>
          <w:p w:rsidR="00345A71" w:rsidRPr="002B24F8" w:rsidRDefault="00345A71" w:rsidP="00345A71">
            <w:pPr>
              <w:pStyle w:val="Body"/>
              <w:spacing w:after="60"/>
              <w:rPr>
                <w:rFonts w:cs="Arial"/>
                <w:lang w:val="en-US"/>
              </w:rPr>
            </w:pPr>
            <w:r w:rsidRPr="002B24F8">
              <w:rPr>
                <w:rFonts w:cs="Arial"/>
                <w:lang w:val="en-US"/>
              </w:rPr>
              <w:t xml:space="preserve">LPLV: </w:t>
            </w:r>
            <w:r w:rsidRPr="002B24F8">
              <w:rPr>
                <w:rFonts w:cs="Arial"/>
                <w:b w:val="0"/>
                <w:lang w:val="en-US"/>
              </w:rPr>
              <w:t>26 June 2009</w:t>
            </w:r>
          </w:p>
        </w:tc>
        <w:tc>
          <w:tcPr>
            <w:tcW w:w="3197" w:type="dxa"/>
            <w:tcBorders>
              <w:right w:val="single" w:sz="6" w:space="0" w:color="auto"/>
            </w:tcBorders>
          </w:tcPr>
          <w:p w:rsidR="00345A71" w:rsidRPr="002B24F8" w:rsidRDefault="00345A71" w:rsidP="00345A71">
            <w:pPr>
              <w:pStyle w:val="Body"/>
              <w:rPr>
                <w:rFonts w:cs="Arial"/>
                <w:lang w:val="en-US"/>
              </w:rPr>
            </w:pPr>
            <w:r w:rsidRPr="002B24F8">
              <w:rPr>
                <w:rFonts w:cs="Arial"/>
                <w:lang w:val="en-US"/>
              </w:rPr>
              <w:t xml:space="preserve">Phase of Development: </w:t>
            </w:r>
            <w:r w:rsidRPr="002B24F8">
              <w:rPr>
                <w:rFonts w:cs="Arial"/>
                <w:b w:val="0"/>
                <w:lang w:val="en-US"/>
              </w:rPr>
              <w:t>Phase II</w:t>
            </w:r>
          </w:p>
          <w:p w:rsidR="00345A71" w:rsidRPr="002B24F8" w:rsidRDefault="00345A71" w:rsidP="00345A71">
            <w:pPr>
              <w:pStyle w:val="Body"/>
              <w:rPr>
                <w:rFonts w:cs="Arial"/>
                <w:lang w:val="en-US"/>
              </w:rPr>
            </w:pPr>
          </w:p>
        </w:tc>
      </w:tr>
      <w:tr w:rsidR="00345A71" w:rsidRPr="002B24F8" w:rsidTr="0058191A">
        <w:tc>
          <w:tcPr>
            <w:tcW w:w="9245" w:type="dxa"/>
            <w:gridSpan w:val="2"/>
            <w:tcBorders>
              <w:left w:val="single" w:sz="6" w:space="0" w:color="auto"/>
              <w:right w:val="single" w:sz="6" w:space="0" w:color="auto"/>
            </w:tcBorders>
          </w:tcPr>
          <w:p w:rsidR="00345A71" w:rsidRPr="002B24F8" w:rsidRDefault="00345A71" w:rsidP="00345A71">
            <w:pPr>
              <w:pStyle w:val="Body"/>
              <w:rPr>
                <w:rFonts w:cs="Arial"/>
                <w:lang w:val="en-US"/>
              </w:rPr>
            </w:pPr>
            <w:r w:rsidRPr="002B24F8">
              <w:rPr>
                <w:rFonts w:cs="Arial"/>
                <w:lang w:val="en-US"/>
              </w:rPr>
              <w:t>Objectives:</w:t>
            </w:r>
          </w:p>
          <w:p w:rsidR="00345A71" w:rsidRPr="002B24F8" w:rsidRDefault="00345A71" w:rsidP="00345A71">
            <w:pPr>
              <w:pStyle w:val="Body"/>
              <w:rPr>
                <w:rFonts w:cs="Arial"/>
                <w:b w:val="0"/>
                <w:u w:val="single"/>
                <w:lang w:val="en-US"/>
              </w:rPr>
            </w:pPr>
            <w:r w:rsidRPr="002B24F8">
              <w:rPr>
                <w:rFonts w:cs="Arial"/>
                <w:b w:val="0"/>
                <w:u w:val="single"/>
                <w:lang w:val="en-US"/>
              </w:rPr>
              <w:t xml:space="preserve">Primary Objective: </w:t>
            </w:r>
          </w:p>
          <w:p w:rsidR="00345A71" w:rsidRPr="002B24F8" w:rsidRDefault="00345A71" w:rsidP="00345A71">
            <w:pPr>
              <w:pStyle w:val="Body"/>
              <w:rPr>
                <w:rFonts w:cs="Arial"/>
                <w:b w:val="0"/>
                <w:bCs/>
                <w:lang w:val="en-US"/>
              </w:rPr>
            </w:pPr>
            <w:r w:rsidRPr="002B24F8">
              <w:rPr>
                <w:rFonts w:cs="Arial"/>
                <w:b w:val="0"/>
                <w:lang w:val="en-US"/>
              </w:rPr>
              <w:t xml:space="preserve">To assess the effect </w:t>
            </w:r>
            <w:r w:rsidRPr="002B24F8">
              <w:rPr>
                <w:rFonts w:cs="Arial"/>
                <w:b w:val="0"/>
                <w:bCs/>
                <w:lang w:val="en-US"/>
              </w:rPr>
              <w:t xml:space="preserve">of rhBSSL on the coefficient of fat absorption (CFA) in patients with </w:t>
            </w:r>
            <w:r>
              <w:rPr>
                <w:rFonts w:cs="Arial"/>
                <w:b w:val="0"/>
                <w:bCs/>
                <w:lang w:val="en-US"/>
              </w:rPr>
              <w:t>cystic fibrosis (</w:t>
            </w:r>
            <w:r w:rsidRPr="002B24F8">
              <w:rPr>
                <w:rFonts w:cs="Arial"/>
                <w:b w:val="0"/>
                <w:bCs/>
                <w:lang w:val="en-US"/>
              </w:rPr>
              <w:t>CF</w:t>
            </w:r>
            <w:r>
              <w:rPr>
                <w:rFonts w:cs="Arial"/>
                <w:b w:val="0"/>
                <w:bCs/>
                <w:lang w:val="en-US"/>
              </w:rPr>
              <w:t>)</w:t>
            </w:r>
            <w:r w:rsidRPr="002B24F8">
              <w:rPr>
                <w:rFonts w:cs="Arial"/>
                <w:b w:val="0"/>
                <w:bCs/>
                <w:lang w:val="en-US"/>
              </w:rPr>
              <w:t xml:space="preserve"> and </w:t>
            </w:r>
            <w:r>
              <w:rPr>
                <w:rFonts w:cs="Arial"/>
                <w:b w:val="0"/>
                <w:bCs/>
                <w:lang w:val="en-US"/>
              </w:rPr>
              <w:t>pancreatic insufficiency (</w:t>
            </w:r>
            <w:r w:rsidRPr="002B24F8">
              <w:rPr>
                <w:rFonts w:cs="Arial"/>
                <w:b w:val="0"/>
                <w:bCs/>
                <w:lang w:val="en-US"/>
              </w:rPr>
              <w:t>PI</w:t>
            </w:r>
            <w:r>
              <w:rPr>
                <w:rFonts w:cs="Arial"/>
                <w:b w:val="0"/>
                <w:bCs/>
                <w:lang w:val="en-US"/>
              </w:rPr>
              <w:t>)</w:t>
            </w:r>
            <w:r w:rsidRPr="002B24F8">
              <w:rPr>
                <w:rFonts w:cs="Arial"/>
                <w:b w:val="0"/>
                <w:bCs/>
                <w:lang w:val="en-US"/>
              </w:rPr>
              <w:t>, following administration of a fixed daily dose of rhBSSL.</w:t>
            </w:r>
          </w:p>
          <w:p w:rsidR="00345A71" w:rsidRPr="002B24F8" w:rsidRDefault="00345A71" w:rsidP="00345A71">
            <w:pPr>
              <w:pStyle w:val="Body"/>
              <w:rPr>
                <w:rFonts w:cs="Arial"/>
                <w:b w:val="0"/>
                <w:u w:val="single"/>
                <w:lang w:val="en-US"/>
              </w:rPr>
            </w:pPr>
            <w:r w:rsidRPr="002B24F8">
              <w:rPr>
                <w:rFonts w:cs="Arial"/>
                <w:b w:val="0"/>
                <w:u w:val="single"/>
                <w:lang w:val="en-US"/>
              </w:rPr>
              <w:t>Secondary Objective:</w:t>
            </w:r>
          </w:p>
          <w:p w:rsidR="00345A71" w:rsidRPr="002B24F8" w:rsidRDefault="00345A71" w:rsidP="00345A71">
            <w:pPr>
              <w:pStyle w:val="Body"/>
              <w:spacing w:after="60"/>
              <w:rPr>
                <w:rFonts w:cs="Arial"/>
                <w:b w:val="0"/>
                <w:lang w:val="en-US"/>
              </w:rPr>
            </w:pPr>
            <w:r w:rsidRPr="002B24F8">
              <w:rPr>
                <w:rFonts w:cs="Arial"/>
                <w:b w:val="0"/>
                <w:lang w:val="en-US"/>
              </w:rPr>
              <w:t xml:space="preserve">Assessment of safety and tolerability of multiple doses of </w:t>
            </w:r>
            <w:r w:rsidR="005E1308">
              <w:rPr>
                <w:rFonts w:cs="Arial"/>
                <w:b w:val="0"/>
                <w:lang w:val="en-US"/>
              </w:rPr>
              <w:t>rh</w:t>
            </w:r>
            <w:r w:rsidRPr="002B24F8">
              <w:rPr>
                <w:rFonts w:cs="Arial"/>
                <w:b w:val="0"/>
                <w:lang w:val="en-US"/>
              </w:rPr>
              <w:t>BSSL.</w:t>
            </w:r>
          </w:p>
        </w:tc>
      </w:tr>
      <w:tr w:rsidR="00345A71" w:rsidRPr="002B24F8" w:rsidTr="0058191A">
        <w:tc>
          <w:tcPr>
            <w:tcW w:w="9245" w:type="dxa"/>
            <w:gridSpan w:val="2"/>
            <w:tcBorders>
              <w:left w:val="single" w:sz="6" w:space="0" w:color="auto"/>
              <w:right w:val="single" w:sz="6" w:space="0" w:color="auto"/>
            </w:tcBorders>
          </w:tcPr>
          <w:p w:rsidR="00345A71" w:rsidRPr="002B24F8" w:rsidRDefault="00345A71" w:rsidP="00345A71">
            <w:pPr>
              <w:pStyle w:val="Body"/>
              <w:rPr>
                <w:rFonts w:cs="Arial"/>
                <w:lang w:val="en-US"/>
              </w:rPr>
            </w:pPr>
            <w:r w:rsidRPr="002B24F8">
              <w:rPr>
                <w:rFonts w:cs="Arial"/>
                <w:lang w:val="en-US"/>
              </w:rPr>
              <w:t>Methodology:</w:t>
            </w:r>
          </w:p>
          <w:p w:rsidR="00345A71" w:rsidRPr="002B24F8" w:rsidRDefault="00345A71" w:rsidP="00345A71">
            <w:pPr>
              <w:pStyle w:val="Body"/>
              <w:spacing w:after="60"/>
              <w:rPr>
                <w:rFonts w:cs="Arial"/>
                <w:lang w:val="en-US"/>
              </w:rPr>
            </w:pPr>
            <w:r w:rsidRPr="002B24F8">
              <w:rPr>
                <w:rFonts w:cs="Arial"/>
                <w:b w:val="0"/>
                <w:lang w:val="en-US"/>
              </w:rPr>
              <w:t>Open, exploratory, non-comparative, phase II study of 3 times daily (t.i.d.) administration of a fixed dose of rhBSSL in patients with CF and PI.</w:t>
            </w:r>
            <w:r w:rsidRPr="002B24F8">
              <w:rPr>
                <w:rFonts w:cs="Arial"/>
                <w:i/>
                <w:lang w:val="en-US"/>
              </w:rPr>
              <w:t xml:space="preserve"> </w:t>
            </w:r>
          </w:p>
        </w:tc>
      </w:tr>
      <w:tr w:rsidR="00345A71" w:rsidRPr="002B24F8" w:rsidTr="0058191A">
        <w:tc>
          <w:tcPr>
            <w:tcW w:w="9245" w:type="dxa"/>
            <w:gridSpan w:val="2"/>
            <w:tcBorders>
              <w:left w:val="single" w:sz="6" w:space="0" w:color="auto"/>
              <w:right w:val="single" w:sz="6" w:space="0" w:color="auto"/>
            </w:tcBorders>
          </w:tcPr>
          <w:p w:rsidR="00345A71" w:rsidRPr="002B24F8" w:rsidRDefault="00345A71" w:rsidP="00345A71">
            <w:pPr>
              <w:pStyle w:val="Body"/>
              <w:rPr>
                <w:rFonts w:cs="Arial"/>
                <w:lang w:val="en-US"/>
              </w:rPr>
            </w:pPr>
            <w:r w:rsidRPr="002B24F8">
              <w:rPr>
                <w:rFonts w:cs="Arial"/>
                <w:lang w:val="en-US"/>
              </w:rPr>
              <w:t>Number of Patients</w:t>
            </w:r>
            <w:r>
              <w:rPr>
                <w:rFonts w:cs="Arial"/>
                <w:lang w:val="en-US"/>
              </w:rPr>
              <w:t xml:space="preserve"> and Demography</w:t>
            </w:r>
            <w:r w:rsidRPr="002B24F8">
              <w:rPr>
                <w:rFonts w:cs="Arial"/>
                <w:lang w:val="en-US"/>
              </w:rPr>
              <w:t>:</w:t>
            </w:r>
          </w:p>
          <w:p w:rsidR="00345A71" w:rsidRPr="002B24F8" w:rsidRDefault="00345A71" w:rsidP="00345A71">
            <w:pPr>
              <w:pStyle w:val="Body"/>
              <w:rPr>
                <w:rFonts w:cs="Arial"/>
                <w:lang w:val="en-US"/>
              </w:rPr>
            </w:pPr>
            <w:r w:rsidRPr="002B24F8">
              <w:rPr>
                <w:rFonts w:cs="Arial"/>
                <w:lang w:val="en-US"/>
              </w:rPr>
              <w:t xml:space="preserve">Planned: </w:t>
            </w:r>
            <w:r w:rsidRPr="002B24F8">
              <w:rPr>
                <w:rFonts w:cs="Arial"/>
                <w:b w:val="0"/>
                <w:lang w:val="en-US"/>
              </w:rPr>
              <w:t>18</w:t>
            </w:r>
          </w:p>
          <w:p w:rsidR="00345A71" w:rsidRDefault="00345A71" w:rsidP="00345A71">
            <w:pPr>
              <w:pStyle w:val="Body"/>
              <w:rPr>
                <w:rFonts w:cs="Arial"/>
                <w:lang w:val="en-US"/>
              </w:rPr>
            </w:pPr>
            <w:r w:rsidRPr="002B24F8">
              <w:rPr>
                <w:rFonts w:cs="Arial"/>
                <w:lang w:val="en-US"/>
              </w:rPr>
              <w:t xml:space="preserve">Actual: </w:t>
            </w:r>
            <w:r w:rsidRPr="002B24F8">
              <w:rPr>
                <w:rFonts w:cs="Arial"/>
                <w:b w:val="0"/>
                <w:lang w:val="en-US"/>
              </w:rPr>
              <w:t>22 screened patients;</w:t>
            </w:r>
            <w:r w:rsidRPr="002B24F8">
              <w:rPr>
                <w:rFonts w:cs="Arial"/>
                <w:lang w:val="en-US"/>
              </w:rPr>
              <w:t xml:space="preserve"> </w:t>
            </w:r>
            <w:r w:rsidRPr="002B24F8">
              <w:rPr>
                <w:rFonts w:cs="Arial"/>
                <w:b w:val="0"/>
                <w:lang w:val="en-US"/>
              </w:rPr>
              <w:t>15 eligible patients; 14 received rhBSSL and were included in the ITT and Safety populations; 9 were included in the PP population.</w:t>
            </w:r>
            <w:r w:rsidRPr="002B24F8">
              <w:rPr>
                <w:rFonts w:cs="Arial"/>
                <w:lang w:val="en-US"/>
              </w:rPr>
              <w:t xml:space="preserve"> </w:t>
            </w:r>
          </w:p>
          <w:p w:rsidR="00345A71" w:rsidRPr="002B24F8" w:rsidRDefault="00345A71" w:rsidP="00345A71">
            <w:pPr>
              <w:pStyle w:val="Body"/>
              <w:rPr>
                <w:rFonts w:cs="Arial"/>
                <w:lang w:val="en-US"/>
              </w:rPr>
            </w:pPr>
            <w:r>
              <w:rPr>
                <w:rFonts w:cs="Arial"/>
                <w:b w:val="0"/>
                <w:lang w:val="en-US"/>
              </w:rPr>
              <w:t>Mean a</w:t>
            </w:r>
            <w:r w:rsidRPr="00640CCA">
              <w:rPr>
                <w:rFonts w:cs="Arial"/>
                <w:b w:val="0"/>
                <w:lang w:val="en-US"/>
              </w:rPr>
              <w:t>g</w:t>
            </w:r>
            <w:r>
              <w:rPr>
                <w:rFonts w:cs="Arial"/>
                <w:b w:val="0"/>
                <w:lang w:val="en-US"/>
              </w:rPr>
              <w:t>e</w:t>
            </w:r>
            <w:r w:rsidRPr="00640CCA">
              <w:rPr>
                <w:rFonts w:cs="Arial"/>
                <w:b w:val="0"/>
                <w:lang w:val="en-US"/>
              </w:rPr>
              <w:t xml:space="preserve"> for the 14 patients in the ITT and Safety population was 24.4 years (SD</w:t>
            </w:r>
            <w:r w:rsidR="005E1308">
              <w:rPr>
                <w:rFonts w:cs="Arial"/>
                <w:b w:val="0"/>
                <w:lang w:val="en-US"/>
              </w:rPr>
              <w:t xml:space="preserve"> </w:t>
            </w:r>
            <w:r w:rsidRPr="00640CCA">
              <w:rPr>
                <w:rFonts w:cs="Arial"/>
                <w:b w:val="0"/>
                <w:lang w:val="en-US"/>
              </w:rPr>
              <w:t>10.45)</w:t>
            </w:r>
            <w:r>
              <w:rPr>
                <w:rFonts w:cs="Arial"/>
                <w:b w:val="0"/>
                <w:lang w:val="en-US"/>
              </w:rPr>
              <w:t>, 7 were females and 7 males, and all were Caucasian.</w:t>
            </w:r>
          </w:p>
        </w:tc>
      </w:tr>
      <w:tr w:rsidR="00345A71" w:rsidRPr="002B24F8" w:rsidTr="0058191A">
        <w:tc>
          <w:tcPr>
            <w:tcW w:w="9245" w:type="dxa"/>
            <w:gridSpan w:val="2"/>
            <w:tcBorders>
              <w:left w:val="single" w:sz="6" w:space="0" w:color="auto"/>
              <w:bottom w:val="nil"/>
              <w:right w:val="single" w:sz="6" w:space="0" w:color="auto"/>
            </w:tcBorders>
          </w:tcPr>
          <w:p w:rsidR="00345A71" w:rsidRPr="002B24F8" w:rsidRDefault="00345A71" w:rsidP="00345A71">
            <w:pPr>
              <w:pStyle w:val="Body"/>
              <w:rPr>
                <w:rFonts w:cs="Arial"/>
                <w:lang w:val="en-US"/>
              </w:rPr>
            </w:pPr>
            <w:r w:rsidRPr="002B24F8">
              <w:rPr>
                <w:rFonts w:cs="Arial"/>
                <w:lang w:val="en-US"/>
              </w:rPr>
              <w:t>Diagnosis and Main Criteria for Inclusion:</w:t>
            </w:r>
          </w:p>
          <w:p w:rsidR="00345A71" w:rsidRPr="002B24F8" w:rsidRDefault="00345A71" w:rsidP="00345A71">
            <w:pPr>
              <w:pStyle w:val="Paragraph"/>
            </w:pPr>
            <w:r w:rsidRPr="002B24F8">
              <w:t xml:space="preserve">Male and female patients age </w:t>
            </w:r>
            <w:r w:rsidRPr="002B24F8">
              <w:sym w:font="Symbol" w:char="F0B3"/>
            </w:r>
            <w:r w:rsidRPr="002B24F8">
              <w:t xml:space="preserve"> 18 years, diagnosed with CF and with documented PI. Patients must have been able to refrain from their ongoing pancreatic enzyme therapy (PET) for a period of 7 days, to produce stools </w:t>
            </w:r>
            <w:r w:rsidRPr="002B24F8">
              <w:sym w:font="Symbol" w:char="F0B3"/>
            </w:r>
            <w:r w:rsidRPr="002B24F8">
              <w:t xml:space="preserve"> 5 times per week and to give signed written informed consent.</w:t>
            </w:r>
          </w:p>
        </w:tc>
      </w:tr>
      <w:tr w:rsidR="00345A71" w:rsidRPr="002B24F8" w:rsidTr="0058191A">
        <w:tc>
          <w:tcPr>
            <w:tcW w:w="9245" w:type="dxa"/>
            <w:gridSpan w:val="2"/>
            <w:tcBorders>
              <w:left w:val="single" w:sz="6" w:space="0" w:color="auto"/>
              <w:bottom w:val="nil"/>
              <w:right w:val="single" w:sz="6" w:space="0" w:color="auto"/>
            </w:tcBorders>
          </w:tcPr>
          <w:p w:rsidR="00345A71" w:rsidRPr="002B24F8" w:rsidRDefault="00345A71" w:rsidP="00345A71">
            <w:pPr>
              <w:pStyle w:val="Body"/>
              <w:rPr>
                <w:rFonts w:cs="Arial"/>
                <w:lang w:val="en-US"/>
              </w:rPr>
            </w:pPr>
            <w:r w:rsidRPr="002B24F8">
              <w:rPr>
                <w:rFonts w:cs="Arial"/>
                <w:lang w:val="en-US"/>
              </w:rPr>
              <w:t xml:space="preserve">Test Product: </w:t>
            </w:r>
            <w:r w:rsidRPr="002B24F8">
              <w:rPr>
                <w:rFonts w:cs="Arial"/>
                <w:b w:val="0"/>
                <w:bCs/>
                <w:lang w:val="en-US"/>
              </w:rPr>
              <w:t xml:space="preserve">rhBSSL </w:t>
            </w:r>
          </w:p>
        </w:tc>
      </w:tr>
      <w:tr w:rsidR="00345A71" w:rsidRPr="002B24F8" w:rsidTr="0058191A">
        <w:tc>
          <w:tcPr>
            <w:tcW w:w="9245" w:type="dxa"/>
            <w:gridSpan w:val="2"/>
            <w:tcBorders>
              <w:top w:val="nil"/>
              <w:left w:val="single" w:sz="6" w:space="0" w:color="auto"/>
              <w:bottom w:val="nil"/>
              <w:right w:val="single" w:sz="6" w:space="0" w:color="auto"/>
            </w:tcBorders>
          </w:tcPr>
          <w:p w:rsidR="00345A71" w:rsidRPr="002B24F8" w:rsidRDefault="00345A71" w:rsidP="00345A71">
            <w:pPr>
              <w:pStyle w:val="Body"/>
              <w:rPr>
                <w:rFonts w:cs="Arial"/>
                <w:lang w:val="en-US"/>
              </w:rPr>
            </w:pPr>
            <w:r w:rsidRPr="002B24F8">
              <w:rPr>
                <w:rFonts w:cs="Arial"/>
                <w:lang w:val="en-US"/>
              </w:rPr>
              <w:t>Dose:</w:t>
            </w:r>
            <w:r w:rsidRPr="002B24F8">
              <w:rPr>
                <w:rFonts w:cs="Arial"/>
                <w:bCs/>
                <w:lang w:val="en-US"/>
              </w:rPr>
              <w:t xml:space="preserve"> </w:t>
            </w:r>
            <w:r w:rsidRPr="002B24F8">
              <w:rPr>
                <w:rFonts w:cs="Arial"/>
                <w:b w:val="0"/>
                <w:bCs/>
                <w:lang w:val="en-US"/>
              </w:rPr>
              <w:t xml:space="preserve">170 mg </w:t>
            </w:r>
            <w:r w:rsidRPr="002B24F8">
              <w:rPr>
                <w:rFonts w:cs="Arial"/>
                <w:b w:val="0"/>
                <w:lang w:val="en-US"/>
              </w:rPr>
              <w:t>t.i.d.</w:t>
            </w:r>
          </w:p>
        </w:tc>
      </w:tr>
      <w:tr w:rsidR="00345A71" w:rsidRPr="002B24F8" w:rsidTr="0058191A">
        <w:tc>
          <w:tcPr>
            <w:tcW w:w="9245" w:type="dxa"/>
            <w:gridSpan w:val="2"/>
            <w:tcBorders>
              <w:top w:val="nil"/>
              <w:left w:val="single" w:sz="6" w:space="0" w:color="auto"/>
              <w:bottom w:val="nil"/>
              <w:right w:val="single" w:sz="6" w:space="0" w:color="auto"/>
            </w:tcBorders>
          </w:tcPr>
          <w:p w:rsidR="00345A71" w:rsidRPr="002B24F8" w:rsidRDefault="00345A71" w:rsidP="00345A71">
            <w:pPr>
              <w:pStyle w:val="Body"/>
              <w:rPr>
                <w:rFonts w:cs="Arial"/>
                <w:lang w:val="en-US"/>
              </w:rPr>
            </w:pPr>
            <w:r w:rsidRPr="002B24F8">
              <w:rPr>
                <w:rFonts w:cs="Arial"/>
                <w:lang w:val="en-US"/>
              </w:rPr>
              <w:t>Mode of Administration:</w:t>
            </w:r>
            <w:r w:rsidRPr="002B24F8">
              <w:rPr>
                <w:rFonts w:cs="Arial"/>
                <w:bCs/>
                <w:lang w:val="en-US"/>
              </w:rPr>
              <w:t xml:space="preserve"> </w:t>
            </w:r>
            <w:r w:rsidRPr="002B24F8">
              <w:rPr>
                <w:rFonts w:cs="Arial"/>
                <w:b w:val="0"/>
                <w:bCs/>
                <w:lang w:val="en-US"/>
              </w:rPr>
              <w:t>oral administration</w:t>
            </w:r>
          </w:p>
        </w:tc>
      </w:tr>
      <w:tr w:rsidR="00345A71" w:rsidRPr="002B24F8" w:rsidTr="0058191A">
        <w:tc>
          <w:tcPr>
            <w:tcW w:w="9245" w:type="dxa"/>
            <w:gridSpan w:val="2"/>
            <w:tcBorders>
              <w:top w:val="nil"/>
              <w:left w:val="single" w:sz="6" w:space="0" w:color="auto"/>
              <w:bottom w:val="single" w:sz="6" w:space="0" w:color="auto"/>
              <w:right w:val="single" w:sz="6" w:space="0" w:color="auto"/>
            </w:tcBorders>
          </w:tcPr>
          <w:p w:rsidR="00345A71" w:rsidRPr="002B24F8" w:rsidRDefault="00345A71" w:rsidP="00345A71">
            <w:pPr>
              <w:pStyle w:val="Body"/>
              <w:rPr>
                <w:rFonts w:cs="Arial"/>
                <w:lang w:val="en-US"/>
              </w:rPr>
            </w:pPr>
            <w:r w:rsidRPr="002B24F8">
              <w:rPr>
                <w:rFonts w:cs="Arial"/>
                <w:lang w:val="en-US"/>
              </w:rPr>
              <w:t>Batch Numbers:</w:t>
            </w:r>
          </w:p>
          <w:p w:rsidR="00345A71" w:rsidRPr="002B24F8" w:rsidRDefault="00345A71" w:rsidP="00345A71">
            <w:pPr>
              <w:pStyle w:val="Body"/>
              <w:spacing w:after="60"/>
              <w:rPr>
                <w:rFonts w:cs="Arial"/>
                <w:b w:val="0"/>
                <w:lang w:val="en-US"/>
              </w:rPr>
            </w:pPr>
            <w:r w:rsidRPr="002B24F8">
              <w:rPr>
                <w:rFonts w:cs="Arial"/>
                <w:b w:val="0"/>
                <w:lang w:val="en-US"/>
              </w:rPr>
              <w:t>2234192, expiry date: September 2008, extended to March 2009</w:t>
            </w:r>
          </w:p>
          <w:p w:rsidR="00345A71" w:rsidRPr="002B24F8" w:rsidRDefault="00345A71" w:rsidP="00345A71">
            <w:pPr>
              <w:pStyle w:val="Body"/>
              <w:spacing w:after="60"/>
              <w:rPr>
                <w:rFonts w:cs="Arial"/>
                <w:lang w:val="en-US"/>
              </w:rPr>
            </w:pPr>
            <w:r w:rsidRPr="002B24F8">
              <w:rPr>
                <w:rFonts w:cs="Arial"/>
                <w:b w:val="0"/>
                <w:lang w:val="en-US"/>
              </w:rPr>
              <w:t>2234256, expiry date: September 2008, extended to March 2009, and then to November 2009</w:t>
            </w:r>
          </w:p>
        </w:tc>
      </w:tr>
      <w:tr w:rsidR="00345A71" w:rsidRPr="002B24F8" w:rsidTr="0058191A">
        <w:tc>
          <w:tcPr>
            <w:tcW w:w="9245" w:type="dxa"/>
            <w:gridSpan w:val="2"/>
            <w:tcBorders>
              <w:left w:val="single" w:sz="6" w:space="0" w:color="auto"/>
              <w:bottom w:val="single" w:sz="4" w:space="0" w:color="auto"/>
              <w:right w:val="single" w:sz="6" w:space="0" w:color="auto"/>
            </w:tcBorders>
          </w:tcPr>
          <w:p w:rsidR="00345A71" w:rsidRPr="002B24F8" w:rsidRDefault="00345A71" w:rsidP="00345A71">
            <w:pPr>
              <w:pStyle w:val="Body"/>
              <w:keepNext/>
              <w:keepLines/>
              <w:rPr>
                <w:rFonts w:cs="Arial"/>
                <w:lang w:val="en-US"/>
              </w:rPr>
            </w:pPr>
            <w:r w:rsidRPr="002B24F8">
              <w:rPr>
                <w:rFonts w:cs="Arial"/>
                <w:lang w:val="en-US"/>
              </w:rPr>
              <w:lastRenderedPageBreak/>
              <w:t>Duration of Treatment:</w:t>
            </w:r>
          </w:p>
          <w:p w:rsidR="00345A71" w:rsidRPr="002B24F8" w:rsidRDefault="00345A71" w:rsidP="00345A71">
            <w:pPr>
              <w:pStyle w:val="Body"/>
              <w:keepNext/>
              <w:keepLines/>
              <w:spacing w:after="60"/>
              <w:rPr>
                <w:rFonts w:cs="Arial"/>
                <w:i/>
                <w:lang w:val="en-US"/>
              </w:rPr>
            </w:pPr>
            <w:r w:rsidRPr="002B24F8">
              <w:rPr>
                <w:rFonts w:cs="Arial"/>
                <w:b w:val="0"/>
                <w:lang w:val="en-US"/>
              </w:rPr>
              <w:t>5–6 consecutive days</w:t>
            </w:r>
            <w:r w:rsidRPr="002B24F8">
              <w:rPr>
                <w:rFonts w:cs="Arial"/>
                <w:lang w:val="en-US"/>
              </w:rPr>
              <w:t xml:space="preserve"> </w:t>
            </w:r>
            <w:r w:rsidRPr="002B24F8">
              <w:rPr>
                <w:rFonts w:cs="Arial"/>
                <w:b w:val="0"/>
                <w:lang w:val="en-US"/>
              </w:rPr>
              <w:t>depending on when the second dye marker appeared in stool.</w:t>
            </w:r>
          </w:p>
        </w:tc>
      </w:tr>
      <w:tr w:rsidR="00345A71" w:rsidRPr="002B24F8" w:rsidTr="0058191A">
        <w:tc>
          <w:tcPr>
            <w:tcW w:w="9245" w:type="dxa"/>
            <w:gridSpan w:val="2"/>
            <w:tcBorders>
              <w:top w:val="single" w:sz="4" w:space="0" w:color="auto"/>
              <w:left w:val="single" w:sz="6" w:space="0" w:color="auto"/>
              <w:bottom w:val="nil"/>
              <w:right w:val="single" w:sz="6" w:space="0" w:color="auto"/>
            </w:tcBorders>
          </w:tcPr>
          <w:p w:rsidR="00345A71" w:rsidRPr="002B24F8" w:rsidRDefault="00345A71" w:rsidP="00345A71">
            <w:pPr>
              <w:pStyle w:val="Body"/>
              <w:spacing w:after="60"/>
              <w:rPr>
                <w:rFonts w:cs="Arial"/>
                <w:lang w:val="en-US"/>
              </w:rPr>
            </w:pPr>
            <w:r w:rsidRPr="002B24F8">
              <w:rPr>
                <w:rFonts w:cs="Arial"/>
                <w:lang w:val="en-US"/>
              </w:rPr>
              <w:t xml:space="preserve">Reference Therapy: </w:t>
            </w:r>
            <w:r w:rsidRPr="002B24F8">
              <w:rPr>
                <w:rFonts w:cs="Arial"/>
                <w:b w:val="0"/>
                <w:lang w:val="en-US"/>
              </w:rPr>
              <w:t>Not applicable.</w:t>
            </w:r>
          </w:p>
        </w:tc>
      </w:tr>
      <w:tr w:rsidR="00345A71" w:rsidRPr="002B24F8" w:rsidTr="0058191A">
        <w:tc>
          <w:tcPr>
            <w:tcW w:w="9245" w:type="dxa"/>
            <w:gridSpan w:val="2"/>
            <w:tcBorders>
              <w:left w:val="single" w:sz="6" w:space="0" w:color="auto"/>
              <w:right w:val="single" w:sz="6" w:space="0" w:color="auto"/>
            </w:tcBorders>
          </w:tcPr>
          <w:p w:rsidR="00345A71" w:rsidRPr="002B24F8" w:rsidRDefault="00345A71" w:rsidP="00345A71">
            <w:pPr>
              <w:pStyle w:val="Body"/>
              <w:rPr>
                <w:rFonts w:cs="Arial"/>
                <w:lang w:val="en-US"/>
              </w:rPr>
            </w:pPr>
            <w:r w:rsidRPr="002B24F8">
              <w:rPr>
                <w:rFonts w:cs="Arial"/>
                <w:lang w:val="en-US"/>
              </w:rPr>
              <w:t>Criteria for Evaluation:</w:t>
            </w:r>
          </w:p>
          <w:p w:rsidR="00345A71" w:rsidRPr="002B24F8" w:rsidRDefault="00345A71" w:rsidP="00345A71">
            <w:pPr>
              <w:pStyle w:val="Body"/>
              <w:rPr>
                <w:rFonts w:cs="Arial"/>
                <w:b w:val="0"/>
                <w:u w:val="single"/>
                <w:lang w:val="en-US"/>
              </w:rPr>
            </w:pPr>
            <w:r w:rsidRPr="002B24F8">
              <w:rPr>
                <w:rFonts w:cs="Arial"/>
                <w:b w:val="0"/>
                <w:u w:val="single"/>
                <w:lang w:val="en-US"/>
              </w:rPr>
              <w:t>Efficacy:</w:t>
            </w:r>
          </w:p>
          <w:p w:rsidR="00345A71" w:rsidRPr="002B24F8" w:rsidRDefault="00345A71" w:rsidP="00345A71">
            <w:pPr>
              <w:pStyle w:val="Body"/>
              <w:numPr>
                <w:ilvl w:val="0"/>
                <w:numId w:val="2"/>
              </w:numPr>
              <w:rPr>
                <w:rFonts w:cs="Arial"/>
                <w:b w:val="0"/>
                <w:lang w:val="en-US"/>
              </w:rPr>
            </w:pPr>
            <w:r w:rsidRPr="002B24F8">
              <w:rPr>
                <w:rFonts w:cs="Arial"/>
                <w:b w:val="0"/>
                <w:lang w:val="en-US"/>
              </w:rPr>
              <w:t>CFA assessment.</w:t>
            </w:r>
          </w:p>
          <w:p w:rsidR="00345A71" w:rsidRPr="002B24F8" w:rsidRDefault="00345A71" w:rsidP="00345A71">
            <w:pPr>
              <w:pStyle w:val="Body"/>
              <w:rPr>
                <w:rFonts w:cs="Arial"/>
                <w:b w:val="0"/>
                <w:u w:val="single"/>
                <w:lang w:val="en-US"/>
              </w:rPr>
            </w:pPr>
            <w:r w:rsidRPr="002B24F8">
              <w:rPr>
                <w:rFonts w:cs="Arial"/>
                <w:b w:val="0"/>
                <w:u w:val="single"/>
                <w:lang w:val="en-US"/>
              </w:rPr>
              <w:t>Safety:</w:t>
            </w:r>
          </w:p>
          <w:p w:rsidR="00345A71" w:rsidRPr="002B24F8" w:rsidRDefault="00345A71" w:rsidP="00345A71">
            <w:pPr>
              <w:pStyle w:val="Body"/>
              <w:numPr>
                <w:ilvl w:val="0"/>
                <w:numId w:val="2"/>
              </w:numPr>
              <w:rPr>
                <w:rFonts w:cs="Arial"/>
                <w:b w:val="0"/>
                <w:lang w:val="en-US"/>
              </w:rPr>
            </w:pPr>
            <w:r w:rsidRPr="002B24F8">
              <w:rPr>
                <w:rFonts w:cs="Arial"/>
                <w:b w:val="0"/>
                <w:lang w:val="en-US"/>
              </w:rPr>
              <w:t>Adverse Events (AEs);</w:t>
            </w:r>
          </w:p>
          <w:p w:rsidR="00345A71" w:rsidRPr="002B24F8" w:rsidRDefault="00345A71" w:rsidP="00345A71">
            <w:pPr>
              <w:pStyle w:val="Body"/>
              <w:numPr>
                <w:ilvl w:val="0"/>
                <w:numId w:val="2"/>
              </w:numPr>
              <w:rPr>
                <w:rFonts w:cs="Arial"/>
                <w:b w:val="0"/>
                <w:lang w:val="en-US"/>
              </w:rPr>
            </w:pPr>
            <w:r w:rsidRPr="002B24F8">
              <w:rPr>
                <w:rFonts w:cs="Arial"/>
                <w:b w:val="0"/>
                <w:lang w:val="en-US"/>
              </w:rPr>
              <w:t>Laboratory safety assessments: hematology (hemoglobin, leukocytes and thrombocytes), clinical chemistry while fasting (total bilirubin, alanine transaminase</w:t>
            </w:r>
            <w:r w:rsidRPr="002B24F8">
              <w:rPr>
                <w:rFonts w:cs="Arial"/>
                <w:lang w:val="en-US"/>
              </w:rPr>
              <w:t> </w:t>
            </w:r>
            <w:r w:rsidRPr="002B24F8">
              <w:rPr>
                <w:rFonts w:cs="Arial"/>
                <w:b w:val="0"/>
                <w:lang w:val="en-US"/>
              </w:rPr>
              <w:t>[ALT], alkaline phosphatase [ALP], gamma-glutamyl transpeptidase [g-GT], creatinine, amylase, C-reactive protein [CRP], total cholesterol, triglycerides, albumin, glucose, sodium, potassium and calcium), and urine pregnancy test (for women of childbearing potential);</w:t>
            </w:r>
          </w:p>
          <w:p w:rsidR="00345A71" w:rsidRPr="002B24F8" w:rsidRDefault="00345A71" w:rsidP="00345A71">
            <w:pPr>
              <w:pStyle w:val="Body"/>
              <w:numPr>
                <w:ilvl w:val="0"/>
                <w:numId w:val="2"/>
              </w:numPr>
              <w:rPr>
                <w:rFonts w:cs="Arial"/>
                <w:b w:val="0"/>
                <w:lang w:val="en-US"/>
              </w:rPr>
            </w:pPr>
            <w:r w:rsidRPr="002B24F8">
              <w:rPr>
                <w:rFonts w:cs="Arial"/>
                <w:b w:val="0"/>
                <w:lang w:val="en-US"/>
              </w:rPr>
              <w:t>Vital signs: systolic and diastolic blood pressure and pulse rate;</w:t>
            </w:r>
          </w:p>
          <w:p w:rsidR="00345A71" w:rsidRPr="002B24F8" w:rsidRDefault="00345A71" w:rsidP="00345A71">
            <w:pPr>
              <w:pStyle w:val="Body"/>
              <w:numPr>
                <w:ilvl w:val="0"/>
                <w:numId w:val="2"/>
              </w:numPr>
              <w:spacing w:after="60"/>
              <w:ind w:left="714" w:hanging="357"/>
              <w:rPr>
                <w:rFonts w:cs="Arial"/>
                <w:b w:val="0"/>
                <w:lang w:val="en-US"/>
              </w:rPr>
            </w:pPr>
            <w:r w:rsidRPr="002B24F8">
              <w:rPr>
                <w:rFonts w:cs="Arial"/>
                <w:b w:val="0"/>
                <w:lang w:val="en-US"/>
              </w:rPr>
              <w:t>Electrocardiogram (ECG).</w:t>
            </w:r>
          </w:p>
        </w:tc>
      </w:tr>
      <w:tr w:rsidR="00345A71" w:rsidRPr="002B24F8" w:rsidTr="0058191A">
        <w:tc>
          <w:tcPr>
            <w:tcW w:w="9245" w:type="dxa"/>
            <w:gridSpan w:val="2"/>
            <w:tcBorders>
              <w:left w:val="single" w:sz="6" w:space="0" w:color="auto"/>
              <w:right w:val="single" w:sz="6" w:space="0" w:color="auto"/>
            </w:tcBorders>
          </w:tcPr>
          <w:p w:rsidR="00345A71" w:rsidRPr="002B24F8" w:rsidRDefault="00345A71" w:rsidP="00345A71">
            <w:pPr>
              <w:pStyle w:val="Body"/>
              <w:rPr>
                <w:rFonts w:cs="Arial"/>
                <w:lang w:val="en-US"/>
              </w:rPr>
            </w:pPr>
            <w:r w:rsidRPr="002B24F8">
              <w:rPr>
                <w:rFonts w:cs="Arial"/>
                <w:lang w:val="en-US"/>
              </w:rPr>
              <w:t>Statistical Methods:</w:t>
            </w:r>
          </w:p>
          <w:p w:rsidR="00345A71" w:rsidRPr="002B24F8" w:rsidRDefault="00345A71" w:rsidP="00345A71">
            <w:pPr>
              <w:spacing w:after="120"/>
              <w:jc w:val="both"/>
              <w:rPr>
                <w:rFonts w:ascii="Arial" w:hAnsi="Arial" w:cs="Arial"/>
                <w:sz w:val="20"/>
                <w:lang w:val="en-US"/>
              </w:rPr>
            </w:pPr>
            <w:r w:rsidRPr="002B24F8">
              <w:rPr>
                <w:rFonts w:ascii="Arial" w:hAnsi="Arial" w:cs="Arial"/>
                <w:sz w:val="20"/>
                <w:lang w:val="en-US"/>
              </w:rPr>
              <w:t>A paired t-test was used for the primary efficacy analysis.</w:t>
            </w:r>
          </w:p>
          <w:p w:rsidR="00345A71" w:rsidRPr="002B24F8" w:rsidRDefault="00345A71" w:rsidP="00345A71">
            <w:pPr>
              <w:pStyle w:val="Body"/>
              <w:spacing w:after="120"/>
              <w:rPr>
                <w:b w:val="0"/>
                <w:szCs w:val="24"/>
                <w:lang w:val="en-US"/>
              </w:rPr>
            </w:pPr>
            <w:r w:rsidRPr="002B24F8">
              <w:rPr>
                <w:rFonts w:cs="Arial"/>
                <w:b w:val="0"/>
                <w:lang w:val="en-US"/>
              </w:rPr>
              <w:t xml:space="preserve">In general, categorical data are presented </w:t>
            </w:r>
            <w:r w:rsidR="005E1308">
              <w:rPr>
                <w:rFonts w:cs="Arial"/>
                <w:b w:val="0"/>
                <w:lang w:val="en-US"/>
              </w:rPr>
              <w:t xml:space="preserve">in the Clinical Study Report </w:t>
            </w:r>
            <w:bookmarkStart w:id="0" w:name="_GoBack"/>
            <w:bookmarkEnd w:id="0"/>
            <w:r w:rsidRPr="002B24F8">
              <w:rPr>
                <w:rFonts w:cs="Arial"/>
                <w:b w:val="0"/>
                <w:lang w:val="en-US"/>
              </w:rPr>
              <w:t>using counts and percentages, whilst continuous data are presented using the mean, standard deviation (SD), Q1 (first quartile), median, Q3 (third quartile), minimum, maximum, number of observations and number of missing observations.</w:t>
            </w:r>
          </w:p>
          <w:p w:rsidR="00345A71" w:rsidRPr="002B24F8" w:rsidRDefault="00345A71" w:rsidP="00345A71">
            <w:pPr>
              <w:spacing w:after="120"/>
              <w:jc w:val="both"/>
              <w:rPr>
                <w:rFonts w:ascii="Arial" w:hAnsi="Arial" w:cs="Arial"/>
                <w:sz w:val="20"/>
                <w:lang w:val="en-US"/>
              </w:rPr>
            </w:pPr>
            <w:r w:rsidRPr="002B24F8">
              <w:rPr>
                <w:rFonts w:ascii="Arial" w:hAnsi="Arial" w:cs="Arial"/>
                <w:sz w:val="20"/>
                <w:lang w:val="en-US"/>
              </w:rPr>
              <w:t>In tabulations, denominators for calculation of percentages were taken as the number of non-missing responses in the specified analysis population unless otherwise stated.</w:t>
            </w:r>
          </w:p>
          <w:p w:rsidR="00345A71" w:rsidRPr="002B24F8" w:rsidRDefault="00345A71" w:rsidP="00345A71">
            <w:pPr>
              <w:spacing w:after="120"/>
              <w:jc w:val="both"/>
              <w:rPr>
                <w:rFonts w:ascii="Arial" w:hAnsi="Arial" w:cs="Arial"/>
                <w:sz w:val="20"/>
                <w:lang w:val="en-US"/>
              </w:rPr>
            </w:pPr>
            <w:r w:rsidRPr="002B24F8">
              <w:rPr>
                <w:rFonts w:ascii="Arial" w:hAnsi="Arial" w:cs="Arial"/>
                <w:sz w:val="20"/>
                <w:lang w:val="en-US"/>
              </w:rPr>
              <w:t>All data recorded in the case report form (CRF) were listed.</w:t>
            </w:r>
          </w:p>
          <w:p w:rsidR="00345A71" w:rsidRPr="002B24F8" w:rsidRDefault="00345A71" w:rsidP="00345A71">
            <w:pPr>
              <w:spacing w:after="120"/>
              <w:jc w:val="both"/>
              <w:rPr>
                <w:rFonts w:ascii="Arial" w:hAnsi="Arial" w:cs="Arial"/>
                <w:sz w:val="20"/>
                <w:lang w:val="en-US"/>
              </w:rPr>
            </w:pPr>
            <w:r w:rsidRPr="002B24F8">
              <w:rPr>
                <w:rFonts w:ascii="Arial" w:hAnsi="Arial" w:cs="Arial"/>
                <w:sz w:val="20"/>
                <w:lang w:val="en-US"/>
              </w:rPr>
              <w:t>All tables, figures and listings were quality controlled by a different statistician visually and by independently programming table outputs.</w:t>
            </w:r>
          </w:p>
        </w:tc>
      </w:tr>
      <w:tr w:rsidR="00345A71" w:rsidRPr="002B24F8" w:rsidTr="0058191A">
        <w:tc>
          <w:tcPr>
            <w:tcW w:w="9245" w:type="dxa"/>
            <w:gridSpan w:val="2"/>
            <w:tcBorders>
              <w:left w:val="single" w:sz="6" w:space="0" w:color="auto"/>
              <w:right w:val="single" w:sz="6" w:space="0" w:color="auto"/>
            </w:tcBorders>
          </w:tcPr>
          <w:p w:rsidR="00345A71" w:rsidRPr="002B24F8" w:rsidRDefault="00345A71" w:rsidP="00345A71">
            <w:pPr>
              <w:pStyle w:val="Body"/>
              <w:spacing w:after="60"/>
              <w:rPr>
                <w:rFonts w:cs="Arial"/>
                <w:u w:val="single"/>
                <w:lang w:val="en-US"/>
              </w:rPr>
            </w:pPr>
            <w:r w:rsidRPr="002B24F8">
              <w:rPr>
                <w:rFonts w:cs="Arial"/>
                <w:u w:val="single"/>
                <w:lang w:val="en-US"/>
              </w:rPr>
              <w:t>RESULTS AND CONCLUSIONS</w:t>
            </w:r>
          </w:p>
          <w:p w:rsidR="00345A71" w:rsidRPr="002B24F8" w:rsidRDefault="00345A71" w:rsidP="00345A71">
            <w:pPr>
              <w:pStyle w:val="Paragraph"/>
              <w:jc w:val="both"/>
              <w:rPr>
                <w:bCs/>
              </w:rPr>
            </w:pPr>
            <w:r w:rsidRPr="002B24F8">
              <w:rPr>
                <w:bCs/>
              </w:rPr>
              <w:t>A total of 22 patients were screened and 15 patients were eligible for the study; all 15 patients entered the baseline period. A total of 14 patients entered the treatment period and were included in the Intent-to-Treat (ITT) and Safety populations. A total of 9 patients were included in the Per Protocol (PP) population; 5 patients were excluded from the PP population due to protocol deviations that meant they did not have 2 complete/accurate CFA assessments.</w:t>
            </w:r>
          </w:p>
          <w:p w:rsidR="00345A71" w:rsidRPr="002B24F8" w:rsidRDefault="00345A71" w:rsidP="00345A71">
            <w:pPr>
              <w:pStyle w:val="Text"/>
              <w:spacing w:before="0" w:after="120"/>
              <w:ind w:left="0"/>
              <w:rPr>
                <w:lang w:val="en-US"/>
              </w:rPr>
            </w:pPr>
            <w:r w:rsidRPr="002B24F8">
              <w:rPr>
                <w:lang w:val="en-US"/>
              </w:rPr>
              <w:t xml:space="preserve">The majority of patients who entered the baseline period completed the study: 13 patients (86.7%). Two patients (13.3%) were withdrawn, 1 during the </w:t>
            </w:r>
            <w:r>
              <w:rPr>
                <w:lang w:val="en-US"/>
              </w:rPr>
              <w:t xml:space="preserve">baseline </w:t>
            </w:r>
            <w:r w:rsidRPr="002B24F8">
              <w:rPr>
                <w:lang w:val="en-US"/>
              </w:rPr>
              <w:t>period</w:t>
            </w:r>
            <w:r>
              <w:rPr>
                <w:lang w:val="en-US"/>
              </w:rPr>
              <w:t>,</w:t>
            </w:r>
            <w:r w:rsidRPr="002B24F8">
              <w:rPr>
                <w:lang w:val="en-US"/>
              </w:rPr>
              <w:t xml:space="preserve"> </w:t>
            </w:r>
            <w:r>
              <w:rPr>
                <w:lang w:val="en-US"/>
              </w:rPr>
              <w:t xml:space="preserve">due to Investigator decision, </w:t>
            </w:r>
            <w:r w:rsidRPr="002B24F8">
              <w:rPr>
                <w:lang w:val="en-US"/>
              </w:rPr>
              <w:t>and 1 during the treatment period</w:t>
            </w:r>
            <w:r>
              <w:rPr>
                <w:lang w:val="en-US"/>
              </w:rPr>
              <w:t>, due to an AE</w:t>
            </w:r>
            <w:r w:rsidRPr="002B24F8">
              <w:rPr>
                <w:lang w:val="en-US"/>
              </w:rPr>
              <w:t>.</w:t>
            </w:r>
          </w:p>
          <w:p w:rsidR="00345A71" w:rsidRPr="002B24F8" w:rsidRDefault="00345A71" w:rsidP="00345A71">
            <w:pPr>
              <w:spacing w:after="120"/>
              <w:jc w:val="both"/>
              <w:rPr>
                <w:rFonts w:ascii="Arial" w:hAnsi="Arial" w:cs="Arial"/>
                <w:sz w:val="20"/>
                <w:lang w:val="en-US"/>
              </w:rPr>
            </w:pPr>
            <w:r w:rsidRPr="002B24F8">
              <w:rPr>
                <w:rFonts w:ascii="Arial" w:hAnsi="Arial" w:cs="Arial"/>
                <w:sz w:val="20"/>
                <w:lang w:val="en-US"/>
              </w:rPr>
              <w:t xml:space="preserve">Reported study drug compliance in the Safety population was 100% in all patients. </w:t>
            </w:r>
          </w:p>
          <w:p w:rsidR="00345A71" w:rsidRPr="002B24F8" w:rsidRDefault="00345A71" w:rsidP="00345A71">
            <w:pPr>
              <w:pStyle w:val="Body"/>
              <w:keepNext/>
              <w:pageBreakBefore/>
              <w:rPr>
                <w:rFonts w:cs="Arial"/>
                <w:lang w:val="en-US"/>
              </w:rPr>
            </w:pPr>
            <w:r w:rsidRPr="002B24F8">
              <w:rPr>
                <w:rFonts w:cs="Arial"/>
                <w:lang w:val="en-US"/>
              </w:rPr>
              <w:t>Efficacy Results:</w:t>
            </w:r>
          </w:p>
          <w:p w:rsidR="00345A71" w:rsidRPr="002B24F8" w:rsidRDefault="00345A71" w:rsidP="00345A71">
            <w:pPr>
              <w:pStyle w:val="Text"/>
              <w:spacing w:before="0" w:after="120"/>
              <w:ind w:left="0"/>
              <w:rPr>
                <w:lang w:val="en-US"/>
              </w:rPr>
            </w:pPr>
            <w:r w:rsidRPr="002B24F8">
              <w:rPr>
                <w:lang w:val="en-US"/>
              </w:rPr>
              <w:t>Although mean CFA values in the PP population were slightly higher after treatment with rhBSSL (</w:t>
            </w:r>
            <w:r>
              <w:rPr>
                <w:lang w:val="en-US"/>
              </w:rPr>
              <w:t>80.2% [standard deviation (SD): 13.61%]</w:t>
            </w:r>
            <w:r w:rsidRPr="002B24F8">
              <w:rPr>
                <w:lang w:val="en-US"/>
              </w:rPr>
              <w:t xml:space="preserve">) compared with </w:t>
            </w:r>
            <w:r>
              <w:rPr>
                <w:lang w:val="en-US"/>
              </w:rPr>
              <w:t>baseline</w:t>
            </w:r>
            <w:r w:rsidRPr="002B24F8">
              <w:rPr>
                <w:lang w:val="en-US"/>
              </w:rPr>
              <w:t xml:space="preserve"> values (</w:t>
            </w:r>
            <w:r>
              <w:rPr>
                <w:lang w:val="en-US"/>
              </w:rPr>
              <w:t>73.3% [SD: 21.72%]</w:t>
            </w:r>
            <w:r w:rsidRPr="002B24F8">
              <w:rPr>
                <w:lang w:val="en-US"/>
              </w:rPr>
              <w:t xml:space="preserve">), there was no significant difference between </w:t>
            </w:r>
            <w:r>
              <w:rPr>
                <w:lang w:val="en-US"/>
              </w:rPr>
              <w:t>baseline</w:t>
            </w:r>
            <w:r w:rsidRPr="002B24F8">
              <w:rPr>
                <w:lang w:val="en-US"/>
              </w:rPr>
              <w:t xml:space="preserve"> CFA values and those following rhBSSL treatment (paired t-test p-value: 0.2179</w:t>
            </w:r>
            <w:r>
              <w:rPr>
                <w:lang w:val="en-US"/>
              </w:rPr>
              <w:t>; mean difference: 6.9%, 95% confidence interval [CI]: -5.0, 18.9</w:t>
            </w:r>
            <w:r w:rsidRPr="002B24F8">
              <w:rPr>
                <w:lang w:val="en-US"/>
              </w:rPr>
              <w:t xml:space="preserve">). In the ITT population, there was no significant difference in mean CFA values </w:t>
            </w:r>
            <w:r>
              <w:rPr>
                <w:lang w:val="en-US"/>
              </w:rPr>
              <w:t>between</w:t>
            </w:r>
            <w:r w:rsidRPr="002B24F8">
              <w:rPr>
                <w:lang w:val="en-US"/>
              </w:rPr>
              <w:t xml:space="preserve"> </w:t>
            </w:r>
            <w:r>
              <w:rPr>
                <w:lang w:val="en-US"/>
              </w:rPr>
              <w:t>baseline</w:t>
            </w:r>
            <w:r w:rsidRPr="002B24F8">
              <w:rPr>
                <w:lang w:val="en-US"/>
              </w:rPr>
              <w:t xml:space="preserve"> and following rhBSSL treatment (paired t-test p value: 0.7997). </w:t>
            </w:r>
          </w:p>
          <w:p w:rsidR="00345A71" w:rsidRPr="002B24F8" w:rsidRDefault="00345A71" w:rsidP="00345A71">
            <w:pPr>
              <w:pStyle w:val="Body"/>
              <w:rPr>
                <w:rFonts w:cs="Arial"/>
                <w:lang w:val="en-US"/>
              </w:rPr>
            </w:pPr>
            <w:r w:rsidRPr="002B24F8">
              <w:rPr>
                <w:rFonts w:cs="Arial"/>
                <w:lang w:val="en-US"/>
              </w:rPr>
              <w:t>Safety Results:</w:t>
            </w:r>
          </w:p>
          <w:p w:rsidR="00345A71" w:rsidRPr="002B24F8" w:rsidRDefault="00345A71" w:rsidP="00345A71">
            <w:pPr>
              <w:pStyle w:val="Paragraph"/>
              <w:jc w:val="both"/>
            </w:pPr>
            <w:r w:rsidRPr="002B24F8">
              <w:t xml:space="preserve">The secondary objective of the study was assessment of safety and tolerability of multiple doses of rhBSSL. Two serious adverse events </w:t>
            </w:r>
            <w:r>
              <w:t xml:space="preserve">(SAEs) </w:t>
            </w:r>
            <w:r w:rsidRPr="002B24F8">
              <w:t xml:space="preserve">were reported. Both patients had exacerbations of their CF, one during the screening period, the other while treated with rhBSSL. The latter was mild and considered unlikely related to rhBSSL. </w:t>
            </w:r>
          </w:p>
          <w:p w:rsidR="00345A71" w:rsidRPr="002B24F8" w:rsidRDefault="00345A71" w:rsidP="00345A71">
            <w:pPr>
              <w:pStyle w:val="Text"/>
              <w:spacing w:before="0" w:after="120"/>
              <w:ind w:left="0"/>
              <w:rPr>
                <w:lang w:val="en-US"/>
              </w:rPr>
            </w:pPr>
            <w:r w:rsidRPr="002B24F8">
              <w:rPr>
                <w:lang w:val="en-US"/>
              </w:rPr>
              <w:t xml:space="preserve">Overall, the treatment was well tolerated. Half of the patients in the Safety Population (7 patients; 50.0%) experienced a treatment-emergent AE (TEAE) during the study. The most common TEAEs reported were abdominal pain. A total of 2 patients (14.3%) had AEs of abdominal pain during the </w:t>
            </w:r>
            <w:r>
              <w:rPr>
                <w:lang w:val="en-US"/>
              </w:rPr>
              <w:t>baseline</w:t>
            </w:r>
            <w:r w:rsidRPr="002B24F8">
              <w:rPr>
                <w:lang w:val="en-US"/>
              </w:rPr>
              <w:t xml:space="preserve"> period and 4 patients (28.6%) had abdominal pain as a TEAE. All cases of abdominal pain were mild and resolved within 3 days. With the exception of one event of abdominal pain, all events were considered </w:t>
            </w:r>
            <w:r w:rsidRPr="002B24F8">
              <w:rPr>
                <w:lang w:val="en-US"/>
              </w:rPr>
              <w:lastRenderedPageBreak/>
              <w:t>unlikely related to rhBSSL. This event was considered probably related to rhBSSL</w:t>
            </w:r>
            <w:r>
              <w:rPr>
                <w:lang w:val="en-US"/>
              </w:rPr>
              <w:t>.This</w:t>
            </w:r>
            <w:r w:rsidRPr="002B24F8">
              <w:rPr>
                <w:lang w:val="en-US"/>
              </w:rPr>
              <w:t xml:space="preserve"> was the only TEAE considered at least possibly related to study drug. The event was mild in severity and resolved within 3 days.</w:t>
            </w:r>
          </w:p>
          <w:p w:rsidR="00345A71" w:rsidRPr="002B24F8" w:rsidRDefault="00345A71" w:rsidP="00345A71">
            <w:pPr>
              <w:pStyle w:val="Text"/>
              <w:spacing w:before="0" w:after="120"/>
              <w:ind w:left="0"/>
              <w:rPr>
                <w:lang w:val="en-US"/>
              </w:rPr>
            </w:pPr>
            <w:r w:rsidRPr="002B24F8">
              <w:rPr>
                <w:lang w:val="en-US"/>
              </w:rPr>
              <w:t xml:space="preserve">There was one TEAE in one patient that led to premature withdrawal in the Safety Population: one patient had a viral infection. The event was mild in severity and considered unlikely related to rhBSSL. Concomitant medication </w:t>
            </w:r>
            <w:r>
              <w:rPr>
                <w:lang w:val="en-US"/>
              </w:rPr>
              <w:t>(paracetamol/</w:t>
            </w:r>
            <w:r>
              <w:rPr>
                <w:rFonts w:cs="Arial"/>
                <w:color w:val="000000"/>
              </w:rPr>
              <w:t>acetaminophen)</w:t>
            </w:r>
            <w:r>
              <w:rPr>
                <w:lang w:val="en-US"/>
              </w:rPr>
              <w:t xml:space="preserve"> </w:t>
            </w:r>
            <w:r w:rsidRPr="002B24F8">
              <w:rPr>
                <w:lang w:val="en-US"/>
              </w:rPr>
              <w:t>was taken and the event resolved the same day.</w:t>
            </w:r>
          </w:p>
          <w:p w:rsidR="00345A71" w:rsidRDefault="00345A71" w:rsidP="00345A71">
            <w:pPr>
              <w:pStyle w:val="Text"/>
              <w:spacing w:before="0" w:after="120"/>
              <w:ind w:left="0"/>
              <w:rPr>
                <w:lang w:val="en-US"/>
              </w:rPr>
            </w:pPr>
            <w:r w:rsidRPr="002B24F8">
              <w:rPr>
                <w:lang w:val="en-US"/>
              </w:rPr>
              <w:t>One patient had a clinically significant (CS) laboratory value during the study; the patient had a CRP value that was greater than the upper limit of normal (ULN) at Day T5 of the treatment period; this was reported as an AE but was unlikely related to rhBSSL and resolved with no action taken. Values were &gt;ULN but not CS at Screening and Day T1 of the treatment period. There was little change in vital signs and ECG findings throughout the study and no changes in physical examination findings.</w:t>
            </w:r>
          </w:p>
          <w:p w:rsidR="00345A71" w:rsidRPr="002B24F8" w:rsidRDefault="00345A71" w:rsidP="00345A71">
            <w:pPr>
              <w:pStyle w:val="Text"/>
              <w:spacing w:before="0" w:after="120"/>
              <w:ind w:left="0"/>
              <w:rPr>
                <w:lang w:val="en-US"/>
              </w:rPr>
            </w:pPr>
            <w:r>
              <w:rPr>
                <w:lang w:val="en-US"/>
              </w:rPr>
              <w:t>There were no deaths or other significant AEs in this study.</w:t>
            </w:r>
          </w:p>
          <w:p w:rsidR="00345A71" w:rsidRPr="002B24F8" w:rsidRDefault="00345A71" w:rsidP="00345A71">
            <w:pPr>
              <w:pStyle w:val="Body"/>
              <w:rPr>
                <w:rFonts w:cs="Arial"/>
                <w:lang w:val="en-US"/>
              </w:rPr>
            </w:pPr>
            <w:r w:rsidRPr="002B24F8">
              <w:rPr>
                <w:rFonts w:cs="Arial"/>
                <w:lang w:val="en-US"/>
              </w:rPr>
              <w:t>Conclusion:</w:t>
            </w:r>
          </w:p>
          <w:p w:rsidR="00345A71" w:rsidRPr="002B24F8" w:rsidRDefault="00345A71" w:rsidP="00345A71">
            <w:pPr>
              <w:pStyle w:val="Text"/>
              <w:spacing w:before="0" w:after="120"/>
              <w:ind w:left="0"/>
              <w:rPr>
                <w:lang w:val="en-US"/>
              </w:rPr>
            </w:pPr>
            <w:r w:rsidRPr="002B24F8">
              <w:rPr>
                <w:lang w:val="en-US"/>
              </w:rPr>
              <w:t xml:space="preserve">Overall, there was no significant difference between </w:t>
            </w:r>
            <w:r>
              <w:rPr>
                <w:lang w:val="en-US"/>
              </w:rPr>
              <w:t>baseline</w:t>
            </w:r>
            <w:r w:rsidRPr="002B24F8">
              <w:rPr>
                <w:lang w:val="en-US"/>
              </w:rPr>
              <w:t xml:space="preserve"> CFA values and CFA values following rhBSSL administration. </w:t>
            </w:r>
          </w:p>
          <w:p w:rsidR="00345A71" w:rsidRPr="002B24F8" w:rsidRDefault="00345A71" w:rsidP="00345A71">
            <w:pPr>
              <w:pStyle w:val="Text"/>
              <w:spacing w:before="0" w:after="120"/>
              <w:ind w:left="0"/>
              <w:rPr>
                <w:lang w:val="en-US"/>
              </w:rPr>
            </w:pPr>
            <w:r w:rsidRPr="002B24F8">
              <w:rPr>
                <w:lang w:val="en-US"/>
              </w:rPr>
              <w:t>The study treatment was well tolerated.</w:t>
            </w:r>
          </w:p>
        </w:tc>
      </w:tr>
    </w:tbl>
    <w:p w:rsidR="000A4312" w:rsidRPr="00345A71" w:rsidRDefault="000A4312">
      <w:pPr>
        <w:rPr>
          <w:lang w:val="en-US"/>
        </w:rPr>
      </w:pPr>
    </w:p>
    <w:sectPr w:rsidR="000A4312" w:rsidRPr="00345A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A28AF"/>
    <w:multiLevelType w:val="hybridMultilevel"/>
    <w:tmpl w:val="1B8AD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015E6"/>
    <w:multiLevelType w:val="hybridMultilevel"/>
    <w:tmpl w:val="3A9CCD68"/>
    <w:lvl w:ilvl="0" w:tplc="C8FE393E">
      <w:start w:val="1"/>
      <w:numFmt w:val="bullet"/>
      <w:lvlText w:val=""/>
      <w:lvlJc w:val="left"/>
      <w:pPr>
        <w:ind w:left="720" w:hanging="360"/>
      </w:pPr>
      <w:rPr>
        <w:rFonts w:ascii="Symbol" w:hAnsi="Symbol" w:hint="default"/>
      </w:rPr>
    </w:lvl>
    <w:lvl w:ilvl="1" w:tplc="62BEB35A" w:tentative="1">
      <w:start w:val="1"/>
      <w:numFmt w:val="bullet"/>
      <w:lvlText w:val="o"/>
      <w:lvlJc w:val="left"/>
      <w:pPr>
        <w:ind w:left="1440" w:hanging="360"/>
      </w:pPr>
      <w:rPr>
        <w:rFonts w:ascii="Courier New" w:hAnsi="Courier New" w:cs="Courier New" w:hint="default"/>
      </w:rPr>
    </w:lvl>
    <w:lvl w:ilvl="2" w:tplc="17CA1AC4" w:tentative="1">
      <w:start w:val="1"/>
      <w:numFmt w:val="bullet"/>
      <w:lvlText w:val=""/>
      <w:lvlJc w:val="left"/>
      <w:pPr>
        <w:ind w:left="2160" w:hanging="360"/>
      </w:pPr>
      <w:rPr>
        <w:rFonts w:ascii="Wingdings" w:hAnsi="Wingdings" w:hint="default"/>
      </w:rPr>
    </w:lvl>
    <w:lvl w:ilvl="3" w:tplc="542EF9AA" w:tentative="1">
      <w:start w:val="1"/>
      <w:numFmt w:val="bullet"/>
      <w:lvlText w:val=""/>
      <w:lvlJc w:val="left"/>
      <w:pPr>
        <w:ind w:left="2880" w:hanging="360"/>
      </w:pPr>
      <w:rPr>
        <w:rFonts w:ascii="Symbol" w:hAnsi="Symbol" w:hint="default"/>
      </w:rPr>
    </w:lvl>
    <w:lvl w:ilvl="4" w:tplc="B6A099BA" w:tentative="1">
      <w:start w:val="1"/>
      <w:numFmt w:val="bullet"/>
      <w:lvlText w:val="o"/>
      <w:lvlJc w:val="left"/>
      <w:pPr>
        <w:ind w:left="3600" w:hanging="360"/>
      </w:pPr>
      <w:rPr>
        <w:rFonts w:ascii="Courier New" w:hAnsi="Courier New" w:cs="Courier New" w:hint="default"/>
      </w:rPr>
    </w:lvl>
    <w:lvl w:ilvl="5" w:tplc="0456B99C" w:tentative="1">
      <w:start w:val="1"/>
      <w:numFmt w:val="bullet"/>
      <w:lvlText w:val=""/>
      <w:lvlJc w:val="left"/>
      <w:pPr>
        <w:ind w:left="4320" w:hanging="360"/>
      </w:pPr>
      <w:rPr>
        <w:rFonts w:ascii="Wingdings" w:hAnsi="Wingdings" w:hint="default"/>
      </w:rPr>
    </w:lvl>
    <w:lvl w:ilvl="6" w:tplc="180493B2" w:tentative="1">
      <w:start w:val="1"/>
      <w:numFmt w:val="bullet"/>
      <w:lvlText w:val=""/>
      <w:lvlJc w:val="left"/>
      <w:pPr>
        <w:ind w:left="5040" w:hanging="360"/>
      </w:pPr>
      <w:rPr>
        <w:rFonts w:ascii="Symbol" w:hAnsi="Symbol" w:hint="default"/>
      </w:rPr>
    </w:lvl>
    <w:lvl w:ilvl="7" w:tplc="8862A494" w:tentative="1">
      <w:start w:val="1"/>
      <w:numFmt w:val="bullet"/>
      <w:lvlText w:val="o"/>
      <w:lvlJc w:val="left"/>
      <w:pPr>
        <w:ind w:left="5760" w:hanging="360"/>
      </w:pPr>
      <w:rPr>
        <w:rFonts w:ascii="Courier New" w:hAnsi="Courier New" w:cs="Courier New" w:hint="default"/>
      </w:rPr>
    </w:lvl>
    <w:lvl w:ilvl="8" w:tplc="48E26A0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A71"/>
    <w:rsid w:val="000A4312"/>
    <w:rsid w:val="002F4DDE"/>
    <w:rsid w:val="00345A71"/>
    <w:rsid w:val="005E130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D8C45A-7307-4273-9771-A48F3CC66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A71"/>
    <w:pPr>
      <w:spacing w:after="0" w:line="24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Body"/>
    <w:rsid w:val="00345A71"/>
    <w:pPr>
      <w:suppressAutoHyphens/>
      <w:spacing w:before="60" w:after="60"/>
      <w:ind w:left="936"/>
    </w:pPr>
    <w:rPr>
      <w:b w:val="0"/>
    </w:rPr>
  </w:style>
  <w:style w:type="paragraph" w:customStyle="1" w:styleId="Body">
    <w:name w:val="Body"/>
    <w:link w:val="BodyChar"/>
    <w:rsid w:val="00345A71"/>
    <w:pPr>
      <w:spacing w:after="0" w:line="240" w:lineRule="auto"/>
      <w:jc w:val="both"/>
    </w:pPr>
    <w:rPr>
      <w:rFonts w:ascii="Arial" w:eastAsia="Times New Roman" w:hAnsi="Arial" w:cs="Times New Roman"/>
      <w:b/>
      <w:sz w:val="20"/>
      <w:szCs w:val="20"/>
      <w:lang w:val="en-GB"/>
    </w:rPr>
  </w:style>
  <w:style w:type="paragraph" w:customStyle="1" w:styleId="Paragraph">
    <w:name w:val="Paragraph"/>
    <w:link w:val="ParagraphChar2"/>
    <w:rsid w:val="00345A71"/>
    <w:pPr>
      <w:spacing w:after="120" w:line="240" w:lineRule="auto"/>
    </w:pPr>
    <w:rPr>
      <w:rFonts w:ascii="Arial" w:eastAsia="Times New Roman" w:hAnsi="Arial" w:cs="Arial"/>
      <w:sz w:val="20"/>
      <w:szCs w:val="20"/>
      <w:lang w:val="en-US"/>
    </w:rPr>
  </w:style>
  <w:style w:type="character" w:customStyle="1" w:styleId="ParagraphChar2">
    <w:name w:val="Paragraph Char2"/>
    <w:basedOn w:val="DefaultParagraphFont"/>
    <w:link w:val="Paragraph"/>
    <w:rsid w:val="00345A71"/>
    <w:rPr>
      <w:rFonts w:ascii="Arial" w:eastAsia="Times New Roman" w:hAnsi="Arial" w:cs="Arial"/>
      <w:sz w:val="20"/>
      <w:szCs w:val="20"/>
      <w:lang w:val="en-US"/>
    </w:rPr>
  </w:style>
  <w:style w:type="character" w:customStyle="1" w:styleId="BodyChar">
    <w:name w:val="Body Char"/>
    <w:basedOn w:val="DefaultParagraphFont"/>
    <w:link w:val="Body"/>
    <w:rsid w:val="00345A71"/>
    <w:rPr>
      <w:rFonts w:ascii="Arial" w:eastAsia="Times New Roman" w:hAnsi="Arial" w:cs="Times New Roman"/>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1223</Words>
  <Characters>6482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Sobi AB</Company>
  <LinksUpToDate>false</LinksUpToDate>
  <CharactersWithSpaces>7690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Öhman</dc:creator>
  <cp:keywords/>
  <dc:description/>
  <cp:lastModifiedBy>Maria Öhman</cp:lastModifiedBy>
  <cp:revision>3</cp:revision>
  <dcterms:created xsi:type="dcterms:W3CDTF">2016-04-20T14:16:00Z</dcterms:created>
  <dcterms:modified xsi:type="dcterms:W3CDTF">2016-04-20T14:28:00Z</dcterms:modified>
</cp:coreProperties>
</file>