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4374" w:rsidRPr="00D6364F" w:rsidRDefault="00A64374" w:rsidP="00A10C73">
      <w:pPr>
        <w:pStyle w:val="Heading1"/>
        <w:rPr>
          <w:rFonts w:cs="Times New Roman"/>
          <w:sz w:val="24"/>
          <w:szCs w:val="24"/>
        </w:rPr>
      </w:pPr>
      <w:bookmarkStart w:id="0" w:name="_Toc109642676"/>
      <w:bookmarkStart w:id="1" w:name="_Toc109643155"/>
      <w:bookmarkStart w:id="2" w:name="_Toc109706559"/>
      <w:bookmarkStart w:id="3" w:name="_Toc198700923"/>
      <w:bookmarkStart w:id="4" w:name="_Toc199754756"/>
      <w:bookmarkStart w:id="5" w:name="_GoBack"/>
      <w:bookmarkEnd w:id="5"/>
      <w:r w:rsidRPr="00D6364F">
        <w:rPr>
          <w:rFonts w:cs="Times New Roman"/>
          <w:sz w:val="24"/>
          <w:szCs w:val="24"/>
        </w:rPr>
        <w:t>SYNOPSIS</w:t>
      </w:r>
      <w:bookmarkEnd w:id="0"/>
      <w:bookmarkEnd w:id="1"/>
      <w:bookmarkEnd w:id="2"/>
      <w:bookmarkEnd w:id="3"/>
      <w:bookmarkEnd w:id="4"/>
    </w:p>
    <w:tbl>
      <w:tblPr>
        <w:tblW w:w="88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9" w:type="dxa"/>
          <w:right w:w="29" w:type="dxa"/>
        </w:tblCellMar>
        <w:tblLook w:val="0000" w:firstRow="0" w:lastRow="0" w:firstColumn="0" w:lastColumn="0" w:noHBand="0" w:noVBand="0"/>
      </w:tblPr>
      <w:tblGrid>
        <w:gridCol w:w="5069"/>
        <w:gridCol w:w="3749"/>
      </w:tblGrid>
      <w:tr w:rsidR="00A64374" w:rsidRPr="00D6364F" w:rsidTr="00B414CC">
        <w:trPr>
          <w:trHeight w:val="20"/>
        </w:trPr>
        <w:tc>
          <w:tcPr>
            <w:tcW w:w="8818" w:type="dxa"/>
            <w:gridSpan w:val="2"/>
          </w:tcPr>
          <w:p w:rsidR="00A64374" w:rsidRPr="00D6364F" w:rsidRDefault="00A64374" w:rsidP="008C633C">
            <w:pPr>
              <w:pStyle w:val="Body-synopsis"/>
              <w:jc w:val="left"/>
              <w:rPr>
                <w:b/>
                <w:i/>
              </w:rPr>
            </w:pPr>
            <w:r w:rsidRPr="00D6364F">
              <w:rPr>
                <w:b/>
              </w:rPr>
              <w:t xml:space="preserve">Title of Trial: </w:t>
            </w:r>
            <w:r w:rsidR="00FF29FB" w:rsidRPr="00D6364F">
              <w:rPr>
                <w:bCs/>
                <w:i/>
              </w:rPr>
              <w:t>Pilot study of the significance of PTEN expression in patients with hormone refractory prostate cancer (HRPC) treated with Cetuximab as monotherapy for 8 weeks, followed by  Docetaxel plus Cetuximab</w:t>
            </w:r>
          </w:p>
          <w:p w:rsidR="00A64374" w:rsidRPr="00D6364F" w:rsidRDefault="00A64374" w:rsidP="008C633C">
            <w:pPr>
              <w:pStyle w:val="Body-synopsis"/>
              <w:jc w:val="center"/>
            </w:pPr>
          </w:p>
        </w:tc>
      </w:tr>
      <w:tr w:rsidR="00A64374" w:rsidRPr="00D6364F" w:rsidTr="00B414CC">
        <w:trPr>
          <w:trHeight w:val="20"/>
        </w:trPr>
        <w:tc>
          <w:tcPr>
            <w:tcW w:w="8818" w:type="dxa"/>
            <w:gridSpan w:val="2"/>
          </w:tcPr>
          <w:p w:rsidR="00FF29FB" w:rsidRPr="00D6364F" w:rsidRDefault="00A64374" w:rsidP="008C633C">
            <w:pPr>
              <w:pStyle w:val="BodyText"/>
              <w:jc w:val="center"/>
              <w:rPr>
                <w:rFonts w:ascii="Times New Roman" w:hAnsi="Times New Roman" w:cs="Times New Roman"/>
                <w:bCs/>
              </w:rPr>
            </w:pPr>
            <w:r w:rsidRPr="00D6364F">
              <w:rPr>
                <w:rFonts w:ascii="Times New Roman" w:hAnsi="Times New Roman" w:cs="Times New Roman"/>
                <w:b/>
              </w:rPr>
              <w:t xml:space="preserve">Investigator(s): </w:t>
            </w:r>
            <w:r w:rsidR="00FF29FB" w:rsidRPr="00D6364F">
              <w:rPr>
                <w:rFonts w:ascii="Times New Roman" w:hAnsi="Times New Roman" w:cs="Times New Roman"/>
                <w:bCs/>
              </w:rPr>
              <w:t>Aristotelis Bamias</w:t>
            </w:r>
          </w:p>
          <w:p w:rsidR="00FF29FB" w:rsidRPr="00D6364F" w:rsidRDefault="00FF29FB" w:rsidP="008C633C">
            <w:pPr>
              <w:pStyle w:val="BodyText"/>
              <w:jc w:val="center"/>
              <w:rPr>
                <w:rFonts w:ascii="Times New Roman" w:hAnsi="Times New Roman" w:cs="Times New Roman"/>
                <w:bCs/>
              </w:rPr>
            </w:pPr>
            <w:r w:rsidRPr="00D6364F">
              <w:rPr>
                <w:rFonts w:ascii="Times New Roman" w:hAnsi="Times New Roman" w:cs="Times New Roman"/>
                <w:bCs/>
              </w:rPr>
              <w:t>Assistant Professor in Clinical Therapeutics</w:t>
            </w:r>
          </w:p>
          <w:p w:rsidR="00A64374" w:rsidRPr="00D6364F" w:rsidRDefault="00FF29FB" w:rsidP="008C633C">
            <w:pPr>
              <w:pStyle w:val="Body-synopsis"/>
              <w:jc w:val="center"/>
              <w:rPr>
                <w:b/>
              </w:rPr>
            </w:pPr>
            <w:smartTag w:uri="urn:schemas-microsoft-com:office:smarttags" w:element="place">
              <w:smartTag w:uri="urn:schemas-microsoft-com:office:smarttags" w:element="PlaceType">
                <w:r w:rsidRPr="00D6364F">
                  <w:rPr>
                    <w:bCs/>
                  </w:rPr>
                  <w:t>University</w:t>
                </w:r>
              </w:smartTag>
              <w:r w:rsidRPr="00D6364F">
                <w:rPr>
                  <w:bCs/>
                </w:rPr>
                <w:t xml:space="preserve"> of </w:t>
              </w:r>
              <w:smartTag w:uri="urn:schemas-microsoft-com:office:smarttags" w:element="PlaceName">
                <w:r w:rsidRPr="00D6364F">
                  <w:rPr>
                    <w:bCs/>
                  </w:rPr>
                  <w:t>Athens</w:t>
                </w:r>
              </w:smartTag>
            </w:smartTag>
          </w:p>
          <w:p w:rsidR="00A64374" w:rsidRPr="00D6364F" w:rsidRDefault="00A64374" w:rsidP="008C633C">
            <w:pPr>
              <w:pStyle w:val="Body-synopsis"/>
              <w:jc w:val="center"/>
            </w:pPr>
          </w:p>
        </w:tc>
      </w:tr>
      <w:tr w:rsidR="00A64374" w:rsidRPr="00D6364F" w:rsidTr="00B414CC">
        <w:trPr>
          <w:cantSplit/>
          <w:trHeight w:val="20"/>
        </w:trPr>
        <w:tc>
          <w:tcPr>
            <w:tcW w:w="8818" w:type="dxa"/>
            <w:gridSpan w:val="2"/>
          </w:tcPr>
          <w:p w:rsidR="00FF29FB" w:rsidRPr="00D6364F" w:rsidRDefault="00A64374" w:rsidP="008C633C">
            <w:pPr>
              <w:pStyle w:val="BodyText"/>
              <w:jc w:val="center"/>
              <w:rPr>
                <w:rFonts w:ascii="Times New Roman" w:hAnsi="Times New Roman" w:cs="Times New Roman"/>
                <w:bCs/>
              </w:rPr>
            </w:pPr>
            <w:r w:rsidRPr="00D6364F">
              <w:rPr>
                <w:rFonts w:ascii="Times New Roman" w:hAnsi="Times New Roman" w:cs="Times New Roman"/>
                <w:b/>
              </w:rPr>
              <w:t xml:space="preserve">Trial Center(s): </w:t>
            </w:r>
            <w:r w:rsidR="00FF29FB" w:rsidRPr="00D6364F">
              <w:rPr>
                <w:rFonts w:ascii="Times New Roman" w:hAnsi="Times New Roman" w:cs="Times New Roman"/>
                <w:bCs/>
              </w:rPr>
              <w:t>Oncology-Haematology Unit</w:t>
            </w:r>
          </w:p>
          <w:p w:rsidR="00FF29FB" w:rsidRPr="00D6364F" w:rsidRDefault="00FF29FB" w:rsidP="008C633C">
            <w:pPr>
              <w:pStyle w:val="BodyText"/>
              <w:jc w:val="center"/>
              <w:rPr>
                <w:rFonts w:ascii="Times New Roman" w:hAnsi="Times New Roman" w:cs="Times New Roman"/>
                <w:bCs/>
              </w:rPr>
            </w:pPr>
            <w:smartTag w:uri="urn:schemas-microsoft-com:office:smarttags" w:element="place">
              <w:smartTag w:uri="urn:schemas-microsoft-com:office:smarttags" w:element="PlaceName">
                <w:r w:rsidRPr="00D6364F">
                  <w:rPr>
                    <w:rFonts w:ascii="Times New Roman" w:hAnsi="Times New Roman" w:cs="Times New Roman"/>
                    <w:bCs/>
                  </w:rPr>
                  <w:t>ALEXANDRA</w:t>
                </w:r>
              </w:smartTag>
              <w:r w:rsidRPr="00D6364F">
                <w:rPr>
                  <w:rFonts w:ascii="Times New Roman" w:hAnsi="Times New Roman" w:cs="Times New Roman"/>
                  <w:bCs/>
                </w:rPr>
                <w:t xml:space="preserve"> </w:t>
              </w:r>
              <w:smartTag w:uri="urn:schemas-microsoft-com:office:smarttags" w:element="PlaceName">
                <w:r w:rsidRPr="00D6364F">
                  <w:rPr>
                    <w:rFonts w:ascii="Times New Roman" w:hAnsi="Times New Roman" w:cs="Times New Roman"/>
                    <w:bCs/>
                  </w:rPr>
                  <w:t>Hospital</w:t>
                </w:r>
              </w:smartTag>
            </w:smartTag>
          </w:p>
          <w:p w:rsidR="00FF29FB" w:rsidRPr="00D6364F" w:rsidRDefault="00FF29FB" w:rsidP="008C633C">
            <w:pPr>
              <w:pStyle w:val="BodyText"/>
              <w:jc w:val="center"/>
              <w:rPr>
                <w:rFonts w:ascii="Times New Roman" w:hAnsi="Times New Roman" w:cs="Times New Roman"/>
                <w:bCs/>
              </w:rPr>
            </w:pPr>
            <w:smartTag w:uri="urn:schemas-microsoft-com:office:smarttags" w:element="Street">
              <w:smartTag w:uri="urn:schemas-microsoft-com:office:smarttags" w:element="address">
                <w:r w:rsidRPr="00D6364F">
                  <w:rPr>
                    <w:rFonts w:ascii="Times New Roman" w:hAnsi="Times New Roman" w:cs="Times New Roman"/>
                    <w:bCs/>
                  </w:rPr>
                  <w:t>80 Vasilissis Sofias Ave</w:t>
                </w:r>
              </w:smartTag>
            </w:smartTag>
          </w:p>
          <w:p w:rsidR="00FF29FB" w:rsidRPr="00D6364F" w:rsidRDefault="00FF29FB" w:rsidP="008C633C">
            <w:pPr>
              <w:pStyle w:val="BodyText"/>
              <w:jc w:val="center"/>
              <w:rPr>
                <w:rFonts w:ascii="Times New Roman" w:hAnsi="Times New Roman" w:cs="Times New Roman"/>
                <w:bCs/>
              </w:rPr>
            </w:pPr>
            <w:r w:rsidRPr="00D6364F">
              <w:rPr>
                <w:rFonts w:ascii="Times New Roman" w:hAnsi="Times New Roman" w:cs="Times New Roman"/>
                <w:bCs/>
              </w:rPr>
              <w:t xml:space="preserve">115 28 </w:t>
            </w:r>
            <w:smartTag w:uri="urn:schemas-microsoft-com:office:smarttags" w:element="place">
              <w:smartTag w:uri="urn:schemas-microsoft-com:office:smarttags" w:element="City">
                <w:r w:rsidRPr="00D6364F">
                  <w:rPr>
                    <w:rFonts w:ascii="Times New Roman" w:hAnsi="Times New Roman" w:cs="Times New Roman"/>
                    <w:bCs/>
                  </w:rPr>
                  <w:t>Athens</w:t>
                </w:r>
              </w:smartTag>
            </w:smartTag>
          </w:p>
          <w:p w:rsidR="00A64374" w:rsidRPr="00D6364F" w:rsidRDefault="00FF29FB" w:rsidP="008C633C">
            <w:pPr>
              <w:pStyle w:val="Body-synopsis"/>
              <w:jc w:val="center"/>
              <w:rPr>
                <w:b/>
              </w:rPr>
            </w:pPr>
            <w:smartTag w:uri="urn:schemas-microsoft-com:office:smarttags" w:element="place">
              <w:smartTag w:uri="urn:schemas-microsoft-com:office:smarttags" w:element="country-region">
                <w:r w:rsidRPr="00D6364F">
                  <w:rPr>
                    <w:bCs/>
                  </w:rPr>
                  <w:t>GREECE</w:t>
                </w:r>
              </w:smartTag>
            </w:smartTag>
          </w:p>
          <w:p w:rsidR="00A64374" w:rsidRPr="00D6364F" w:rsidRDefault="00A64374" w:rsidP="008C633C">
            <w:pPr>
              <w:pStyle w:val="Body-synopsis"/>
              <w:jc w:val="center"/>
            </w:pPr>
          </w:p>
        </w:tc>
      </w:tr>
      <w:tr w:rsidR="00A64374" w:rsidRPr="00D6364F" w:rsidTr="00B414CC">
        <w:trPr>
          <w:cantSplit/>
          <w:trHeight w:val="20"/>
        </w:trPr>
        <w:tc>
          <w:tcPr>
            <w:tcW w:w="8818" w:type="dxa"/>
            <w:gridSpan w:val="2"/>
          </w:tcPr>
          <w:p w:rsidR="00A64374" w:rsidRPr="00D6364F" w:rsidRDefault="00A64374" w:rsidP="008C633C">
            <w:pPr>
              <w:pStyle w:val="Body-synopsis"/>
              <w:jc w:val="left"/>
              <w:rPr>
                <w:b/>
              </w:rPr>
            </w:pPr>
            <w:r w:rsidRPr="00D6364F">
              <w:rPr>
                <w:b/>
              </w:rPr>
              <w:t>Publication (reference):</w:t>
            </w:r>
          </w:p>
          <w:p w:rsidR="00A64374" w:rsidRPr="00D6364F" w:rsidRDefault="00A64374" w:rsidP="008C633C">
            <w:pPr>
              <w:pStyle w:val="Body-synopsis"/>
              <w:jc w:val="center"/>
            </w:pPr>
          </w:p>
        </w:tc>
      </w:tr>
      <w:tr w:rsidR="00A64374" w:rsidRPr="00D6364F" w:rsidTr="00B414CC">
        <w:trPr>
          <w:trHeight w:val="20"/>
        </w:trPr>
        <w:tc>
          <w:tcPr>
            <w:tcW w:w="5069" w:type="dxa"/>
          </w:tcPr>
          <w:p w:rsidR="00A64374" w:rsidRPr="00D6364F" w:rsidRDefault="00A64374" w:rsidP="008C633C">
            <w:pPr>
              <w:pStyle w:val="Body-synopsis"/>
              <w:jc w:val="left"/>
              <w:rPr>
                <w:b/>
              </w:rPr>
            </w:pPr>
            <w:r w:rsidRPr="00D6364F">
              <w:rPr>
                <w:b/>
              </w:rPr>
              <w:t xml:space="preserve">Trial Period (years): </w:t>
            </w:r>
            <w:r w:rsidR="00FF29FB" w:rsidRPr="00D6364F">
              <w:rPr>
                <w:b/>
              </w:rPr>
              <w:t>2</w:t>
            </w:r>
          </w:p>
          <w:p w:rsidR="00A64374" w:rsidRPr="00D6364F" w:rsidRDefault="00A64374" w:rsidP="008C633C">
            <w:pPr>
              <w:pStyle w:val="Body-synopsis"/>
              <w:jc w:val="left"/>
            </w:pPr>
          </w:p>
        </w:tc>
        <w:tc>
          <w:tcPr>
            <w:tcW w:w="3749" w:type="dxa"/>
          </w:tcPr>
          <w:p w:rsidR="00A64374" w:rsidRPr="00D6364F" w:rsidRDefault="00A64374" w:rsidP="008C633C">
            <w:pPr>
              <w:pStyle w:val="Body-synopsis"/>
              <w:jc w:val="left"/>
              <w:rPr>
                <w:b/>
              </w:rPr>
            </w:pPr>
            <w:r w:rsidRPr="00D6364F">
              <w:rPr>
                <w:b/>
              </w:rPr>
              <w:t xml:space="preserve">Phase of Development: </w:t>
            </w:r>
            <w:r w:rsidR="00B049EE">
              <w:rPr>
                <w:b/>
              </w:rPr>
              <w:t>Premature t</w:t>
            </w:r>
            <w:r w:rsidR="000A7E62" w:rsidRPr="00D6364F">
              <w:rPr>
                <w:b/>
              </w:rPr>
              <w:t>erminated</w:t>
            </w:r>
          </w:p>
          <w:p w:rsidR="00A64374" w:rsidRPr="00D6364F" w:rsidRDefault="00A64374" w:rsidP="008C633C">
            <w:pPr>
              <w:pStyle w:val="Body-synopsis"/>
              <w:jc w:val="left"/>
            </w:pPr>
          </w:p>
        </w:tc>
      </w:tr>
      <w:tr w:rsidR="00A64374" w:rsidRPr="00D6364F" w:rsidTr="00B414CC">
        <w:trPr>
          <w:trHeight w:val="20"/>
        </w:trPr>
        <w:tc>
          <w:tcPr>
            <w:tcW w:w="8818" w:type="dxa"/>
            <w:gridSpan w:val="2"/>
          </w:tcPr>
          <w:p w:rsidR="00A64374" w:rsidRPr="00D6364F" w:rsidRDefault="00A64374" w:rsidP="00A64374">
            <w:pPr>
              <w:pStyle w:val="Body-synopsis"/>
              <w:rPr>
                <w:bCs/>
              </w:rPr>
            </w:pPr>
            <w:r w:rsidRPr="00D6364F">
              <w:rPr>
                <w:b/>
              </w:rPr>
              <w:t xml:space="preserve">Objectives: </w:t>
            </w:r>
            <w:r w:rsidR="0000369E" w:rsidRPr="00D6364F">
              <w:rPr>
                <w:b/>
              </w:rPr>
              <w:t xml:space="preserve">A. </w:t>
            </w:r>
            <w:r w:rsidR="0000369E" w:rsidRPr="00D6364F">
              <w:rPr>
                <w:b/>
                <w:bCs/>
                <w:i/>
              </w:rPr>
              <w:t>Primary objective</w:t>
            </w:r>
            <w:r w:rsidR="0000369E" w:rsidRPr="00D6364F">
              <w:rPr>
                <w:bCs/>
              </w:rPr>
              <w:t>: Correlation of PTEN expression in biopsies from primary tumor and metastases with PSA response</w:t>
            </w:r>
          </w:p>
          <w:p w:rsidR="0000369E" w:rsidRPr="00D6364F" w:rsidRDefault="00D6364F" w:rsidP="0000369E">
            <w:pPr>
              <w:pStyle w:val="BodyText"/>
              <w:rPr>
                <w:rFonts w:ascii="Times New Roman" w:hAnsi="Times New Roman" w:cs="Times New Roman"/>
                <w:b/>
                <w:bCs/>
              </w:rPr>
            </w:pPr>
            <w:r w:rsidRPr="00D6364F">
              <w:rPr>
                <w:rFonts w:ascii="Times New Roman" w:hAnsi="Times New Roman" w:cs="Times New Roman"/>
                <w:b/>
              </w:rPr>
              <w:t xml:space="preserve">                   </w:t>
            </w:r>
            <w:r w:rsidR="0000369E" w:rsidRPr="00D6364F">
              <w:rPr>
                <w:rFonts w:ascii="Times New Roman" w:hAnsi="Times New Roman" w:cs="Times New Roman"/>
                <w:b/>
              </w:rPr>
              <w:t xml:space="preserve">B. </w:t>
            </w:r>
            <w:r w:rsidR="0000369E" w:rsidRPr="00D6364F">
              <w:rPr>
                <w:rFonts w:ascii="Times New Roman" w:hAnsi="Times New Roman" w:cs="Times New Roman"/>
                <w:b/>
                <w:bCs/>
                <w:i/>
              </w:rPr>
              <w:t>Secondary objectives:</w:t>
            </w:r>
            <w:r w:rsidR="0000369E" w:rsidRPr="00D6364F">
              <w:rPr>
                <w:rFonts w:ascii="Times New Roman" w:hAnsi="Times New Roman" w:cs="Times New Roman"/>
                <w:b/>
                <w:bCs/>
              </w:rPr>
              <w:t xml:space="preserve"> </w:t>
            </w:r>
          </w:p>
          <w:p w:rsidR="0000369E" w:rsidRPr="00D6364F" w:rsidRDefault="0000369E" w:rsidP="0000369E">
            <w:pPr>
              <w:pStyle w:val="BodyText"/>
              <w:rPr>
                <w:rFonts w:ascii="Times New Roman" w:hAnsi="Times New Roman" w:cs="Times New Roman"/>
                <w:bCs/>
              </w:rPr>
            </w:pPr>
            <w:r w:rsidRPr="00D6364F">
              <w:rPr>
                <w:rFonts w:ascii="Times New Roman" w:hAnsi="Times New Roman" w:cs="Times New Roman"/>
                <w:bCs/>
              </w:rPr>
              <w:t>1. Overall survival (OS)</w:t>
            </w:r>
          </w:p>
          <w:p w:rsidR="0000369E" w:rsidRPr="00D6364F" w:rsidRDefault="0000369E" w:rsidP="0000369E">
            <w:pPr>
              <w:pStyle w:val="BodyText"/>
              <w:rPr>
                <w:rFonts w:ascii="Times New Roman" w:hAnsi="Times New Roman" w:cs="Times New Roman"/>
                <w:bCs/>
              </w:rPr>
            </w:pPr>
            <w:r w:rsidRPr="00D6364F">
              <w:rPr>
                <w:rFonts w:ascii="Times New Roman" w:hAnsi="Times New Roman" w:cs="Times New Roman"/>
                <w:bCs/>
              </w:rPr>
              <w:t>2.</w:t>
            </w:r>
            <w:r w:rsidR="0019272A">
              <w:rPr>
                <w:rFonts w:ascii="Times New Roman" w:hAnsi="Times New Roman" w:cs="Times New Roman"/>
                <w:bCs/>
              </w:rPr>
              <w:t xml:space="preserve"> </w:t>
            </w:r>
            <w:r w:rsidRPr="00D6364F">
              <w:rPr>
                <w:rFonts w:ascii="Times New Roman" w:hAnsi="Times New Roman" w:cs="Times New Roman"/>
                <w:bCs/>
              </w:rPr>
              <w:t>Time to progression (TTP)</w:t>
            </w:r>
          </w:p>
          <w:p w:rsidR="0000369E" w:rsidRPr="00D6364F" w:rsidRDefault="0000369E" w:rsidP="0000369E">
            <w:pPr>
              <w:pStyle w:val="BodyText"/>
              <w:rPr>
                <w:rFonts w:ascii="Times New Roman" w:hAnsi="Times New Roman" w:cs="Times New Roman"/>
                <w:bCs/>
              </w:rPr>
            </w:pPr>
            <w:r w:rsidRPr="00D6364F">
              <w:rPr>
                <w:rFonts w:ascii="Times New Roman" w:hAnsi="Times New Roman" w:cs="Times New Roman"/>
                <w:bCs/>
              </w:rPr>
              <w:t>3. Objective response rate (RR) (RECIST)</w:t>
            </w:r>
          </w:p>
          <w:p w:rsidR="0000369E" w:rsidRPr="00D6364F" w:rsidRDefault="0000369E" w:rsidP="0000369E">
            <w:pPr>
              <w:pStyle w:val="BodyText"/>
              <w:rPr>
                <w:rFonts w:ascii="Times New Roman" w:hAnsi="Times New Roman" w:cs="Times New Roman"/>
                <w:bCs/>
              </w:rPr>
            </w:pPr>
            <w:r w:rsidRPr="00D6364F">
              <w:rPr>
                <w:rFonts w:ascii="Times New Roman" w:hAnsi="Times New Roman" w:cs="Times New Roman"/>
                <w:bCs/>
              </w:rPr>
              <w:t>4. Quality of life</w:t>
            </w:r>
          </w:p>
          <w:p w:rsidR="0000369E" w:rsidRPr="00D6364F" w:rsidRDefault="0000369E" w:rsidP="0000369E">
            <w:pPr>
              <w:pStyle w:val="BodyText"/>
              <w:rPr>
                <w:rFonts w:ascii="Times New Roman" w:hAnsi="Times New Roman" w:cs="Times New Roman"/>
                <w:bCs/>
              </w:rPr>
            </w:pPr>
            <w:r w:rsidRPr="00D6364F">
              <w:rPr>
                <w:rFonts w:ascii="Times New Roman" w:hAnsi="Times New Roman" w:cs="Times New Roman"/>
                <w:bCs/>
              </w:rPr>
              <w:t xml:space="preserve">5. Correlation of response with EGFR and pAkt expression </w:t>
            </w:r>
          </w:p>
          <w:p w:rsidR="0000369E" w:rsidRPr="00D6364F" w:rsidRDefault="0000369E" w:rsidP="0000369E">
            <w:pPr>
              <w:pStyle w:val="BodyText"/>
              <w:rPr>
                <w:rFonts w:ascii="Times New Roman" w:hAnsi="Times New Roman" w:cs="Times New Roman"/>
                <w:bCs/>
              </w:rPr>
            </w:pPr>
            <w:r w:rsidRPr="00D6364F">
              <w:rPr>
                <w:rFonts w:ascii="Times New Roman" w:hAnsi="Times New Roman" w:cs="Times New Roman"/>
                <w:bCs/>
              </w:rPr>
              <w:t>6. Toxicity</w:t>
            </w:r>
          </w:p>
          <w:p w:rsidR="0000369E" w:rsidRPr="00D6364F" w:rsidRDefault="0000369E" w:rsidP="0000369E">
            <w:pPr>
              <w:pStyle w:val="BodyText"/>
              <w:rPr>
                <w:rFonts w:ascii="Times New Roman" w:hAnsi="Times New Roman" w:cs="Times New Roman"/>
                <w:bCs/>
              </w:rPr>
            </w:pPr>
            <w:r w:rsidRPr="00D6364F">
              <w:rPr>
                <w:rFonts w:ascii="Times New Roman" w:hAnsi="Times New Roman" w:cs="Times New Roman"/>
                <w:bCs/>
              </w:rPr>
              <w:t>7. Correlation of PSA decline of at least 30% with PTEN loss</w:t>
            </w:r>
          </w:p>
          <w:p w:rsidR="0000369E" w:rsidRPr="00D6364F" w:rsidRDefault="0000369E" w:rsidP="0000369E">
            <w:pPr>
              <w:pStyle w:val="Body-synopsis"/>
              <w:rPr>
                <w:b/>
              </w:rPr>
            </w:pPr>
            <w:r w:rsidRPr="00D6364F">
              <w:rPr>
                <w:bCs/>
              </w:rPr>
              <w:lastRenderedPageBreak/>
              <w:t>8. Correlation of clinical responses not qualifying for PR with PTEN loss</w:t>
            </w:r>
          </w:p>
          <w:p w:rsidR="00A64374" w:rsidRPr="00D6364F" w:rsidRDefault="00A64374" w:rsidP="00A64374">
            <w:pPr>
              <w:pStyle w:val="Body-synopsis"/>
            </w:pPr>
          </w:p>
        </w:tc>
      </w:tr>
      <w:tr w:rsidR="00A64374" w:rsidRPr="00D6364F" w:rsidTr="00B414CC">
        <w:trPr>
          <w:trHeight w:val="20"/>
        </w:trPr>
        <w:tc>
          <w:tcPr>
            <w:tcW w:w="8818" w:type="dxa"/>
            <w:gridSpan w:val="2"/>
          </w:tcPr>
          <w:p w:rsidR="006E6111" w:rsidRPr="00D6364F" w:rsidRDefault="00A64374" w:rsidP="006E6111">
            <w:pPr>
              <w:pStyle w:val="Body"/>
              <w:spacing w:before="240"/>
              <w:rPr>
                <w:b/>
              </w:rPr>
            </w:pPr>
            <w:r w:rsidRPr="00D6364F">
              <w:rPr>
                <w:b/>
              </w:rPr>
              <w:lastRenderedPageBreak/>
              <w:t xml:space="preserve">Methodology: </w:t>
            </w:r>
            <w:r w:rsidR="006E6111" w:rsidRPr="00D6364F">
              <w:rPr>
                <w:bCs/>
              </w:rPr>
              <w:t>Patients with HRPC were screened, after signing informed consent, for PTEN loss in archive material from prostate biopsy. If no loss is found, the patient will undergo biopsy of a metastatic site or prostate. All patients were treated with weekly Erbitux for 8 weeks and subsequently were treated with 6 cycles of 3-weekly Docetaxel + weekly Erbitux. The total duration of treatment was 26 weeks and the duration of the study for each patient 29 weeks. The major objective was the PSA response and its correlation with PTEN expression. Other objectives were objective response rate, EGFR expression, TTP, OS, toxicity and quality of life</w:t>
            </w:r>
          </w:p>
          <w:p w:rsidR="00A64374" w:rsidRPr="00D6364F" w:rsidRDefault="00A64374" w:rsidP="00A64374">
            <w:pPr>
              <w:pStyle w:val="Body-synopsis"/>
            </w:pPr>
          </w:p>
        </w:tc>
      </w:tr>
      <w:tr w:rsidR="00A64374" w:rsidRPr="00D6364F" w:rsidTr="00B414CC">
        <w:trPr>
          <w:trHeight w:val="20"/>
        </w:trPr>
        <w:tc>
          <w:tcPr>
            <w:tcW w:w="8818" w:type="dxa"/>
            <w:gridSpan w:val="2"/>
          </w:tcPr>
          <w:p w:rsidR="00A64374" w:rsidRPr="00D6364F" w:rsidRDefault="00A64374" w:rsidP="00A64374">
            <w:pPr>
              <w:pStyle w:val="Body-synopsis"/>
            </w:pPr>
            <w:r w:rsidRPr="00D6364F">
              <w:rPr>
                <w:b/>
              </w:rPr>
              <w:t xml:space="preserve">Number of Subjects: </w:t>
            </w:r>
            <w:r w:rsidR="0000369E" w:rsidRPr="00D6364F">
              <w:t xml:space="preserve">16 patients with </w:t>
            </w:r>
            <w:r w:rsidR="00D6364F">
              <w:t xml:space="preserve">hormone refractory </w:t>
            </w:r>
            <w:r w:rsidR="0000369E" w:rsidRPr="00D6364F">
              <w:t>prostate cancer</w:t>
            </w:r>
          </w:p>
          <w:p w:rsidR="00A64374" w:rsidRPr="00D6364F" w:rsidRDefault="00A64374" w:rsidP="00A64374">
            <w:pPr>
              <w:pStyle w:val="Body-synopsis"/>
            </w:pPr>
          </w:p>
        </w:tc>
      </w:tr>
      <w:tr w:rsidR="00A64374" w:rsidRPr="00D6364F" w:rsidTr="00B414CC">
        <w:trPr>
          <w:trHeight w:val="20"/>
        </w:trPr>
        <w:tc>
          <w:tcPr>
            <w:tcW w:w="8818" w:type="dxa"/>
            <w:gridSpan w:val="2"/>
          </w:tcPr>
          <w:p w:rsidR="00A64374" w:rsidRPr="00D6364F" w:rsidRDefault="00A64374" w:rsidP="00A64374">
            <w:pPr>
              <w:pStyle w:val="Body-synopsis"/>
              <w:rPr>
                <w:b/>
              </w:rPr>
            </w:pPr>
            <w:r w:rsidRPr="00D6364F">
              <w:rPr>
                <w:b/>
              </w:rPr>
              <w:t xml:space="preserve">Diagnosis and Main Criteria for Inclusion: </w:t>
            </w:r>
          </w:p>
          <w:p w:rsidR="00A64374" w:rsidRPr="00D6364F" w:rsidRDefault="00144CEE" w:rsidP="00A64374">
            <w:pPr>
              <w:pStyle w:val="Body-synopsis"/>
              <w:rPr>
                <w:bCs/>
              </w:rPr>
            </w:pPr>
            <w:r w:rsidRPr="00D6364F">
              <w:rPr>
                <w:bCs/>
              </w:rPr>
              <w:t>METASTATIC HORMONE REFRACTORY PROSTATE CANCER (HRPC)</w:t>
            </w:r>
          </w:p>
          <w:p w:rsidR="00144CEE" w:rsidRPr="00D6364F" w:rsidRDefault="00144CEE" w:rsidP="00144CEE">
            <w:pPr>
              <w:pStyle w:val="Body-synopsis"/>
            </w:pPr>
            <w:r w:rsidRPr="00D6364F">
              <w:t>1. Histologically proven prostate cancer</w:t>
            </w:r>
          </w:p>
          <w:p w:rsidR="00144CEE" w:rsidRPr="00D6364F" w:rsidRDefault="00144CEE" w:rsidP="00144CEE">
            <w:pPr>
              <w:pStyle w:val="Body-synopsis"/>
            </w:pPr>
            <w:r w:rsidRPr="00D6364F">
              <w:t>2. PSA and/or clinical (including radiological) progression despite androgen deprivation (castration testosterone levels) (PSA progression:&gt;=25% increase from baseline confirmed at least one week later)</w:t>
            </w:r>
          </w:p>
          <w:p w:rsidR="00144CEE" w:rsidRPr="00D6364F" w:rsidRDefault="00144CEE" w:rsidP="00144CEE">
            <w:pPr>
              <w:pStyle w:val="Body-synopsis"/>
            </w:pPr>
            <w:r w:rsidRPr="00D6364F">
              <w:t>3. Adequate antiadrogen withdrawal time (4 weeks for flutamide or nilutamide and 6 weeks for bicalutamide)</w:t>
            </w:r>
          </w:p>
          <w:p w:rsidR="00144CEE" w:rsidRPr="00D6364F" w:rsidRDefault="00144CEE" w:rsidP="00144CEE">
            <w:pPr>
              <w:pStyle w:val="Body-synopsis"/>
            </w:pPr>
            <w:r w:rsidRPr="00D6364F">
              <w:t>4. No prior chemotherapy</w:t>
            </w:r>
          </w:p>
          <w:p w:rsidR="00144CEE" w:rsidRPr="00D6364F" w:rsidRDefault="00144CEE" w:rsidP="00144CEE">
            <w:pPr>
              <w:pStyle w:val="Body-synopsis"/>
            </w:pPr>
            <w:r w:rsidRPr="00D6364F">
              <w:t>5. PSA at progression &gt;= 20 ng/ml</w:t>
            </w:r>
          </w:p>
          <w:p w:rsidR="00144CEE" w:rsidRPr="00D6364F" w:rsidRDefault="00144CEE" w:rsidP="00144CEE">
            <w:pPr>
              <w:pStyle w:val="Body-synopsis"/>
            </w:pPr>
            <w:r w:rsidRPr="00D6364F">
              <w:t xml:space="preserve">6. ECOG PS 0-2 </w:t>
            </w:r>
          </w:p>
          <w:p w:rsidR="00144CEE" w:rsidRPr="00D6364F" w:rsidRDefault="00144CEE" w:rsidP="00144CEE">
            <w:pPr>
              <w:pStyle w:val="Body-synopsis"/>
            </w:pPr>
            <w:r w:rsidRPr="00D6364F">
              <w:t>7. Adequate bone marrow, renal and liver function (platelets ≥ 100.000/ul, white blood cells ≥ 3.000/ul or neutrophil count ≥ 1.500/ul,, creatinine ≤ 1.5 mg/dl, hepatic transaminases ≤ 2.5 x ULN, serum total bilirubin ≤ 1.5 x ULN</w:t>
            </w:r>
          </w:p>
          <w:p w:rsidR="00144CEE" w:rsidRPr="00D6364F" w:rsidRDefault="00144CEE" w:rsidP="00144CEE">
            <w:pPr>
              <w:pStyle w:val="Body-synopsis"/>
            </w:pPr>
            <w:r w:rsidRPr="00D6364F">
              <w:t xml:space="preserve">8. Available archive material for PTEN screening or presence of lesions which could be biopsied (prostate, lymph nodes, liver, lung, soft tissue) </w:t>
            </w:r>
          </w:p>
          <w:p w:rsidR="00144CEE" w:rsidRPr="00D6364F" w:rsidRDefault="00144CEE" w:rsidP="00144CEE">
            <w:pPr>
              <w:pStyle w:val="Body-synopsis"/>
            </w:pPr>
            <w:r w:rsidRPr="00D6364F">
              <w:t>10. Signed written informed consent</w:t>
            </w:r>
          </w:p>
          <w:p w:rsidR="00144CEE" w:rsidRPr="00D6364F" w:rsidRDefault="00144CEE" w:rsidP="00144CEE">
            <w:pPr>
              <w:pStyle w:val="Body-synopsis"/>
            </w:pPr>
            <w:r w:rsidRPr="00D6364F">
              <w:t>11. Life expectancy &gt;=3months</w:t>
            </w:r>
          </w:p>
          <w:p w:rsidR="00144CEE" w:rsidRDefault="00144CEE" w:rsidP="00144CEE">
            <w:pPr>
              <w:pStyle w:val="Body-synopsis"/>
            </w:pPr>
            <w:r w:rsidRPr="00D6364F">
              <w:t>12. Age ≥ 18 years old</w:t>
            </w:r>
          </w:p>
          <w:p w:rsidR="008C633C" w:rsidRPr="00D6364F" w:rsidRDefault="008C633C" w:rsidP="00144CEE">
            <w:pPr>
              <w:pStyle w:val="Body-synopsis"/>
            </w:pPr>
          </w:p>
        </w:tc>
      </w:tr>
      <w:tr w:rsidR="00A64374" w:rsidRPr="00D6364F" w:rsidTr="00B414CC">
        <w:trPr>
          <w:trHeight w:val="20"/>
        </w:trPr>
        <w:tc>
          <w:tcPr>
            <w:tcW w:w="8818" w:type="dxa"/>
            <w:gridSpan w:val="2"/>
          </w:tcPr>
          <w:p w:rsidR="00144CEE" w:rsidRPr="00D6364F" w:rsidRDefault="00A64374" w:rsidP="00A64374">
            <w:pPr>
              <w:pStyle w:val="Body-synopsis"/>
              <w:rPr>
                <w:b/>
              </w:rPr>
            </w:pPr>
            <w:r w:rsidRPr="00D6364F">
              <w:rPr>
                <w:b/>
              </w:rPr>
              <w:lastRenderedPageBreak/>
              <w:t xml:space="preserve">Test Product(s): </w:t>
            </w:r>
            <w:r w:rsidR="00144CEE" w:rsidRPr="00D6364F">
              <w:rPr>
                <w:b/>
              </w:rPr>
              <w:t>ERBITUX</w:t>
            </w:r>
          </w:p>
          <w:p w:rsidR="00144CEE" w:rsidRPr="00D6364F" w:rsidRDefault="00A64374" w:rsidP="00144CEE">
            <w:pPr>
              <w:pStyle w:val="BodyText"/>
              <w:rPr>
                <w:rFonts w:ascii="Times New Roman" w:hAnsi="Times New Roman" w:cs="Times New Roman"/>
                <w:bCs/>
              </w:rPr>
            </w:pPr>
            <w:r w:rsidRPr="00D6364F">
              <w:rPr>
                <w:rFonts w:ascii="Times New Roman" w:hAnsi="Times New Roman" w:cs="Times New Roman"/>
                <w:b/>
              </w:rPr>
              <w:t xml:space="preserve">Dose and Mode of Administration, Batch Number(s): </w:t>
            </w:r>
            <w:r w:rsidR="00144CEE" w:rsidRPr="00D6364F">
              <w:rPr>
                <w:rFonts w:ascii="Times New Roman" w:hAnsi="Times New Roman" w:cs="Times New Roman"/>
                <w:bCs/>
              </w:rPr>
              <w:t xml:space="preserve">Weekly (initial dose 400mg/m2, subsequent doses 250mg/m2) Week 1-8 monotherapy, followed by combination with chemotherapy. </w:t>
            </w:r>
          </w:p>
          <w:p w:rsidR="00A64374" w:rsidRPr="00D6364F" w:rsidRDefault="00144CEE" w:rsidP="00144CEE">
            <w:pPr>
              <w:pStyle w:val="Body-synopsis"/>
              <w:rPr>
                <w:b/>
              </w:rPr>
            </w:pPr>
            <w:r w:rsidRPr="00D6364F">
              <w:rPr>
                <w:bCs/>
              </w:rPr>
              <w:t>Mode of administration: i.v. infusion</w:t>
            </w:r>
          </w:p>
          <w:p w:rsidR="00144CEE" w:rsidRPr="00D6364F" w:rsidRDefault="00144CEE" w:rsidP="00A64374">
            <w:pPr>
              <w:pStyle w:val="Body-synopsis"/>
              <w:rPr>
                <w:b/>
              </w:rPr>
            </w:pPr>
          </w:p>
          <w:p w:rsidR="00144CEE" w:rsidRPr="00D6364F" w:rsidRDefault="00144CEE" w:rsidP="00144CEE">
            <w:pPr>
              <w:pStyle w:val="BodyText"/>
              <w:spacing w:before="60"/>
              <w:rPr>
                <w:rFonts w:ascii="Times New Roman" w:hAnsi="Times New Roman" w:cs="Times New Roman"/>
                <w:bCs/>
              </w:rPr>
            </w:pPr>
          </w:p>
          <w:p w:rsidR="00A64374" w:rsidRPr="00D6364F" w:rsidRDefault="00A64374" w:rsidP="00A64374">
            <w:pPr>
              <w:pStyle w:val="Body-synopsis"/>
            </w:pPr>
          </w:p>
        </w:tc>
      </w:tr>
      <w:tr w:rsidR="00A64374" w:rsidRPr="00D6364F" w:rsidTr="00B414CC">
        <w:trPr>
          <w:trHeight w:val="20"/>
        </w:trPr>
        <w:tc>
          <w:tcPr>
            <w:tcW w:w="8818" w:type="dxa"/>
            <w:gridSpan w:val="2"/>
          </w:tcPr>
          <w:p w:rsidR="00A64374" w:rsidRPr="00D6364F" w:rsidRDefault="00A64374" w:rsidP="00A64374">
            <w:pPr>
              <w:pStyle w:val="Body-synopsis"/>
              <w:rPr>
                <w:b/>
              </w:rPr>
            </w:pPr>
            <w:r w:rsidRPr="00D6364F">
              <w:rPr>
                <w:b/>
              </w:rPr>
              <w:t xml:space="preserve">Duration of Treatment: </w:t>
            </w:r>
            <w:r w:rsidR="00144CEE" w:rsidRPr="00D6364F">
              <w:t>26 weeks</w:t>
            </w:r>
          </w:p>
          <w:p w:rsidR="00A64374" w:rsidRPr="00D6364F" w:rsidRDefault="00A64374" w:rsidP="00A64374">
            <w:pPr>
              <w:pStyle w:val="Body-synopsis"/>
            </w:pPr>
          </w:p>
        </w:tc>
      </w:tr>
      <w:tr w:rsidR="00A64374" w:rsidRPr="00D6364F" w:rsidTr="00B414CC">
        <w:trPr>
          <w:trHeight w:val="20"/>
        </w:trPr>
        <w:tc>
          <w:tcPr>
            <w:tcW w:w="8818" w:type="dxa"/>
            <w:gridSpan w:val="2"/>
          </w:tcPr>
          <w:p w:rsidR="00A64374" w:rsidRPr="00D6364F" w:rsidRDefault="00A64374" w:rsidP="00A64374">
            <w:pPr>
              <w:pStyle w:val="Body-synopsis"/>
              <w:rPr>
                <w:b/>
              </w:rPr>
            </w:pPr>
            <w:r w:rsidRPr="00D6364F">
              <w:rPr>
                <w:b/>
              </w:rPr>
              <w:t xml:space="preserve">Reference Therapy(ies), Dose and Mode of Administration, Batch Number(s): </w:t>
            </w:r>
          </w:p>
          <w:p w:rsidR="00144CEE" w:rsidRPr="00D6364F" w:rsidRDefault="00144CEE" w:rsidP="00144CEE">
            <w:pPr>
              <w:pStyle w:val="BodyText"/>
              <w:rPr>
                <w:rFonts w:ascii="Times New Roman" w:hAnsi="Times New Roman" w:cs="Times New Roman"/>
                <w:bCs/>
              </w:rPr>
            </w:pPr>
            <w:r w:rsidRPr="00D6364F">
              <w:rPr>
                <w:rFonts w:ascii="Times New Roman" w:hAnsi="Times New Roman" w:cs="Times New Roman"/>
                <w:bCs/>
              </w:rPr>
              <w:t>Product: Docetaxel</w:t>
            </w:r>
          </w:p>
          <w:p w:rsidR="00144CEE" w:rsidRPr="00D6364F" w:rsidRDefault="00144CEE" w:rsidP="00144CEE">
            <w:pPr>
              <w:pStyle w:val="BodyText"/>
              <w:rPr>
                <w:rFonts w:ascii="Times New Roman" w:hAnsi="Times New Roman" w:cs="Times New Roman"/>
                <w:bCs/>
              </w:rPr>
            </w:pPr>
            <w:r w:rsidRPr="00D6364F">
              <w:rPr>
                <w:rFonts w:ascii="Times New Roman" w:hAnsi="Times New Roman" w:cs="Times New Roman"/>
                <w:bCs/>
              </w:rPr>
              <w:t>Dosing schedule: 75 mg/m2 every 3 weeks</w:t>
            </w:r>
          </w:p>
          <w:p w:rsidR="00144CEE" w:rsidRPr="00D6364F" w:rsidRDefault="00144CEE" w:rsidP="00144CEE">
            <w:pPr>
              <w:pStyle w:val="BodyText"/>
              <w:rPr>
                <w:rFonts w:ascii="Times New Roman" w:hAnsi="Times New Roman" w:cs="Times New Roman"/>
                <w:bCs/>
              </w:rPr>
            </w:pPr>
            <w:r w:rsidRPr="00D6364F">
              <w:rPr>
                <w:rFonts w:ascii="Times New Roman" w:hAnsi="Times New Roman" w:cs="Times New Roman"/>
                <w:bCs/>
              </w:rPr>
              <w:t>Mode of administration: i.v. infusion</w:t>
            </w:r>
          </w:p>
          <w:p w:rsidR="00144CEE" w:rsidRPr="00D6364F" w:rsidRDefault="00144CEE" w:rsidP="00144CEE">
            <w:pPr>
              <w:pStyle w:val="BodyText"/>
              <w:rPr>
                <w:rFonts w:ascii="Times New Roman" w:hAnsi="Times New Roman" w:cs="Times New Roman"/>
                <w:bCs/>
              </w:rPr>
            </w:pPr>
            <w:r w:rsidRPr="00D6364F">
              <w:rPr>
                <w:rFonts w:ascii="Times New Roman" w:hAnsi="Times New Roman" w:cs="Times New Roman"/>
                <w:bCs/>
              </w:rPr>
              <w:t xml:space="preserve">Combination therapy starts on week 9. </w:t>
            </w:r>
          </w:p>
          <w:p w:rsidR="00144CEE" w:rsidRPr="00D6364F" w:rsidRDefault="00144CEE" w:rsidP="00144CEE">
            <w:pPr>
              <w:pStyle w:val="BodyText"/>
              <w:spacing w:before="60"/>
              <w:rPr>
                <w:rFonts w:ascii="Times New Roman" w:hAnsi="Times New Roman" w:cs="Times New Roman"/>
                <w:bCs/>
              </w:rPr>
            </w:pPr>
            <w:r w:rsidRPr="00D6364F">
              <w:rPr>
                <w:rFonts w:ascii="Times New Roman" w:hAnsi="Times New Roman" w:cs="Times New Roman"/>
                <w:bCs/>
              </w:rPr>
              <w:t>Product:  Prednisone</w:t>
            </w:r>
          </w:p>
          <w:p w:rsidR="00144CEE" w:rsidRPr="00D6364F" w:rsidRDefault="00144CEE" w:rsidP="00144CEE">
            <w:pPr>
              <w:pStyle w:val="BodyText"/>
              <w:rPr>
                <w:rFonts w:ascii="Times New Roman" w:hAnsi="Times New Roman" w:cs="Times New Roman"/>
                <w:bCs/>
              </w:rPr>
            </w:pPr>
            <w:r w:rsidRPr="00D6364F">
              <w:rPr>
                <w:rFonts w:ascii="Times New Roman" w:hAnsi="Times New Roman" w:cs="Times New Roman"/>
                <w:bCs/>
              </w:rPr>
              <w:t xml:space="preserve">Dosing schedule:  10mg/day Mode of administration:  </w:t>
            </w:r>
            <w:smartTag w:uri="urn:schemas-microsoft-com:office:smarttags" w:element="place">
              <w:r w:rsidRPr="00D6364F">
                <w:rPr>
                  <w:rFonts w:ascii="Times New Roman" w:hAnsi="Times New Roman" w:cs="Times New Roman"/>
                  <w:bCs/>
                </w:rPr>
                <w:t>PO</w:t>
              </w:r>
            </w:smartTag>
          </w:p>
          <w:p w:rsidR="00144CEE" w:rsidRPr="00D6364F" w:rsidRDefault="00144CEE" w:rsidP="00144CEE">
            <w:pPr>
              <w:pStyle w:val="BodyText"/>
              <w:spacing w:before="60"/>
              <w:rPr>
                <w:rFonts w:ascii="Times New Roman" w:hAnsi="Times New Roman" w:cs="Times New Roman"/>
                <w:bCs/>
              </w:rPr>
            </w:pPr>
            <w:r w:rsidRPr="00D6364F">
              <w:rPr>
                <w:rFonts w:ascii="Times New Roman" w:hAnsi="Times New Roman" w:cs="Times New Roman"/>
                <w:bCs/>
              </w:rPr>
              <w:t>Product:  GnRH-analogues should be continued as  administered</w:t>
            </w:r>
          </w:p>
          <w:p w:rsidR="00A64374" w:rsidRPr="00D6364F" w:rsidRDefault="00A64374" w:rsidP="00A64374">
            <w:pPr>
              <w:pStyle w:val="Body-synopsis"/>
            </w:pPr>
          </w:p>
        </w:tc>
      </w:tr>
      <w:tr w:rsidR="001B1469" w:rsidRPr="00D6364F" w:rsidTr="00B414CC">
        <w:trPr>
          <w:trHeight w:val="20"/>
        </w:trPr>
        <w:tc>
          <w:tcPr>
            <w:tcW w:w="8818" w:type="dxa"/>
            <w:gridSpan w:val="2"/>
          </w:tcPr>
          <w:p w:rsidR="001B1469" w:rsidRPr="00D6364F" w:rsidRDefault="001B1469" w:rsidP="001B1469">
            <w:pPr>
              <w:pStyle w:val="Body-synopsis"/>
              <w:rPr>
                <w:b/>
              </w:rPr>
            </w:pPr>
            <w:r w:rsidRPr="00D6364F">
              <w:rPr>
                <w:b/>
              </w:rPr>
              <w:t xml:space="preserve">Duration of Treatment: </w:t>
            </w:r>
            <w:r w:rsidR="00590D12" w:rsidRPr="00D6364F">
              <w:t>18 weeks</w:t>
            </w:r>
          </w:p>
          <w:p w:rsidR="001B1469" w:rsidRPr="00D6364F" w:rsidRDefault="001B1469" w:rsidP="001B1469">
            <w:pPr>
              <w:pStyle w:val="Body-synopsis"/>
            </w:pPr>
          </w:p>
        </w:tc>
      </w:tr>
      <w:tr w:rsidR="00A64374" w:rsidRPr="00D6364F" w:rsidTr="00B414CC">
        <w:trPr>
          <w:trHeight w:val="20"/>
        </w:trPr>
        <w:tc>
          <w:tcPr>
            <w:tcW w:w="8818" w:type="dxa"/>
            <w:gridSpan w:val="2"/>
          </w:tcPr>
          <w:p w:rsidR="00A64374" w:rsidRPr="00D6364F" w:rsidRDefault="00A64374" w:rsidP="00A64374">
            <w:pPr>
              <w:pStyle w:val="Body-synopsis"/>
              <w:rPr>
                <w:b/>
              </w:rPr>
            </w:pPr>
            <w:r w:rsidRPr="00D6364F">
              <w:rPr>
                <w:b/>
              </w:rPr>
              <w:t xml:space="preserve">Criteria for Evaluation: </w:t>
            </w:r>
          </w:p>
          <w:p w:rsidR="00590D12" w:rsidRPr="00D6364F" w:rsidRDefault="00A64374" w:rsidP="00590D12">
            <w:pPr>
              <w:pStyle w:val="BodyText"/>
              <w:rPr>
                <w:rFonts w:ascii="Times New Roman" w:hAnsi="Times New Roman" w:cs="Times New Roman"/>
                <w:bCs/>
              </w:rPr>
            </w:pPr>
            <w:r w:rsidRPr="00D6364F">
              <w:rPr>
                <w:rFonts w:ascii="Times New Roman" w:hAnsi="Times New Roman" w:cs="Times New Roman"/>
                <w:u w:val="single"/>
              </w:rPr>
              <w:t xml:space="preserve">Efficacy: </w:t>
            </w:r>
            <w:r w:rsidR="00590D12" w:rsidRPr="00D6364F">
              <w:rPr>
                <w:rFonts w:ascii="Times New Roman" w:hAnsi="Times New Roman" w:cs="Times New Roman"/>
                <w:bCs/>
              </w:rPr>
              <w:t>The primary target variable will be PSA response in correlation with PTEN expression</w:t>
            </w:r>
            <w:r w:rsidR="00846237">
              <w:rPr>
                <w:rFonts w:ascii="Times New Roman" w:hAnsi="Times New Roman" w:cs="Times New Roman"/>
                <w:bCs/>
              </w:rPr>
              <w:t xml:space="preserve">. </w:t>
            </w:r>
          </w:p>
          <w:p w:rsidR="00590D12" w:rsidRPr="00D6364F" w:rsidRDefault="00590D12" w:rsidP="00590D12">
            <w:pPr>
              <w:pStyle w:val="BodyText"/>
              <w:rPr>
                <w:rFonts w:ascii="Times New Roman" w:hAnsi="Times New Roman" w:cs="Times New Roman"/>
                <w:bCs/>
              </w:rPr>
            </w:pPr>
            <w:r w:rsidRPr="00D6364F">
              <w:rPr>
                <w:rFonts w:ascii="Times New Roman" w:hAnsi="Times New Roman" w:cs="Times New Roman"/>
                <w:bCs/>
              </w:rPr>
              <w:t>PSA estimation</w:t>
            </w:r>
          </w:p>
          <w:p w:rsidR="00590D12" w:rsidRPr="00D6364F" w:rsidRDefault="00590D12" w:rsidP="00590D12">
            <w:pPr>
              <w:pStyle w:val="BodyText"/>
              <w:rPr>
                <w:rFonts w:ascii="Times New Roman" w:hAnsi="Times New Roman" w:cs="Times New Roman"/>
                <w:bCs/>
              </w:rPr>
            </w:pPr>
            <w:r w:rsidRPr="00D6364F">
              <w:rPr>
                <w:rFonts w:ascii="Times New Roman" w:hAnsi="Times New Roman" w:cs="Times New Roman"/>
                <w:bCs/>
              </w:rPr>
              <w:t>Baseline, every 4 weeks during monotherapy with Erbitux, every 6 weeks during combination treatment, every 2 months after the completion of treatment</w:t>
            </w:r>
          </w:p>
          <w:p w:rsidR="00590D12" w:rsidRPr="00D6364F" w:rsidRDefault="00590D12" w:rsidP="00590D12">
            <w:pPr>
              <w:pStyle w:val="BodyText"/>
              <w:rPr>
                <w:rFonts w:ascii="Times New Roman" w:hAnsi="Times New Roman" w:cs="Times New Roman"/>
                <w:bCs/>
              </w:rPr>
            </w:pPr>
            <w:r w:rsidRPr="00D6364F">
              <w:rPr>
                <w:rFonts w:ascii="Times New Roman" w:hAnsi="Times New Roman" w:cs="Times New Roman"/>
                <w:bCs/>
              </w:rPr>
              <w:t>PTEN expression</w:t>
            </w:r>
          </w:p>
          <w:p w:rsidR="00A64374" w:rsidRPr="00D6364F" w:rsidRDefault="00590D12" w:rsidP="00590D12">
            <w:pPr>
              <w:pStyle w:val="Body-synopsis"/>
              <w:rPr>
                <w:u w:val="single"/>
              </w:rPr>
            </w:pPr>
            <w:r w:rsidRPr="00D6364F">
              <w:rPr>
                <w:bCs/>
              </w:rPr>
              <w:t>PTEN loss will be assessed in archive material, with immunohistochemistry (± FISH), in paraffin embedded tissue, from prostate biopsy. If no loss is found, the patient will undergo biopsy of a metastatic site or prostate.</w:t>
            </w:r>
          </w:p>
          <w:p w:rsidR="00A64374" w:rsidRPr="00D6364F" w:rsidRDefault="00A64374" w:rsidP="00A64374">
            <w:pPr>
              <w:pStyle w:val="Body-synopsis"/>
            </w:pPr>
          </w:p>
          <w:p w:rsidR="00590D12" w:rsidRPr="00D6364F" w:rsidRDefault="00A64374" w:rsidP="00590D12">
            <w:pPr>
              <w:pStyle w:val="BodyText"/>
              <w:rPr>
                <w:rFonts w:ascii="Times New Roman" w:hAnsi="Times New Roman" w:cs="Times New Roman"/>
                <w:bCs/>
              </w:rPr>
            </w:pPr>
            <w:r w:rsidRPr="00D6364F">
              <w:rPr>
                <w:rFonts w:ascii="Times New Roman" w:hAnsi="Times New Roman" w:cs="Times New Roman"/>
                <w:u w:val="single"/>
              </w:rPr>
              <w:t>Safet</w:t>
            </w:r>
            <w:r w:rsidR="00846237">
              <w:rPr>
                <w:rFonts w:ascii="Times New Roman" w:hAnsi="Times New Roman" w:cs="Times New Roman"/>
                <w:u w:val="single"/>
              </w:rPr>
              <w:t>y:</w:t>
            </w:r>
            <w:r w:rsidR="00846237">
              <w:rPr>
                <w:rFonts w:ascii="Times New Roman" w:hAnsi="Times New Roman" w:cs="Times New Roman"/>
              </w:rPr>
              <w:t xml:space="preserve"> </w:t>
            </w:r>
            <w:r w:rsidR="00590D12" w:rsidRPr="00D6364F">
              <w:rPr>
                <w:rFonts w:ascii="Times New Roman" w:hAnsi="Times New Roman" w:cs="Times New Roman"/>
                <w:bCs/>
              </w:rPr>
              <w:t xml:space="preserve">Toxicity was assessed according to NCI CTC (Version 3): </w:t>
            </w:r>
            <w:hyperlink r:id="rId7" w:history="1">
              <w:r w:rsidR="00590D12" w:rsidRPr="00D6364F">
                <w:rPr>
                  <w:rStyle w:val="Hyperlink"/>
                  <w:rFonts w:ascii="Times New Roman" w:hAnsi="Times New Roman" w:cs="Times New Roman"/>
                  <w:bCs/>
                </w:rPr>
                <w:t>http://ctep.cancer.gov/reporting/ctc.html</w:t>
              </w:r>
            </w:hyperlink>
            <w:r w:rsidR="00590D12" w:rsidRPr="00D6364F">
              <w:rPr>
                <w:rFonts w:ascii="Times New Roman" w:hAnsi="Times New Roman" w:cs="Times New Roman"/>
                <w:bCs/>
              </w:rPr>
              <w:t xml:space="preserve"> at each treatment visit. Dose modifications were applied according to study protocol.</w:t>
            </w:r>
          </w:p>
          <w:p w:rsidR="00590D12" w:rsidRPr="00D6364F" w:rsidRDefault="00590D12" w:rsidP="00590D12">
            <w:pPr>
              <w:pStyle w:val="BodyText"/>
              <w:rPr>
                <w:rFonts w:ascii="Times New Roman" w:hAnsi="Times New Roman" w:cs="Times New Roman"/>
                <w:bCs/>
              </w:rPr>
            </w:pPr>
            <w:r w:rsidRPr="00D6364F">
              <w:rPr>
                <w:rFonts w:ascii="Times New Roman" w:hAnsi="Times New Roman" w:cs="Times New Roman"/>
                <w:bCs/>
              </w:rPr>
              <w:t xml:space="preserve">Serious Adverse Events (SAEs) were reported within 24 hours. A SAE is defined as any untoward medical occurrence at any dose that: </w:t>
            </w:r>
          </w:p>
          <w:p w:rsidR="00590D12" w:rsidRPr="00D6364F" w:rsidRDefault="00590D12" w:rsidP="00590D12">
            <w:pPr>
              <w:pStyle w:val="BodyText"/>
              <w:numPr>
                <w:ilvl w:val="0"/>
                <w:numId w:val="3"/>
              </w:numPr>
              <w:spacing w:before="60" w:after="60" w:line="360" w:lineRule="auto"/>
              <w:jc w:val="left"/>
              <w:rPr>
                <w:rFonts w:ascii="Times New Roman" w:hAnsi="Times New Roman" w:cs="Times New Roman"/>
                <w:bCs/>
              </w:rPr>
            </w:pPr>
            <w:r w:rsidRPr="00D6364F">
              <w:rPr>
                <w:rFonts w:ascii="Times New Roman" w:hAnsi="Times New Roman" w:cs="Times New Roman"/>
                <w:bCs/>
              </w:rPr>
              <w:t>Results in death</w:t>
            </w:r>
          </w:p>
          <w:p w:rsidR="00590D12" w:rsidRPr="00D6364F" w:rsidRDefault="00590D12" w:rsidP="00590D12">
            <w:pPr>
              <w:pStyle w:val="BodyText"/>
              <w:numPr>
                <w:ilvl w:val="0"/>
                <w:numId w:val="3"/>
              </w:numPr>
              <w:spacing w:before="60" w:after="60" w:line="360" w:lineRule="auto"/>
              <w:jc w:val="left"/>
              <w:rPr>
                <w:rFonts w:ascii="Times New Roman" w:hAnsi="Times New Roman" w:cs="Times New Roman"/>
                <w:bCs/>
              </w:rPr>
            </w:pPr>
            <w:r w:rsidRPr="00D6364F">
              <w:rPr>
                <w:rFonts w:ascii="Times New Roman" w:hAnsi="Times New Roman" w:cs="Times New Roman"/>
                <w:bCs/>
              </w:rPr>
              <w:t>Is life-threatening</w:t>
            </w:r>
          </w:p>
          <w:p w:rsidR="00590D12" w:rsidRPr="00D6364F" w:rsidRDefault="00590D12" w:rsidP="00590D12">
            <w:pPr>
              <w:pStyle w:val="BodyText"/>
              <w:numPr>
                <w:ilvl w:val="0"/>
                <w:numId w:val="3"/>
              </w:numPr>
              <w:spacing w:before="60" w:after="60" w:line="360" w:lineRule="auto"/>
              <w:jc w:val="left"/>
              <w:rPr>
                <w:rFonts w:ascii="Times New Roman" w:hAnsi="Times New Roman" w:cs="Times New Roman"/>
                <w:bCs/>
              </w:rPr>
            </w:pPr>
            <w:r w:rsidRPr="00D6364F">
              <w:rPr>
                <w:rFonts w:ascii="Times New Roman" w:hAnsi="Times New Roman" w:cs="Times New Roman"/>
                <w:bCs/>
              </w:rPr>
              <w:t>Requires hospitalization or prolongs existing hospitalization</w:t>
            </w:r>
          </w:p>
          <w:p w:rsidR="00590D12" w:rsidRPr="00D6364F" w:rsidRDefault="00590D12" w:rsidP="00590D12">
            <w:pPr>
              <w:pStyle w:val="BodyText"/>
              <w:numPr>
                <w:ilvl w:val="0"/>
                <w:numId w:val="3"/>
              </w:numPr>
              <w:spacing w:before="60" w:after="60" w:line="360" w:lineRule="auto"/>
              <w:jc w:val="left"/>
              <w:rPr>
                <w:rFonts w:ascii="Times New Roman" w:hAnsi="Times New Roman" w:cs="Times New Roman"/>
                <w:bCs/>
              </w:rPr>
            </w:pPr>
            <w:r w:rsidRPr="00D6364F">
              <w:rPr>
                <w:rFonts w:ascii="Times New Roman" w:hAnsi="Times New Roman" w:cs="Times New Roman"/>
                <w:bCs/>
              </w:rPr>
              <w:t>Results in persistent or significant disability/incapacity</w:t>
            </w:r>
          </w:p>
          <w:p w:rsidR="00A64374" w:rsidRPr="00D6364F" w:rsidRDefault="00590D12" w:rsidP="00590D12">
            <w:pPr>
              <w:pStyle w:val="Body-synopsis"/>
              <w:rPr>
                <w:u w:val="single"/>
              </w:rPr>
            </w:pPr>
            <w:r w:rsidRPr="00D6364F">
              <w:rPr>
                <w:bCs/>
              </w:rPr>
              <w:t>Results in congenital anomaly/birth defect</w:t>
            </w:r>
          </w:p>
          <w:p w:rsidR="00A64374" w:rsidRPr="00D6364F" w:rsidRDefault="00A64374" w:rsidP="00A64374">
            <w:pPr>
              <w:pStyle w:val="Body-synopsis"/>
            </w:pPr>
          </w:p>
        </w:tc>
      </w:tr>
      <w:tr w:rsidR="00A64374" w:rsidRPr="00D6364F" w:rsidTr="00B414CC">
        <w:trPr>
          <w:trHeight w:val="20"/>
        </w:trPr>
        <w:tc>
          <w:tcPr>
            <w:tcW w:w="8818" w:type="dxa"/>
            <w:gridSpan w:val="2"/>
          </w:tcPr>
          <w:p w:rsidR="00590D12" w:rsidRPr="00D6364F" w:rsidRDefault="00A64374" w:rsidP="00590D12">
            <w:pPr>
              <w:pStyle w:val="BodyText"/>
              <w:rPr>
                <w:rFonts w:ascii="Times New Roman" w:hAnsi="Times New Roman" w:cs="Times New Roman"/>
                <w:bCs/>
              </w:rPr>
            </w:pPr>
            <w:r w:rsidRPr="00D6364F">
              <w:rPr>
                <w:rFonts w:ascii="Times New Roman" w:hAnsi="Times New Roman" w:cs="Times New Roman"/>
                <w:b/>
              </w:rPr>
              <w:lastRenderedPageBreak/>
              <w:t xml:space="preserve">Statistical Methods: </w:t>
            </w:r>
            <w:r w:rsidR="003B35B7">
              <w:rPr>
                <w:rFonts w:ascii="Times New Roman" w:hAnsi="Times New Roman" w:cs="Times New Roman"/>
              </w:rPr>
              <w:t xml:space="preserve">The </w:t>
            </w:r>
            <w:r w:rsidR="003C7901">
              <w:rPr>
                <w:rFonts w:ascii="Times New Roman" w:hAnsi="Times New Roman" w:cs="Times New Roman"/>
              </w:rPr>
              <w:t>initial design of the study provided</w:t>
            </w:r>
            <w:r w:rsidR="003B35B7">
              <w:rPr>
                <w:rFonts w:ascii="Times New Roman" w:hAnsi="Times New Roman" w:cs="Times New Roman"/>
              </w:rPr>
              <w:t xml:space="preserve"> </w:t>
            </w:r>
            <w:r w:rsidR="00590D12" w:rsidRPr="00D6364F">
              <w:rPr>
                <w:rFonts w:ascii="Times New Roman" w:hAnsi="Times New Roman" w:cs="Times New Roman"/>
                <w:bCs/>
              </w:rPr>
              <w:t xml:space="preserve">PTEN expression (positive vs. negative) </w:t>
            </w:r>
            <w:r w:rsidR="003C7901">
              <w:rPr>
                <w:rFonts w:ascii="Times New Roman" w:hAnsi="Times New Roman" w:cs="Times New Roman"/>
                <w:bCs/>
              </w:rPr>
              <w:t>correlations</w:t>
            </w:r>
            <w:r w:rsidR="00590D12" w:rsidRPr="00D6364F">
              <w:rPr>
                <w:rFonts w:ascii="Times New Roman" w:hAnsi="Times New Roman" w:cs="Times New Roman"/>
                <w:bCs/>
              </w:rPr>
              <w:t xml:space="preserve"> with PSA response (yes vs. no), objective responses (yes vs. no) and baseline characteristics (such as baseline PSA, disease sites, Gleason score), using the Fisher’s exact test. </w:t>
            </w:r>
          </w:p>
          <w:p w:rsidR="00A64374" w:rsidRPr="00D6364F" w:rsidRDefault="00590D12" w:rsidP="00B05914">
            <w:pPr>
              <w:pStyle w:val="Body-synopsis"/>
              <w:ind w:left="0"/>
              <w:rPr>
                <w:b/>
              </w:rPr>
            </w:pPr>
            <w:r w:rsidRPr="00D6364F">
              <w:rPr>
                <w:bCs/>
              </w:rPr>
              <w:t xml:space="preserve">Median TTP and OS </w:t>
            </w:r>
            <w:r w:rsidR="00B22E36">
              <w:rPr>
                <w:bCs/>
              </w:rPr>
              <w:t>was planned to</w:t>
            </w:r>
            <w:r w:rsidRPr="00D6364F">
              <w:rPr>
                <w:bCs/>
              </w:rPr>
              <w:t xml:space="preserve"> be calculated using the Kaplan-Meier method. The impact of PTEN expression (loss vs. no loss), and baseline characteristics (such as baseline PSA, disease sites, Gleason score, ECOG PS) on TTP and OS </w:t>
            </w:r>
            <w:r w:rsidR="00B22E36">
              <w:rPr>
                <w:bCs/>
              </w:rPr>
              <w:t>planned to</w:t>
            </w:r>
            <w:r w:rsidRPr="00D6364F">
              <w:rPr>
                <w:bCs/>
              </w:rPr>
              <w:t xml:space="preserve"> be assessed using the log rank test</w:t>
            </w:r>
            <w:r w:rsidR="00B22E36">
              <w:rPr>
                <w:bCs/>
              </w:rPr>
              <w:t xml:space="preserve"> and t</w:t>
            </w:r>
            <w:r w:rsidRPr="00D6364F">
              <w:rPr>
                <w:bCs/>
              </w:rPr>
              <w:t xml:space="preserve">he independent significance of these factors </w:t>
            </w:r>
            <w:r w:rsidR="00B22E36">
              <w:rPr>
                <w:bCs/>
              </w:rPr>
              <w:t>was planned to</w:t>
            </w:r>
            <w:r w:rsidRPr="00D6364F">
              <w:rPr>
                <w:bCs/>
              </w:rPr>
              <w:t xml:space="preserve"> be assessed using a multivariate </w:t>
            </w:r>
            <w:r w:rsidR="007D6425" w:rsidRPr="00D6364F">
              <w:rPr>
                <w:bCs/>
              </w:rPr>
              <w:t>Cox</w:t>
            </w:r>
            <w:r w:rsidRPr="00D6364F">
              <w:rPr>
                <w:bCs/>
              </w:rPr>
              <w:t xml:space="preserve"> regression analysis.  </w:t>
            </w:r>
          </w:p>
          <w:p w:rsidR="00A64374" w:rsidRPr="00D6364F" w:rsidRDefault="00B22E36" w:rsidP="00A64374">
            <w:pPr>
              <w:pStyle w:val="Body-synopsis"/>
            </w:pPr>
            <w:r>
              <w:t>However, due to the premature discontinuation of the study, the performed analysis was just descriptive.</w:t>
            </w:r>
          </w:p>
        </w:tc>
      </w:tr>
      <w:tr w:rsidR="00A64374" w:rsidRPr="00D6364F" w:rsidTr="00B414CC">
        <w:trPr>
          <w:trHeight w:val="20"/>
        </w:trPr>
        <w:tc>
          <w:tcPr>
            <w:tcW w:w="8818" w:type="dxa"/>
            <w:gridSpan w:val="2"/>
          </w:tcPr>
          <w:p w:rsidR="00A64374" w:rsidRPr="00D6364F" w:rsidRDefault="00A64374" w:rsidP="00A64374">
            <w:pPr>
              <w:pStyle w:val="Body-synopsis"/>
              <w:rPr>
                <w:b/>
              </w:rPr>
            </w:pPr>
            <w:r w:rsidRPr="00D6364F">
              <w:rPr>
                <w:b/>
              </w:rPr>
              <w:t xml:space="preserve">Summary and Conclusions: </w:t>
            </w:r>
          </w:p>
          <w:p w:rsidR="00A64374" w:rsidRPr="00D6364F" w:rsidRDefault="00A64374" w:rsidP="0051164A">
            <w:pPr>
              <w:pStyle w:val="Body-synopsis"/>
            </w:pPr>
            <w:r w:rsidRPr="00114B1E">
              <w:rPr>
                <w:i/>
                <w:u w:val="single"/>
              </w:rPr>
              <w:t>Subject Disposition</w:t>
            </w:r>
            <w:r w:rsidRPr="00D6364F">
              <w:rPr>
                <w:u w:val="single"/>
              </w:rPr>
              <w:t xml:space="preserve">: </w:t>
            </w:r>
            <w:r w:rsidR="00E10CA6" w:rsidRPr="00D6364F">
              <w:t xml:space="preserve">The cohort of the study (till </w:t>
            </w:r>
            <w:r w:rsidR="007D6425" w:rsidRPr="00D6364F">
              <w:t>its</w:t>
            </w:r>
            <w:r w:rsidR="00E10CA6" w:rsidRPr="00D6364F">
              <w:t xml:space="preserve"> prematu</w:t>
            </w:r>
            <w:r w:rsidR="0051164A" w:rsidRPr="00D6364F">
              <w:t xml:space="preserve">re discontinuation) consisted of 16 male patients with histologically proven metastatic hormone refractory prostate cancer (HRPC). </w:t>
            </w:r>
          </w:p>
          <w:p w:rsidR="00A64374" w:rsidRPr="00D6364F" w:rsidRDefault="00A64374" w:rsidP="00A64374">
            <w:pPr>
              <w:pStyle w:val="Body-synopsis"/>
            </w:pPr>
            <w:r w:rsidRPr="00114B1E">
              <w:rPr>
                <w:i/>
                <w:u w:val="single"/>
              </w:rPr>
              <w:t xml:space="preserve">Demographics and Baseline Characteristics: </w:t>
            </w:r>
            <w:r w:rsidR="00ED5D43" w:rsidRPr="00114B1E">
              <w:t>The</w:t>
            </w:r>
            <w:r w:rsidR="00ED5D43" w:rsidRPr="00D6364F">
              <w:t xml:space="preserve"> mean age of patients was 71.9 years (range 48-89 years). </w:t>
            </w:r>
            <w:r w:rsidR="00021318" w:rsidRPr="00D6364F">
              <w:t xml:space="preserve">The mean height of patients was </w:t>
            </w:r>
            <w:smartTag w:uri="urn:schemas-microsoft-com:office:smarttags" w:element="metricconverter">
              <w:smartTagPr>
                <w:attr w:name="ProductID" w:val="170.4 cm"/>
              </w:smartTagPr>
              <w:r w:rsidR="00021318" w:rsidRPr="00D6364F">
                <w:t>170.4 cm</w:t>
              </w:r>
            </w:smartTag>
            <w:r w:rsidR="00021318" w:rsidRPr="00D6364F">
              <w:t xml:space="preserve"> , the mean weight was </w:t>
            </w:r>
          </w:p>
          <w:p w:rsidR="00A64374" w:rsidRPr="00D6364F" w:rsidRDefault="00021318" w:rsidP="00A64374">
            <w:pPr>
              <w:pStyle w:val="Body-synopsis"/>
            </w:pPr>
            <w:smartTag w:uri="urn:schemas-microsoft-com:office:smarttags" w:element="metricconverter">
              <w:smartTagPr>
                <w:attr w:name="ProductID" w:val="78 kg"/>
              </w:smartTagPr>
              <w:r w:rsidRPr="00D6364F">
                <w:t>78 kg</w:t>
              </w:r>
            </w:smartTag>
            <w:r w:rsidRPr="00D6364F">
              <w:t xml:space="preserve"> and the mean body surface area (BSA) was </w:t>
            </w:r>
            <w:smartTag w:uri="urn:schemas-microsoft-com:office:smarttags" w:element="metricconverter">
              <w:smartTagPr>
                <w:attr w:name="ProductID" w:val="1.9 m2"/>
              </w:smartTagPr>
              <w:r w:rsidRPr="00D6364F">
                <w:t>1.9 m</w:t>
              </w:r>
              <w:r w:rsidRPr="00D6364F">
                <w:rPr>
                  <w:vertAlign w:val="superscript"/>
                </w:rPr>
                <w:t>2</w:t>
              </w:r>
            </w:smartTag>
            <w:r w:rsidRPr="00D6364F">
              <w:t xml:space="preserve">. The </w:t>
            </w:r>
            <w:r w:rsidR="00B105C8" w:rsidRPr="00D6364F">
              <w:t>3</w:t>
            </w:r>
            <w:r w:rsidR="00B105C8">
              <w:t>1</w:t>
            </w:r>
            <w:r w:rsidR="00B105C8" w:rsidRPr="00D6364F">
              <w:t xml:space="preserve"> </w:t>
            </w:r>
            <w:r w:rsidRPr="00D6364F">
              <w:t xml:space="preserve">% of the patients were current smokers, </w:t>
            </w:r>
            <w:r w:rsidR="00B105C8">
              <w:t>38</w:t>
            </w:r>
            <w:r w:rsidRPr="00D6364F">
              <w:t xml:space="preserve">% were </w:t>
            </w:r>
            <w:r w:rsidR="007D6425" w:rsidRPr="00D6364F">
              <w:t>ex</w:t>
            </w:r>
            <w:r w:rsidR="007D6425">
              <w:t xml:space="preserve"> </w:t>
            </w:r>
            <w:r w:rsidR="007D6425" w:rsidRPr="00D6364F">
              <w:t>smokers</w:t>
            </w:r>
            <w:r w:rsidRPr="00D6364F">
              <w:t xml:space="preserve"> and </w:t>
            </w:r>
            <w:r w:rsidR="00B105C8" w:rsidRPr="00D6364F">
              <w:t>3</w:t>
            </w:r>
            <w:r w:rsidR="00B105C8">
              <w:t>1</w:t>
            </w:r>
            <w:r w:rsidRPr="00D6364F">
              <w:t xml:space="preserve">% were nonsmokers. </w:t>
            </w:r>
          </w:p>
          <w:p w:rsidR="00AE553A" w:rsidRPr="00D6364F" w:rsidRDefault="00021318" w:rsidP="00A64374">
            <w:pPr>
              <w:pStyle w:val="Body-synopsis"/>
            </w:pPr>
            <w:r w:rsidRPr="00D6364F">
              <w:t xml:space="preserve">According </w:t>
            </w:r>
            <w:r w:rsidR="005A3E43">
              <w:t xml:space="preserve">to </w:t>
            </w:r>
            <w:r w:rsidR="001D3721">
              <w:t>the</w:t>
            </w:r>
            <w:r w:rsidR="001D3721" w:rsidRPr="00D6364F">
              <w:t xml:space="preserve"> </w:t>
            </w:r>
            <w:r w:rsidRPr="00D6364F">
              <w:t>medical history</w:t>
            </w:r>
            <w:r w:rsidR="001D3721">
              <w:t>,</w:t>
            </w:r>
            <w:r w:rsidRPr="00D6364F">
              <w:t xml:space="preserve"> 11 of the pa</w:t>
            </w:r>
            <w:r w:rsidR="00462CA3" w:rsidRPr="00D6364F">
              <w:t>tients had concomitant diseases. Specifically, 4 patients (25%) had diabetes mellitus and were tak</w:t>
            </w:r>
            <w:r w:rsidR="00B55EC9">
              <w:t>ing</w:t>
            </w:r>
            <w:r w:rsidR="00462CA3" w:rsidRPr="00D6364F">
              <w:t xml:space="preserve"> hypoglycemic drugs, 5 (31%) w</w:t>
            </w:r>
            <w:r w:rsidR="00B55EC9">
              <w:t>ere</w:t>
            </w:r>
            <w:r w:rsidR="00462CA3" w:rsidRPr="00D6364F">
              <w:t xml:space="preserve"> hypertensive under </w:t>
            </w:r>
            <w:r w:rsidR="007D6425" w:rsidRPr="00D6364F">
              <w:t>treatment,</w:t>
            </w:r>
            <w:r w:rsidR="00A060CF" w:rsidRPr="00D6364F">
              <w:t xml:space="preserve"> 2 of them (</w:t>
            </w:r>
            <w:r w:rsidR="001D3721">
              <w:t>13</w:t>
            </w:r>
            <w:r w:rsidR="00A060CF" w:rsidRPr="00D6364F">
              <w:t xml:space="preserve">%) had history of coronary artery disease and </w:t>
            </w:r>
            <w:r w:rsidR="001D3721">
              <w:t xml:space="preserve">had </w:t>
            </w:r>
            <w:r w:rsidR="00A060CF" w:rsidRPr="00D6364F">
              <w:t>a coronary artery bypass graft</w:t>
            </w:r>
            <w:r w:rsidR="00AE553A" w:rsidRPr="00D6364F">
              <w:t>. One patient suffered from Chronic Obstructive Pulmonary Disease (COPD) and 2 had also malignancy in colon.</w:t>
            </w:r>
          </w:p>
          <w:p w:rsidR="006F35C0" w:rsidRPr="00D6364F" w:rsidRDefault="00AE553A" w:rsidP="00A64374">
            <w:pPr>
              <w:pStyle w:val="Body-synopsis"/>
              <w:rPr>
                <w:bCs/>
              </w:rPr>
            </w:pPr>
            <w:r w:rsidRPr="00D6364F">
              <w:lastRenderedPageBreak/>
              <w:t xml:space="preserve">The mean Gleason score from the histopathological biopsies was 8 (range from 7 to 9) and 88% (14/16) </w:t>
            </w:r>
            <w:r w:rsidR="006F35C0" w:rsidRPr="00D6364F">
              <w:t>of patients had secondary bone metastases. The baseline mean PSA was 1</w:t>
            </w:r>
            <w:r w:rsidR="008161CA" w:rsidRPr="00D6364F">
              <w:t>03</w:t>
            </w:r>
            <w:r w:rsidR="006F35C0" w:rsidRPr="00D6364F">
              <w:t xml:space="preserve"> (range from 10.79 to 509) and the mean time from androgen discontinuation was 120 days. </w:t>
            </w:r>
            <w:r w:rsidR="00761FEA">
              <w:t>Archive material was obtained in all but 1 patient. In the available results so far, PTEN loss was found in no case.</w:t>
            </w:r>
            <w:r w:rsidR="009364AF">
              <w:rPr>
                <w:bCs/>
              </w:rPr>
              <w:t xml:space="preserve"> Material from metastases was available in 4 patients, since the remaining 12 patients refused to undergo biopsy of metastatic lesions. PTEN expression was studied in 3 of these cases and no loss was found</w:t>
            </w:r>
            <w:r w:rsidR="00F05990">
              <w:rPr>
                <w:bCs/>
              </w:rPr>
              <w:t xml:space="preserve">. Due to the almost universal finding of no PTEN loss, no correlation with PSA decline was possible. </w:t>
            </w:r>
            <w:r w:rsidR="00761FEA">
              <w:rPr>
                <w:bCs/>
              </w:rPr>
              <w:t>More refined analysis is</w:t>
            </w:r>
            <w:r w:rsidR="00F05990">
              <w:rPr>
                <w:bCs/>
              </w:rPr>
              <w:t xml:space="preserve"> under way.</w:t>
            </w:r>
          </w:p>
          <w:p w:rsidR="00021318" w:rsidRPr="00D6364F" w:rsidRDefault="00A56B2B" w:rsidP="00A64374">
            <w:pPr>
              <w:pStyle w:val="Body-synopsis"/>
              <w:rPr>
                <w:bCs/>
              </w:rPr>
            </w:pPr>
            <w:r w:rsidRPr="00D6364F">
              <w:rPr>
                <w:bCs/>
              </w:rPr>
              <w:t>The mean value for white blood cells (WBC) was 7190 (63% neutrophil), for haematocrit was 37.2% and for platelets was 258.000. The mean values for creatinine, bilirubin, SGOT</w:t>
            </w:r>
            <w:r w:rsidR="004A4164" w:rsidRPr="00D6364F">
              <w:rPr>
                <w:bCs/>
              </w:rPr>
              <w:t xml:space="preserve"> and </w:t>
            </w:r>
            <w:r w:rsidRPr="00D6364F">
              <w:rPr>
                <w:bCs/>
              </w:rPr>
              <w:t>SGPT</w:t>
            </w:r>
            <w:r w:rsidR="004A4164" w:rsidRPr="00D6364F">
              <w:rPr>
                <w:bCs/>
              </w:rPr>
              <w:t xml:space="preserve"> were 1.02 mg/dl</w:t>
            </w:r>
            <w:r w:rsidR="00EC554E" w:rsidRPr="00D6364F">
              <w:rPr>
                <w:bCs/>
              </w:rPr>
              <w:t>, 0.63 mg/dl, 26 U/ml and 22 U/ml respectively.</w:t>
            </w:r>
          </w:p>
          <w:p w:rsidR="00EC554E" w:rsidRPr="00D6364F" w:rsidRDefault="00EC554E" w:rsidP="00A64374">
            <w:pPr>
              <w:pStyle w:val="Body-synopsis"/>
            </w:pPr>
            <w:r w:rsidRPr="00D6364F">
              <w:rPr>
                <w:bCs/>
              </w:rPr>
              <w:t xml:space="preserve">Finally the majority of patients were at Grade 0 or </w:t>
            </w:r>
            <w:smartTag w:uri="urn:schemas-microsoft-com:office:smarttags" w:element="metricconverter">
              <w:smartTagPr>
                <w:attr w:name="ProductID" w:val="1 in"/>
              </w:smartTagPr>
              <w:r w:rsidRPr="00D6364F">
                <w:rPr>
                  <w:bCs/>
                </w:rPr>
                <w:t>1 in</w:t>
              </w:r>
            </w:smartTag>
            <w:r w:rsidRPr="00D6364F">
              <w:rPr>
                <w:bCs/>
              </w:rPr>
              <w:t xml:space="preserve"> ECOG performance status (</w:t>
            </w:r>
            <w:r w:rsidR="00A75658">
              <w:rPr>
                <w:bCs/>
              </w:rPr>
              <w:t>88</w:t>
            </w:r>
            <w:r w:rsidRPr="00D6364F">
              <w:rPr>
                <w:bCs/>
              </w:rPr>
              <w:t xml:space="preserve">) and the mean </w:t>
            </w:r>
            <w:r w:rsidR="00602947" w:rsidRPr="00D6364F">
              <w:rPr>
                <w:bCs/>
              </w:rPr>
              <w:t xml:space="preserve">value at the EORTC QLQ-C30 (questionnaire for quality </w:t>
            </w:r>
            <w:r w:rsidR="008161CA" w:rsidRPr="00D6364F">
              <w:rPr>
                <w:bCs/>
              </w:rPr>
              <w:t>o</w:t>
            </w:r>
            <w:r w:rsidR="00602947" w:rsidRPr="00D6364F">
              <w:rPr>
                <w:bCs/>
              </w:rPr>
              <w:t xml:space="preserve">f life) at the beginning of study was 56. </w:t>
            </w:r>
          </w:p>
          <w:p w:rsidR="00B00228" w:rsidRPr="00D6364F" w:rsidRDefault="00A64374" w:rsidP="00A64374">
            <w:pPr>
              <w:pStyle w:val="Body-synopsis"/>
            </w:pPr>
            <w:r w:rsidRPr="00114B1E">
              <w:rPr>
                <w:i/>
                <w:u w:val="single"/>
              </w:rPr>
              <w:t>Efficacy Results:</w:t>
            </w:r>
            <w:r w:rsidRPr="00D6364F">
              <w:rPr>
                <w:u w:val="single"/>
              </w:rPr>
              <w:t xml:space="preserve"> </w:t>
            </w:r>
            <w:r w:rsidR="00602947" w:rsidRPr="00D6364F">
              <w:t xml:space="preserve">The study was prematurely </w:t>
            </w:r>
            <w:r w:rsidR="008161CA" w:rsidRPr="00D6364F">
              <w:t>terminated</w:t>
            </w:r>
            <w:r w:rsidR="00602947" w:rsidRPr="00D6364F">
              <w:t xml:space="preserve"> due to withdrawal of Erbitux in </w:t>
            </w:r>
            <w:smartTag w:uri="urn:schemas-microsoft-com:office:smarttags" w:element="place">
              <w:smartTag w:uri="urn:schemas-microsoft-com:office:smarttags" w:element="country-region">
                <w:r w:rsidR="00602947" w:rsidRPr="00D6364F">
                  <w:t>Greece</w:t>
                </w:r>
              </w:smartTag>
            </w:smartTag>
            <w:r w:rsidR="008161CA" w:rsidRPr="00D6364F">
              <w:t xml:space="preserve">. </w:t>
            </w:r>
            <w:r w:rsidR="00B00228" w:rsidRPr="00D6364F">
              <w:t>The mean starting dose was 714 mg (400mg/m</w:t>
            </w:r>
            <w:r w:rsidR="00B00228" w:rsidRPr="00D6364F">
              <w:rPr>
                <w:vertAlign w:val="superscript"/>
              </w:rPr>
              <w:t>2</w:t>
            </w:r>
            <w:r w:rsidR="00B00228" w:rsidRPr="00D6364F">
              <w:t xml:space="preserve">) and the mean </w:t>
            </w:r>
            <w:r w:rsidR="007D6425" w:rsidRPr="00D6364F">
              <w:t>subsequent</w:t>
            </w:r>
            <w:r w:rsidR="00B00228" w:rsidRPr="00D6364F">
              <w:t xml:space="preserve"> dose was 470 mg (250 mg/m</w:t>
            </w:r>
            <w:r w:rsidR="00B00228" w:rsidRPr="00D6364F">
              <w:rPr>
                <w:vertAlign w:val="superscript"/>
              </w:rPr>
              <w:t>2</w:t>
            </w:r>
            <w:r w:rsidR="00B00228" w:rsidRPr="00D6364F">
              <w:t>).</w:t>
            </w:r>
            <w:r w:rsidR="007A5B87">
              <w:t xml:space="preserve"> Two of the 16 patients</w:t>
            </w:r>
            <w:r w:rsidR="00B00228" w:rsidRPr="00D6364F">
              <w:t xml:space="preserve"> </w:t>
            </w:r>
            <w:r w:rsidR="007A5B87">
              <w:t xml:space="preserve">discontinued the cetuximab therapy due to safety reasons. </w:t>
            </w:r>
            <w:r w:rsidR="00AA5482" w:rsidRPr="00D6364F">
              <w:t xml:space="preserve">The consecutive monthly measurements of PSA showed a </w:t>
            </w:r>
            <w:r w:rsidR="009364AF">
              <w:t>rise of the</w:t>
            </w:r>
            <w:r w:rsidR="00AA5482" w:rsidRPr="00D6364F">
              <w:t xml:space="preserve"> </w:t>
            </w:r>
            <w:r w:rsidR="009364AF">
              <w:t xml:space="preserve">mean </w:t>
            </w:r>
            <w:r w:rsidR="00AA5482" w:rsidRPr="00D6364F">
              <w:t>PSA from 103 to 154 and 162</w:t>
            </w:r>
            <w:r w:rsidR="001D3721">
              <w:t>.</w:t>
            </w:r>
            <w:r w:rsidR="00AA5482" w:rsidRPr="00D6364F">
              <w:t>7 at the 1</w:t>
            </w:r>
            <w:r w:rsidR="00AA5482" w:rsidRPr="00D6364F">
              <w:rPr>
                <w:vertAlign w:val="superscript"/>
              </w:rPr>
              <w:t>st</w:t>
            </w:r>
            <w:r w:rsidR="00AA5482" w:rsidRPr="00D6364F">
              <w:t xml:space="preserve"> and 2</w:t>
            </w:r>
            <w:r w:rsidR="00AA5482" w:rsidRPr="00D6364F">
              <w:rPr>
                <w:vertAlign w:val="superscript"/>
              </w:rPr>
              <w:t>nd</w:t>
            </w:r>
            <w:r w:rsidR="00AA5482" w:rsidRPr="00D6364F">
              <w:t xml:space="preserve"> month of </w:t>
            </w:r>
            <w:r w:rsidR="00C64A34" w:rsidRPr="00D6364F">
              <w:t>cetuximab</w:t>
            </w:r>
            <w:r w:rsidR="00AA5482" w:rsidRPr="00D6364F">
              <w:t xml:space="preserve"> use respectively.</w:t>
            </w:r>
            <w:r w:rsidR="00C64A34" w:rsidRPr="00D6364F">
              <w:t xml:space="preserve"> However, </w:t>
            </w:r>
            <w:r w:rsidR="009364AF">
              <w:t>PSA decline was noted in 2 patients with Erbitux monotherapy. F</w:t>
            </w:r>
            <w:r w:rsidR="00C64A34" w:rsidRPr="00D6364F">
              <w:t>rom the 3</w:t>
            </w:r>
            <w:r w:rsidR="00C64A34" w:rsidRPr="00D6364F">
              <w:rPr>
                <w:vertAlign w:val="superscript"/>
              </w:rPr>
              <w:t>rd</w:t>
            </w:r>
            <w:r w:rsidR="00C64A34" w:rsidRPr="00D6364F">
              <w:t xml:space="preserve"> month the </w:t>
            </w:r>
            <w:r w:rsidR="009364AF">
              <w:t xml:space="preserve">mean </w:t>
            </w:r>
            <w:r w:rsidR="00C64A34" w:rsidRPr="00D6364F">
              <w:t>value of PSA was significantly decreased (83, 44 and 47 at the 3</w:t>
            </w:r>
            <w:r w:rsidR="00C64A34" w:rsidRPr="00D6364F">
              <w:rPr>
                <w:vertAlign w:val="superscript"/>
              </w:rPr>
              <w:t>rd</w:t>
            </w:r>
            <w:r w:rsidR="00C64A34" w:rsidRPr="00D6364F">
              <w:t>, 5</w:t>
            </w:r>
            <w:r w:rsidR="00C64A34" w:rsidRPr="00D6364F">
              <w:rPr>
                <w:vertAlign w:val="superscript"/>
              </w:rPr>
              <w:t>th</w:t>
            </w:r>
            <w:r w:rsidR="00C64A34" w:rsidRPr="00D6364F">
              <w:t xml:space="preserve"> and 6</w:t>
            </w:r>
            <w:r w:rsidR="00C64A34" w:rsidRPr="00D6364F">
              <w:rPr>
                <w:vertAlign w:val="superscript"/>
              </w:rPr>
              <w:t>th</w:t>
            </w:r>
            <w:r w:rsidR="00C64A34" w:rsidRPr="00D6364F">
              <w:t xml:space="preserve"> month of cetuximab</w:t>
            </w:r>
            <w:r w:rsidR="00D6364F">
              <w:t xml:space="preserve"> plus docetaxel</w:t>
            </w:r>
            <w:r w:rsidR="00C64A34" w:rsidRPr="00D6364F">
              <w:t>, p</w:t>
            </w:r>
            <w:r w:rsidR="009364AF">
              <w:t>=</w:t>
            </w:r>
            <w:r w:rsidR="00C64A34" w:rsidRPr="00D6364F">
              <w:t>0.03).</w:t>
            </w:r>
            <w:r w:rsidR="009364AF">
              <w:t xml:space="preserve"> </w:t>
            </w:r>
            <w:r w:rsidR="00C64A34" w:rsidRPr="00D6364F">
              <w:t xml:space="preserve"> </w:t>
            </w:r>
          </w:p>
          <w:p w:rsidR="00A64374" w:rsidRPr="00D6364F" w:rsidRDefault="002D585A" w:rsidP="00A64374">
            <w:pPr>
              <w:pStyle w:val="Body-synopsis"/>
            </w:pPr>
            <w:r w:rsidRPr="00D6364F">
              <w:t xml:space="preserve">At the end of </w:t>
            </w:r>
            <w:r w:rsidR="00EA4034">
              <w:t xml:space="preserve">the </w:t>
            </w:r>
            <w:r w:rsidRPr="00D6364F">
              <w:t xml:space="preserve">follow up period </w:t>
            </w:r>
            <w:r w:rsidR="00315486" w:rsidRPr="00D6364F">
              <w:t>8</w:t>
            </w:r>
            <w:r w:rsidR="00126C11" w:rsidRPr="00D6364F">
              <w:t xml:space="preserve"> patients (</w:t>
            </w:r>
            <w:r w:rsidR="00315486" w:rsidRPr="00D6364F">
              <w:t>50</w:t>
            </w:r>
            <w:r w:rsidR="00126C11" w:rsidRPr="00D6364F">
              <w:t>%) were alive</w:t>
            </w:r>
            <w:r w:rsidR="009377CA" w:rsidRPr="00D6364F">
              <w:t xml:space="preserve">. </w:t>
            </w:r>
            <w:r w:rsidR="00315486" w:rsidRPr="00D6364F">
              <w:t>The me</w:t>
            </w:r>
            <w:r w:rsidR="007F6BE1">
              <w:t>di</w:t>
            </w:r>
            <w:r w:rsidR="00315486" w:rsidRPr="00D6364F">
              <w:t xml:space="preserve">an survival during the follow up period was </w:t>
            </w:r>
            <w:r w:rsidR="007F6BE1">
              <w:t>24</w:t>
            </w:r>
            <w:r w:rsidR="007F6BE1" w:rsidRPr="00D6364F">
              <w:t xml:space="preserve"> </w:t>
            </w:r>
            <w:r w:rsidR="00315486" w:rsidRPr="00D6364F">
              <w:t>months.</w:t>
            </w:r>
            <w:r w:rsidR="009377CA" w:rsidRPr="00D6364F">
              <w:t xml:space="preserve"> </w:t>
            </w:r>
            <w:r w:rsidR="00C64A34" w:rsidRPr="00D6364F">
              <w:t>The low values of PSA remained at the end of follow up period (mean value for PSA: 54).</w:t>
            </w:r>
          </w:p>
          <w:p w:rsidR="00A64374" w:rsidRPr="00D6364F" w:rsidRDefault="004555BB" w:rsidP="00A64374">
            <w:pPr>
              <w:pStyle w:val="Body-synopsis"/>
            </w:pPr>
            <w:r w:rsidRPr="00D6364F">
              <w:t>In the field of quality of life the 1</w:t>
            </w:r>
            <w:r w:rsidRPr="00D6364F">
              <w:rPr>
                <w:vertAlign w:val="superscript"/>
              </w:rPr>
              <w:t>st</w:t>
            </w:r>
            <w:r w:rsidRPr="00D6364F">
              <w:t xml:space="preserve"> month after Erbitux administration the</w:t>
            </w:r>
            <w:r w:rsidRPr="00D6364F">
              <w:rPr>
                <w:bCs/>
              </w:rPr>
              <w:t xml:space="preserve"> EORTC QLQ-C30</w:t>
            </w:r>
            <w:r w:rsidR="0058342A" w:rsidRPr="00D6364F">
              <w:rPr>
                <w:bCs/>
              </w:rPr>
              <w:t xml:space="preserve"> score</w:t>
            </w:r>
            <w:r w:rsidRPr="00D6364F">
              <w:rPr>
                <w:bCs/>
              </w:rPr>
              <w:t xml:space="preserve"> </w:t>
            </w:r>
            <w:r w:rsidR="00EA4034">
              <w:rPr>
                <w:bCs/>
              </w:rPr>
              <w:t>rose</w:t>
            </w:r>
            <w:r w:rsidR="00EA4034" w:rsidRPr="00D6364F">
              <w:rPr>
                <w:bCs/>
              </w:rPr>
              <w:t xml:space="preserve"> </w:t>
            </w:r>
            <w:r w:rsidRPr="00D6364F">
              <w:rPr>
                <w:bCs/>
              </w:rPr>
              <w:t xml:space="preserve">to 69 (from 54 at baseline) but </w:t>
            </w:r>
            <w:r w:rsidR="00EA4034">
              <w:rPr>
                <w:bCs/>
              </w:rPr>
              <w:t xml:space="preserve">in </w:t>
            </w:r>
            <w:r w:rsidRPr="00D6364F">
              <w:rPr>
                <w:bCs/>
              </w:rPr>
              <w:t>the 2</w:t>
            </w:r>
            <w:r w:rsidRPr="00D6364F">
              <w:rPr>
                <w:bCs/>
                <w:vertAlign w:val="superscript"/>
              </w:rPr>
              <w:t>nd</w:t>
            </w:r>
            <w:r w:rsidRPr="00D6364F">
              <w:rPr>
                <w:bCs/>
              </w:rPr>
              <w:t xml:space="preserve"> to 6</w:t>
            </w:r>
            <w:r w:rsidRPr="00D6364F">
              <w:rPr>
                <w:bCs/>
                <w:vertAlign w:val="superscript"/>
              </w:rPr>
              <w:t>th</w:t>
            </w:r>
            <w:r w:rsidRPr="00D6364F">
              <w:rPr>
                <w:bCs/>
              </w:rPr>
              <w:t xml:space="preserve"> month of Erbitux administration </w:t>
            </w:r>
            <w:r w:rsidR="0058342A" w:rsidRPr="00D6364F">
              <w:rPr>
                <w:bCs/>
              </w:rPr>
              <w:t>the score was significantly decreased (50 at 2</w:t>
            </w:r>
            <w:r w:rsidR="0058342A" w:rsidRPr="00D6364F">
              <w:rPr>
                <w:bCs/>
                <w:vertAlign w:val="superscript"/>
              </w:rPr>
              <w:t>nd</w:t>
            </w:r>
            <w:r w:rsidR="0058342A" w:rsidRPr="00D6364F">
              <w:rPr>
                <w:bCs/>
              </w:rPr>
              <w:t xml:space="preserve"> month, 48 at 4</w:t>
            </w:r>
            <w:r w:rsidR="0058342A" w:rsidRPr="00D6364F">
              <w:rPr>
                <w:bCs/>
                <w:vertAlign w:val="superscript"/>
              </w:rPr>
              <w:t>th</w:t>
            </w:r>
            <w:r w:rsidR="0058342A" w:rsidRPr="00D6364F">
              <w:rPr>
                <w:bCs/>
              </w:rPr>
              <w:t xml:space="preserve"> month and 39 at 6</w:t>
            </w:r>
            <w:r w:rsidR="0058342A" w:rsidRPr="00D6364F">
              <w:rPr>
                <w:bCs/>
                <w:vertAlign w:val="superscript"/>
              </w:rPr>
              <w:t>th</w:t>
            </w:r>
            <w:r w:rsidR="0058342A" w:rsidRPr="00D6364F">
              <w:rPr>
                <w:bCs/>
              </w:rPr>
              <w:t xml:space="preserve"> month from Erbitux administration). Due to missing cases it was not possible to calculate the statistical significance of this finding. </w:t>
            </w:r>
          </w:p>
          <w:p w:rsidR="005D1856" w:rsidRDefault="00A64374" w:rsidP="00A64374">
            <w:pPr>
              <w:pStyle w:val="Body-synopsis"/>
            </w:pPr>
            <w:r w:rsidRPr="00114B1E">
              <w:rPr>
                <w:i/>
                <w:u w:val="single"/>
              </w:rPr>
              <w:t>Safety Results:</w:t>
            </w:r>
            <w:r w:rsidRPr="00D6364F">
              <w:rPr>
                <w:u w:val="single"/>
              </w:rPr>
              <w:t xml:space="preserve"> </w:t>
            </w:r>
            <w:r w:rsidR="007A5B87">
              <w:t xml:space="preserve">From the total </w:t>
            </w:r>
            <w:r w:rsidR="00EA4034">
              <w:t xml:space="preserve">study </w:t>
            </w:r>
            <w:r w:rsidR="007A5B87">
              <w:t>cohort, t</w:t>
            </w:r>
            <w:r w:rsidR="005D1856">
              <w:t>hree</w:t>
            </w:r>
            <w:r w:rsidR="007A5B87">
              <w:t xml:space="preserve"> patients discontinued cetuximab therapy. The first one discontinued after the </w:t>
            </w:r>
            <w:r w:rsidR="00A5128A">
              <w:t>second</w:t>
            </w:r>
            <w:r w:rsidR="007A5B87">
              <w:t xml:space="preserve"> </w:t>
            </w:r>
            <w:r w:rsidR="009B336C">
              <w:t>i</w:t>
            </w:r>
            <w:r w:rsidR="005A331C">
              <w:t>nfusion due to high fever with tremor</w:t>
            </w:r>
            <w:r w:rsidR="00B45996">
              <w:t xml:space="preserve"> </w:t>
            </w:r>
            <w:r w:rsidR="00EA4034">
              <w:t xml:space="preserve">during </w:t>
            </w:r>
            <w:r w:rsidR="00B45996">
              <w:t>both infusions</w:t>
            </w:r>
            <w:r w:rsidR="005A331C">
              <w:t xml:space="preserve"> and the second patient due to </w:t>
            </w:r>
            <w:r w:rsidR="005A331C" w:rsidRPr="005A331C">
              <w:t xml:space="preserve">sensory neuropathy </w:t>
            </w:r>
            <w:r w:rsidR="0003316B">
              <w:t xml:space="preserve">2 months after starting the cetuximab. </w:t>
            </w:r>
            <w:r w:rsidR="005D1856">
              <w:t xml:space="preserve">The third one </w:t>
            </w:r>
            <w:r w:rsidR="005968BD">
              <w:t>self-</w:t>
            </w:r>
            <w:r w:rsidR="005968BD" w:rsidRPr="005968BD">
              <w:t xml:space="preserve">discontinued treatment and did not </w:t>
            </w:r>
            <w:r w:rsidR="00EA4034">
              <w:t>attend</w:t>
            </w:r>
            <w:r w:rsidR="005968BD" w:rsidRPr="005968BD">
              <w:t xml:space="preserve"> </w:t>
            </w:r>
            <w:r w:rsidR="005968BD">
              <w:t xml:space="preserve">follow up </w:t>
            </w:r>
            <w:r w:rsidR="005968BD" w:rsidRPr="005968BD">
              <w:t>visits</w:t>
            </w:r>
            <w:r w:rsidR="005968BD">
              <w:t xml:space="preserve">. </w:t>
            </w:r>
          </w:p>
          <w:p w:rsidR="00905D38" w:rsidRDefault="0003316B" w:rsidP="00A64374">
            <w:pPr>
              <w:pStyle w:val="Body-synopsis"/>
            </w:pPr>
            <w:r>
              <w:t xml:space="preserve">The other severe adverse effects which presented </w:t>
            </w:r>
            <w:r w:rsidR="00905D38">
              <w:t>during the therapy and the follow up period were the follows:</w:t>
            </w:r>
          </w:p>
          <w:p w:rsidR="00A47253" w:rsidRDefault="00905D38" w:rsidP="00A47253">
            <w:pPr>
              <w:pStyle w:val="Default"/>
              <w:numPr>
                <w:ilvl w:val="0"/>
                <w:numId w:val="4"/>
              </w:numPr>
              <w:rPr>
                <w:sz w:val="22"/>
                <w:szCs w:val="22"/>
                <w:lang w:val="en-US"/>
              </w:rPr>
            </w:pPr>
            <w:r>
              <w:t>Four patients</w:t>
            </w:r>
            <w:r w:rsidR="0003316B" w:rsidRPr="00905D38">
              <w:t xml:space="preserve"> </w:t>
            </w:r>
            <w:r>
              <w:t xml:space="preserve">experienced fever (one at the first infusion , two at the second infusion </w:t>
            </w:r>
            <w:r>
              <w:lastRenderedPageBreak/>
              <w:t>and one at the fifth infusion of cetuximab).</w:t>
            </w:r>
            <w:r w:rsidR="00A47253">
              <w:t xml:space="preserve"> </w:t>
            </w:r>
            <w:r w:rsidR="00B35AC8">
              <w:rPr>
                <w:lang w:val="en-US"/>
              </w:rPr>
              <w:t>One of these</w:t>
            </w:r>
            <w:r w:rsidR="00A47253" w:rsidRPr="00A47253">
              <w:rPr>
                <w:sz w:val="22"/>
                <w:szCs w:val="22"/>
                <w:lang w:val="en-US"/>
              </w:rPr>
              <w:t xml:space="preserve"> patient</w:t>
            </w:r>
            <w:r w:rsidR="00B35AC8">
              <w:rPr>
                <w:sz w:val="22"/>
                <w:szCs w:val="22"/>
                <w:lang w:val="en-US"/>
              </w:rPr>
              <w:t>s</w:t>
            </w:r>
            <w:r w:rsidR="00A47253" w:rsidRPr="00A47253">
              <w:rPr>
                <w:sz w:val="22"/>
                <w:szCs w:val="22"/>
                <w:lang w:val="en-US"/>
              </w:rPr>
              <w:t xml:space="preserve"> presented </w:t>
            </w:r>
            <w:r w:rsidR="001A4A88">
              <w:rPr>
                <w:sz w:val="22"/>
                <w:szCs w:val="22"/>
                <w:lang w:val="en-US"/>
              </w:rPr>
              <w:t>f</w:t>
            </w:r>
            <w:r w:rsidR="00A47253" w:rsidRPr="00A47253">
              <w:rPr>
                <w:sz w:val="22"/>
                <w:szCs w:val="22"/>
                <w:lang w:val="en-US"/>
              </w:rPr>
              <w:t xml:space="preserve">ever </w:t>
            </w:r>
            <w:r w:rsidR="00B35AC8">
              <w:rPr>
                <w:sz w:val="22"/>
                <w:szCs w:val="22"/>
                <w:lang w:val="en-US"/>
              </w:rPr>
              <w:t xml:space="preserve"> and </w:t>
            </w:r>
            <w:r w:rsidR="001A4A88">
              <w:rPr>
                <w:sz w:val="22"/>
                <w:szCs w:val="22"/>
                <w:lang w:val="en-US"/>
              </w:rPr>
              <w:t>c</w:t>
            </w:r>
            <w:r w:rsidR="00B35AC8">
              <w:rPr>
                <w:sz w:val="22"/>
                <w:szCs w:val="22"/>
                <w:lang w:val="en-US"/>
              </w:rPr>
              <w:t xml:space="preserve">hest </w:t>
            </w:r>
            <w:r w:rsidR="001A4A88">
              <w:rPr>
                <w:sz w:val="22"/>
                <w:szCs w:val="22"/>
                <w:lang w:val="en-US"/>
              </w:rPr>
              <w:t>i</w:t>
            </w:r>
            <w:r w:rsidR="00B35AC8">
              <w:rPr>
                <w:sz w:val="22"/>
                <w:szCs w:val="22"/>
                <w:lang w:val="en-US"/>
              </w:rPr>
              <w:t xml:space="preserve">nfection </w:t>
            </w:r>
            <w:r w:rsidR="00A47253" w:rsidRPr="00A47253">
              <w:rPr>
                <w:sz w:val="22"/>
                <w:szCs w:val="22"/>
                <w:lang w:val="en-US"/>
              </w:rPr>
              <w:t>Grade III</w:t>
            </w:r>
            <w:r w:rsidR="00B35AC8">
              <w:rPr>
                <w:sz w:val="22"/>
                <w:szCs w:val="22"/>
                <w:lang w:val="en-US"/>
              </w:rPr>
              <w:t xml:space="preserve"> which led to hospitalisation for 6 days</w:t>
            </w:r>
            <w:r w:rsidR="00A47253" w:rsidRPr="00A47253">
              <w:rPr>
                <w:sz w:val="22"/>
                <w:szCs w:val="22"/>
                <w:lang w:val="en-US"/>
              </w:rPr>
              <w:t xml:space="preserve">. At the time of the </w:t>
            </w:r>
            <w:r w:rsidR="001A4A88">
              <w:rPr>
                <w:sz w:val="22"/>
                <w:szCs w:val="22"/>
                <w:lang w:val="en-US"/>
              </w:rPr>
              <w:t>e</w:t>
            </w:r>
            <w:r w:rsidR="00A47253" w:rsidRPr="00A47253">
              <w:rPr>
                <w:sz w:val="22"/>
                <w:szCs w:val="22"/>
                <w:lang w:val="en-US"/>
              </w:rPr>
              <w:t>v</w:t>
            </w:r>
            <w:r w:rsidR="001A4A88">
              <w:rPr>
                <w:sz w:val="22"/>
                <w:szCs w:val="22"/>
                <w:lang w:val="en-US"/>
              </w:rPr>
              <w:t>ent</w:t>
            </w:r>
            <w:r w:rsidR="00A47253" w:rsidRPr="00A47253">
              <w:rPr>
                <w:sz w:val="22"/>
                <w:szCs w:val="22"/>
                <w:lang w:val="en-US"/>
              </w:rPr>
              <w:t>, the patient had received 5 cycles of Erbitux</w:t>
            </w:r>
            <w:r w:rsidR="00B35AC8">
              <w:rPr>
                <w:sz w:val="22"/>
                <w:szCs w:val="22"/>
                <w:lang w:val="en-US"/>
              </w:rPr>
              <w:t xml:space="preserve">. </w:t>
            </w:r>
            <w:r w:rsidR="00A47253" w:rsidRPr="00B35AC8">
              <w:rPr>
                <w:sz w:val="22"/>
                <w:szCs w:val="22"/>
                <w:lang w:val="en-US"/>
              </w:rPr>
              <w:t xml:space="preserve">As a result of the </w:t>
            </w:r>
            <w:r w:rsidR="00B35AC8">
              <w:rPr>
                <w:sz w:val="22"/>
                <w:szCs w:val="22"/>
                <w:lang w:val="en-US"/>
              </w:rPr>
              <w:t>e</w:t>
            </w:r>
            <w:r w:rsidR="00A47253" w:rsidRPr="00B35AC8">
              <w:rPr>
                <w:sz w:val="22"/>
                <w:szCs w:val="22"/>
                <w:lang w:val="en-US"/>
              </w:rPr>
              <w:t xml:space="preserve">vents antibiotic i.v. therapy was given for one week. </w:t>
            </w:r>
            <w:r w:rsidRPr="00EA4034">
              <w:rPr>
                <w:sz w:val="22"/>
                <w:lang w:val="en-US"/>
              </w:rPr>
              <w:t>Two patients developed urinary tract infection</w:t>
            </w:r>
            <w:r w:rsidR="00A47253" w:rsidRPr="00EA4034">
              <w:rPr>
                <w:sz w:val="22"/>
                <w:lang w:val="en-US"/>
              </w:rPr>
              <w:t>.</w:t>
            </w:r>
            <w:r w:rsidR="00EA4034">
              <w:rPr>
                <w:sz w:val="22"/>
                <w:lang w:val="en-US"/>
              </w:rPr>
              <w:t xml:space="preserve"> </w:t>
            </w:r>
            <w:r w:rsidR="00B35AC8">
              <w:rPr>
                <w:lang w:val="en-US"/>
              </w:rPr>
              <w:t xml:space="preserve">The first </w:t>
            </w:r>
            <w:r w:rsidR="00A47253" w:rsidRPr="00C23115">
              <w:rPr>
                <w:sz w:val="22"/>
                <w:szCs w:val="22"/>
                <w:lang w:val="en-US"/>
              </w:rPr>
              <w:t xml:space="preserve"> patient had presented </w:t>
            </w:r>
            <w:r w:rsidR="00EA4034">
              <w:rPr>
                <w:sz w:val="22"/>
                <w:szCs w:val="22"/>
                <w:lang w:val="en-US"/>
              </w:rPr>
              <w:t xml:space="preserve">with </w:t>
            </w:r>
            <w:r w:rsidR="00A47253">
              <w:rPr>
                <w:sz w:val="22"/>
                <w:szCs w:val="22"/>
                <w:lang w:val="en-US"/>
              </w:rPr>
              <w:t>u</w:t>
            </w:r>
            <w:r w:rsidR="00A47253" w:rsidRPr="00C23115">
              <w:rPr>
                <w:sz w:val="22"/>
                <w:szCs w:val="22"/>
                <w:lang w:val="en-US"/>
              </w:rPr>
              <w:t xml:space="preserve">rinary </w:t>
            </w:r>
            <w:r w:rsidR="00A47253">
              <w:rPr>
                <w:sz w:val="22"/>
                <w:szCs w:val="22"/>
                <w:lang w:val="en-US"/>
              </w:rPr>
              <w:t>r</w:t>
            </w:r>
            <w:r w:rsidR="00A47253" w:rsidRPr="00C23115">
              <w:rPr>
                <w:sz w:val="22"/>
                <w:szCs w:val="22"/>
                <w:lang w:val="en-US"/>
              </w:rPr>
              <w:t>etention which</w:t>
            </w:r>
            <w:r w:rsidR="00A47253">
              <w:rPr>
                <w:sz w:val="22"/>
                <w:szCs w:val="22"/>
                <w:lang w:val="en-US"/>
              </w:rPr>
              <w:t xml:space="preserve"> led to hospitalisation, where urethral o</w:t>
            </w:r>
            <w:r w:rsidR="00A47253" w:rsidRPr="00C23115">
              <w:rPr>
                <w:sz w:val="22"/>
                <w:szCs w:val="22"/>
                <w:lang w:val="en-US"/>
              </w:rPr>
              <w:t>bstruction was diagnosed</w:t>
            </w:r>
            <w:r w:rsidR="00A47253">
              <w:rPr>
                <w:sz w:val="22"/>
                <w:szCs w:val="22"/>
                <w:lang w:val="en-US"/>
              </w:rPr>
              <w:t xml:space="preserve">, </w:t>
            </w:r>
            <w:r w:rsidR="00A47253" w:rsidRPr="00C23115">
              <w:rPr>
                <w:sz w:val="22"/>
                <w:szCs w:val="22"/>
                <w:lang w:val="en-US"/>
              </w:rPr>
              <w:t>2 months after initiation of therapy</w:t>
            </w:r>
            <w:r w:rsidR="00A75658">
              <w:rPr>
                <w:sz w:val="22"/>
                <w:szCs w:val="22"/>
                <w:lang w:val="en-US"/>
              </w:rPr>
              <w:t xml:space="preserve"> with cetuximab</w:t>
            </w:r>
            <w:r w:rsidR="00A47253" w:rsidRPr="00C23115">
              <w:rPr>
                <w:sz w:val="22"/>
                <w:szCs w:val="22"/>
                <w:lang w:val="en-US"/>
              </w:rPr>
              <w:t xml:space="preserve">. Urethral Obstruction </w:t>
            </w:r>
            <w:r w:rsidR="00550CBD" w:rsidRPr="00C23115">
              <w:rPr>
                <w:sz w:val="22"/>
                <w:szCs w:val="22"/>
                <w:lang w:val="en-US"/>
              </w:rPr>
              <w:t>re</w:t>
            </w:r>
            <w:r w:rsidR="00550CBD">
              <w:rPr>
                <w:sz w:val="22"/>
                <w:szCs w:val="22"/>
                <w:lang w:val="en-US"/>
              </w:rPr>
              <w:t>solved</w:t>
            </w:r>
            <w:r w:rsidR="00550CBD" w:rsidRPr="00C23115">
              <w:rPr>
                <w:sz w:val="22"/>
                <w:szCs w:val="22"/>
                <w:lang w:val="en-US"/>
              </w:rPr>
              <w:t xml:space="preserve"> </w:t>
            </w:r>
            <w:r w:rsidR="00A47253" w:rsidRPr="00C23115">
              <w:rPr>
                <w:sz w:val="22"/>
                <w:szCs w:val="22"/>
                <w:lang w:val="en-US"/>
              </w:rPr>
              <w:t>and the patient was discharged from the hospital.</w:t>
            </w:r>
          </w:p>
          <w:p w:rsidR="00B35AC8" w:rsidRDefault="00B35AC8" w:rsidP="00B35AC8">
            <w:pPr>
              <w:pStyle w:val="Body-synopsis"/>
              <w:ind w:left="418"/>
            </w:pPr>
            <w:r>
              <w:t xml:space="preserve">The second patient was diagnosed with </w:t>
            </w:r>
            <w:r w:rsidR="00DF2E94">
              <w:t>urinary tract infection following a positive urine culture test fo</w:t>
            </w:r>
            <w:r w:rsidR="00892A59">
              <w:t>r</w:t>
            </w:r>
            <w:r w:rsidR="00DF2E94">
              <w:t xml:space="preserve"> enterobacter aerogenes</w:t>
            </w:r>
            <w:r w:rsidR="00723C66">
              <w:t xml:space="preserve"> during his treatment with Docetaxel+cetuximab</w:t>
            </w:r>
            <w:r w:rsidR="00DF2E94">
              <w:t>. The patient was treated initially with Amoxicillin –Clavulanic Acid for 3 days but following antibiogram results</w:t>
            </w:r>
            <w:r w:rsidR="00892A59">
              <w:t>,</w:t>
            </w:r>
            <w:r w:rsidR="00DF2E94">
              <w:t xml:space="preserve"> where enterobacter aerogenes showed resistance to this antibiotic</w:t>
            </w:r>
            <w:r w:rsidR="00892A59">
              <w:t>,</w:t>
            </w:r>
            <w:r w:rsidR="00DF2E94">
              <w:t xml:space="preserve"> the treatment changed and the patient received </w:t>
            </w:r>
            <w:r w:rsidR="002C3C14">
              <w:t xml:space="preserve">ciprofloxacin. One week after antibiotic initiation the patient became febrile, grade II with clinical signs of urinary tract infection. The patient refused hospitalization and 24 hours later the patient developed septic shock and one day later </w:t>
            </w:r>
            <w:r w:rsidR="00F46A47">
              <w:t>he</w:t>
            </w:r>
            <w:r w:rsidR="002C3C14">
              <w:t xml:space="preserve"> died. </w:t>
            </w:r>
          </w:p>
          <w:p w:rsidR="00C742A6" w:rsidRDefault="00C742A6" w:rsidP="00C742A6">
            <w:pPr>
              <w:pStyle w:val="Body-synopsis"/>
              <w:numPr>
                <w:ilvl w:val="0"/>
                <w:numId w:val="4"/>
              </w:numPr>
            </w:pPr>
            <w:r>
              <w:t>One patient presented with acute kidney failure after the 5</w:t>
            </w:r>
            <w:r w:rsidRPr="00B45996">
              <w:rPr>
                <w:vertAlign w:val="superscript"/>
              </w:rPr>
              <w:t>th</w:t>
            </w:r>
            <w:r>
              <w:t xml:space="preserve"> infusion of Erbitux which </w:t>
            </w:r>
            <w:r w:rsidR="007417A5">
              <w:t xml:space="preserve">was </w:t>
            </w:r>
            <w:r>
              <w:t xml:space="preserve">caused, according </w:t>
            </w:r>
            <w:r w:rsidR="007417A5">
              <w:t xml:space="preserve">to </w:t>
            </w:r>
            <w:r>
              <w:t>the cystosc</w:t>
            </w:r>
            <w:r>
              <w:rPr>
                <w:vanish/>
              </w:rPr>
              <w:t>remature awal of cetuximab from Greek market</w:t>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rPr>
                <w:vanish/>
              </w:rPr>
              <w:pgNum/>
            </w:r>
            <w:r>
              <w:t xml:space="preserve">opy, from </w:t>
            </w:r>
            <w:r w:rsidR="005A3E43">
              <w:t>uretral obstruction due to the</w:t>
            </w:r>
            <w:r>
              <w:t xml:space="preserve"> </w:t>
            </w:r>
            <w:r w:rsidRPr="00A5128A">
              <w:t xml:space="preserve">prostate </w:t>
            </w:r>
            <w:r>
              <w:t>tumor. The patient died after 2 weeks of hospitalization in the Nephrology Department.</w:t>
            </w:r>
          </w:p>
          <w:p w:rsidR="00905D38" w:rsidRDefault="00C742A6" w:rsidP="007417A5">
            <w:pPr>
              <w:pStyle w:val="Body-synopsis"/>
              <w:numPr>
                <w:ilvl w:val="0"/>
                <w:numId w:val="4"/>
              </w:numPr>
            </w:pPr>
            <w:r>
              <w:rPr>
                <w:sz w:val="22"/>
                <w:szCs w:val="22"/>
                <w:lang w:eastAsia="el-GR"/>
              </w:rPr>
              <w:t xml:space="preserve">One </w:t>
            </w:r>
            <w:r w:rsidRPr="00AD133F">
              <w:rPr>
                <w:sz w:val="22"/>
                <w:szCs w:val="22"/>
                <w:lang w:eastAsia="el-GR"/>
              </w:rPr>
              <w:t xml:space="preserve">patient presented </w:t>
            </w:r>
            <w:r>
              <w:rPr>
                <w:sz w:val="22"/>
                <w:szCs w:val="22"/>
                <w:lang w:eastAsia="el-GR"/>
              </w:rPr>
              <w:t xml:space="preserve">with </w:t>
            </w:r>
            <w:r w:rsidRPr="00AD133F">
              <w:rPr>
                <w:sz w:val="22"/>
                <w:szCs w:val="22"/>
                <w:lang w:eastAsia="el-GR"/>
              </w:rPr>
              <w:t>Acute Respiratory Distress</w:t>
            </w:r>
            <w:r>
              <w:rPr>
                <w:sz w:val="22"/>
                <w:szCs w:val="22"/>
                <w:lang w:eastAsia="el-GR"/>
              </w:rPr>
              <w:t xml:space="preserve"> u</w:t>
            </w:r>
            <w:r w:rsidRPr="00AD133F">
              <w:rPr>
                <w:sz w:val="22"/>
                <w:szCs w:val="22"/>
                <w:lang w:eastAsia="el-GR"/>
              </w:rPr>
              <w:t>pon having a meal</w:t>
            </w:r>
            <w:r>
              <w:rPr>
                <w:sz w:val="22"/>
                <w:szCs w:val="22"/>
                <w:lang w:eastAsia="el-GR"/>
              </w:rPr>
              <w:t xml:space="preserve"> 2 months after initiation of therapy</w:t>
            </w:r>
            <w:r w:rsidRPr="00AD133F">
              <w:rPr>
                <w:sz w:val="22"/>
                <w:szCs w:val="22"/>
                <w:lang w:eastAsia="el-GR"/>
              </w:rPr>
              <w:t xml:space="preserve">. His condition deteriorated rapidly and the patient died from </w:t>
            </w:r>
            <w:r w:rsidR="00CD5486">
              <w:rPr>
                <w:sz w:val="22"/>
                <w:szCs w:val="22"/>
                <w:lang w:eastAsia="el-GR"/>
              </w:rPr>
              <w:t xml:space="preserve">a </w:t>
            </w:r>
            <w:r w:rsidRPr="00AD133F">
              <w:rPr>
                <w:sz w:val="22"/>
                <w:szCs w:val="22"/>
                <w:lang w:eastAsia="el-GR"/>
              </w:rPr>
              <w:t>nonmedically</w:t>
            </w:r>
            <w:r>
              <w:rPr>
                <w:sz w:val="22"/>
                <w:szCs w:val="22"/>
                <w:lang w:eastAsia="el-GR"/>
              </w:rPr>
              <w:t xml:space="preserve"> </w:t>
            </w:r>
            <w:r w:rsidRPr="00AD133F">
              <w:rPr>
                <w:sz w:val="22"/>
                <w:szCs w:val="22"/>
                <w:lang w:eastAsia="el-GR"/>
              </w:rPr>
              <w:t xml:space="preserve">confirmed cause of death </w:t>
            </w:r>
            <w:r>
              <w:rPr>
                <w:sz w:val="22"/>
                <w:szCs w:val="22"/>
                <w:lang w:eastAsia="el-GR"/>
              </w:rPr>
              <w:t>(p</w:t>
            </w:r>
            <w:r w:rsidRPr="00AD133F">
              <w:rPr>
                <w:sz w:val="22"/>
                <w:szCs w:val="22"/>
                <w:lang w:eastAsia="el-GR"/>
              </w:rPr>
              <w:t xml:space="preserve">ossible cause of death: </w:t>
            </w:r>
            <w:r>
              <w:rPr>
                <w:sz w:val="22"/>
                <w:szCs w:val="22"/>
                <w:lang w:eastAsia="el-GR"/>
              </w:rPr>
              <w:t>a</w:t>
            </w:r>
            <w:r w:rsidRPr="00AD133F">
              <w:rPr>
                <w:sz w:val="22"/>
                <w:szCs w:val="22"/>
                <w:lang w:eastAsia="el-GR"/>
              </w:rPr>
              <w:t>spiration</w:t>
            </w:r>
            <w:r>
              <w:rPr>
                <w:sz w:val="22"/>
                <w:szCs w:val="22"/>
                <w:lang w:eastAsia="el-GR"/>
              </w:rPr>
              <w:t xml:space="preserve"> </w:t>
            </w:r>
            <w:r w:rsidRPr="00AD133F">
              <w:rPr>
                <w:sz w:val="22"/>
                <w:szCs w:val="22"/>
                <w:lang w:eastAsia="el-GR"/>
              </w:rPr>
              <w:t>of ingested food</w:t>
            </w:r>
            <w:r>
              <w:rPr>
                <w:sz w:val="22"/>
                <w:szCs w:val="22"/>
                <w:lang w:eastAsia="el-GR"/>
              </w:rPr>
              <w:t>)</w:t>
            </w:r>
            <w:r w:rsidRPr="00AD133F">
              <w:rPr>
                <w:sz w:val="22"/>
                <w:szCs w:val="22"/>
                <w:lang w:eastAsia="el-GR"/>
              </w:rPr>
              <w:t>. Autopsy or lab tests were not performed</w:t>
            </w:r>
            <w:r w:rsidR="00B35AC8">
              <w:t xml:space="preserve">  </w:t>
            </w:r>
          </w:p>
          <w:p w:rsidR="005D1856" w:rsidRDefault="00472540" w:rsidP="00905D38">
            <w:pPr>
              <w:pStyle w:val="Body-synopsis"/>
              <w:numPr>
                <w:ilvl w:val="0"/>
                <w:numId w:val="4"/>
              </w:numPr>
            </w:pPr>
            <w:r>
              <w:t xml:space="preserve">Seven patients experienced transient rash but one experienced progressively worsening widespread </w:t>
            </w:r>
            <w:r w:rsidR="00025C56">
              <w:t xml:space="preserve">rash </w:t>
            </w:r>
            <w:r w:rsidR="005D1856" w:rsidRPr="005D1856">
              <w:t xml:space="preserve">which required hospitalization in </w:t>
            </w:r>
            <w:r w:rsidR="00CD5486">
              <w:t xml:space="preserve">a </w:t>
            </w:r>
            <w:r w:rsidR="005D1856" w:rsidRPr="005D1856">
              <w:t>Dermatology Clinic</w:t>
            </w:r>
            <w:r w:rsidR="005D1856">
              <w:t xml:space="preserve"> and </w:t>
            </w:r>
            <w:r w:rsidR="00CD5486">
              <w:t xml:space="preserve">delay </w:t>
            </w:r>
            <w:r w:rsidR="005D1856">
              <w:t>of cetuximab and docetaxel for 2 doses.</w:t>
            </w:r>
          </w:p>
          <w:p w:rsidR="00472540" w:rsidRDefault="005D1856" w:rsidP="00905D38">
            <w:pPr>
              <w:pStyle w:val="Body-synopsis"/>
              <w:numPr>
                <w:ilvl w:val="0"/>
                <w:numId w:val="4"/>
              </w:numPr>
            </w:pPr>
            <w:r w:rsidRPr="005D1856">
              <w:t xml:space="preserve"> </w:t>
            </w:r>
            <w:r w:rsidR="00025C56">
              <w:t>Two patients experienced transient loss of consciousness. In the first of them</w:t>
            </w:r>
            <w:r w:rsidR="00761FEA">
              <w:t xml:space="preserve"> hydrocephalus</w:t>
            </w:r>
            <w:r w:rsidR="00025C56">
              <w:t xml:space="preserve"> was diagnosed from the </w:t>
            </w:r>
            <w:r w:rsidR="00761FEA">
              <w:t>brain</w:t>
            </w:r>
            <w:r w:rsidR="00025C56">
              <w:t xml:space="preserve"> CT, and </w:t>
            </w:r>
            <w:r w:rsidR="00CD5486">
              <w:t xml:space="preserve">the patient </w:t>
            </w:r>
            <w:r w:rsidR="00025C56">
              <w:t xml:space="preserve">was hospitalized in the Neurosurgery Department without discontinuation of therapy. The other one suffered from sinus node dysfunction and </w:t>
            </w:r>
            <w:r w:rsidR="008901DB">
              <w:t xml:space="preserve">a </w:t>
            </w:r>
            <w:r w:rsidR="00025C56">
              <w:t>permanent pacemaker was implanted.</w:t>
            </w:r>
          </w:p>
          <w:p w:rsidR="00AD133F" w:rsidRPr="00AD133F" w:rsidRDefault="00AD133F" w:rsidP="008C633C">
            <w:pPr>
              <w:autoSpaceDE w:val="0"/>
              <w:autoSpaceDN w:val="0"/>
              <w:adjustRightInd w:val="0"/>
              <w:ind w:left="58"/>
              <w:jc w:val="left"/>
              <w:rPr>
                <w:sz w:val="22"/>
                <w:szCs w:val="22"/>
                <w:lang w:eastAsia="el-GR"/>
              </w:rPr>
            </w:pPr>
          </w:p>
          <w:p w:rsidR="00B414CC" w:rsidRDefault="00A64374" w:rsidP="008C633C">
            <w:pPr>
              <w:pStyle w:val="Body-synopsis"/>
              <w:ind w:left="0"/>
            </w:pPr>
            <w:r w:rsidRPr="00114B1E">
              <w:rPr>
                <w:i/>
                <w:u w:val="single"/>
              </w:rPr>
              <w:t>Conclusions:</w:t>
            </w:r>
            <w:r w:rsidRPr="00D6364F">
              <w:rPr>
                <w:u w:val="single"/>
              </w:rPr>
              <w:t xml:space="preserve"> </w:t>
            </w:r>
            <w:r w:rsidR="00AB7B0A">
              <w:t xml:space="preserve">The number of patients included </w:t>
            </w:r>
            <w:r w:rsidR="007417A5">
              <w:t xml:space="preserve">in </w:t>
            </w:r>
            <w:r w:rsidR="00AB7B0A">
              <w:t xml:space="preserve">the study was small due to the premature discontinuation of </w:t>
            </w:r>
            <w:r w:rsidR="00CD5486">
              <w:t xml:space="preserve">the study. </w:t>
            </w:r>
            <w:r w:rsidR="0062291C">
              <w:t>At the end of follow up</w:t>
            </w:r>
            <w:r w:rsidR="00CD5486">
              <w:t>,</w:t>
            </w:r>
            <w:r w:rsidR="0062291C">
              <w:t xml:space="preserve"> 50% of </w:t>
            </w:r>
            <w:r w:rsidR="00CD5486">
              <w:t xml:space="preserve">the </w:t>
            </w:r>
            <w:r w:rsidR="0062291C">
              <w:t>patients were alive after treatment with cetuximab and doc</w:t>
            </w:r>
            <w:r w:rsidR="00761FEA">
              <w:t>e</w:t>
            </w:r>
            <w:r w:rsidR="0062291C">
              <w:t>taxel. The me</w:t>
            </w:r>
            <w:r w:rsidR="007F6BE1">
              <w:t>di</w:t>
            </w:r>
            <w:r w:rsidR="0062291C">
              <w:t xml:space="preserve">an survival </w:t>
            </w:r>
            <w:r w:rsidR="007F6BE1">
              <w:t>has been</w:t>
            </w:r>
            <w:r w:rsidR="0062291C">
              <w:t xml:space="preserve"> </w:t>
            </w:r>
            <w:r w:rsidR="007F6BE1">
              <w:t>24</w:t>
            </w:r>
            <w:r w:rsidR="0062291C">
              <w:t xml:space="preserve"> months</w:t>
            </w:r>
            <w:r w:rsidR="007F6BE1">
              <w:t>, which is well within the expected survival for this group</w:t>
            </w:r>
            <w:r w:rsidR="0062291C">
              <w:t xml:space="preserve">. The </w:t>
            </w:r>
            <w:r w:rsidR="001F26FB">
              <w:t xml:space="preserve">administration of cetuximab as monotherapy did not </w:t>
            </w:r>
            <w:r w:rsidR="00AB7B0A">
              <w:t>reduce the level of</w:t>
            </w:r>
            <w:r w:rsidR="00B414CC">
              <w:t xml:space="preserve"> PSA, but the combination therapy with doc</w:t>
            </w:r>
            <w:r w:rsidR="00761FEA">
              <w:t>e</w:t>
            </w:r>
            <w:r w:rsidR="00B414CC">
              <w:t xml:space="preserve">taxel and cetuximab </w:t>
            </w:r>
            <w:r w:rsidR="00CD5486">
              <w:t xml:space="preserve">significantly </w:t>
            </w:r>
            <w:r w:rsidR="00B414CC">
              <w:t>reduce</w:t>
            </w:r>
            <w:r w:rsidR="00761FEA">
              <w:t>d</w:t>
            </w:r>
            <w:r w:rsidR="00B414CC">
              <w:t xml:space="preserve"> the level of PSA and this reduction remained at the end of follow up period. </w:t>
            </w:r>
          </w:p>
          <w:p w:rsidR="008E460B" w:rsidRDefault="00B414CC" w:rsidP="00A64374">
            <w:pPr>
              <w:pStyle w:val="Body-synopsis"/>
            </w:pPr>
            <w:r>
              <w:t>The drug was relative well tolerated, as two patients (12.</w:t>
            </w:r>
            <w:r w:rsidR="004633F1">
              <w:t>5%)</w:t>
            </w:r>
            <w:r w:rsidR="008E460B">
              <w:t xml:space="preserve"> discontinued the drug due to adverse effects and one presented with acute renal failure. </w:t>
            </w:r>
            <w:r w:rsidR="00761FEA">
              <w:t xml:space="preserve">Conclusive results regarding </w:t>
            </w:r>
            <w:r w:rsidR="00761FEA">
              <w:lastRenderedPageBreak/>
              <w:t>the correlation of</w:t>
            </w:r>
            <w:r w:rsidR="008E460B">
              <w:t xml:space="preserve"> PTEN expression with the PSA response </w:t>
            </w:r>
            <w:r w:rsidR="00761FEA">
              <w:t>are not yet available</w:t>
            </w:r>
            <w:r w:rsidR="008E460B">
              <w:t>.</w:t>
            </w:r>
          </w:p>
          <w:p w:rsidR="00A64374" w:rsidRPr="0062291C" w:rsidRDefault="008E460B" w:rsidP="00A64374">
            <w:pPr>
              <w:pStyle w:val="Body-synopsis"/>
            </w:pPr>
            <w:r>
              <w:t xml:space="preserve">In conclusion this study (which was prematurely terminated) does not support the hypothesis that  </w:t>
            </w:r>
            <w:r w:rsidR="00846237">
              <w:t xml:space="preserve">PTEN expression  </w:t>
            </w:r>
            <w:r w:rsidR="00846237" w:rsidRPr="00D6364F">
              <w:rPr>
                <w:bCs/>
              </w:rPr>
              <w:t xml:space="preserve">in biopsies from primary tumor and metastases </w:t>
            </w:r>
            <w:r w:rsidR="008A3AFF">
              <w:rPr>
                <w:bCs/>
              </w:rPr>
              <w:t xml:space="preserve">are </w:t>
            </w:r>
            <w:r w:rsidR="00846237">
              <w:rPr>
                <w:bCs/>
              </w:rPr>
              <w:t xml:space="preserve">correlated </w:t>
            </w:r>
            <w:r w:rsidR="00846237" w:rsidRPr="00D6364F">
              <w:rPr>
                <w:bCs/>
              </w:rPr>
              <w:t>with PSA response</w:t>
            </w:r>
            <w:r w:rsidR="00846237">
              <w:rPr>
                <w:bCs/>
              </w:rPr>
              <w:t>.</w:t>
            </w:r>
            <w:r w:rsidR="00B414CC">
              <w:t xml:space="preserve">  </w:t>
            </w:r>
            <w:r w:rsidR="00AB7B0A">
              <w:t xml:space="preserve"> </w:t>
            </w:r>
          </w:p>
          <w:p w:rsidR="00A64374" w:rsidRPr="00D6364F" w:rsidRDefault="00A64374" w:rsidP="00A64374">
            <w:pPr>
              <w:pStyle w:val="Body-synopsis"/>
            </w:pPr>
          </w:p>
        </w:tc>
      </w:tr>
      <w:tr w:rsidR="00A64374" w:rsidRPr="00D6364F" w:rsidTr="00B414CC">
        <w:trPr>
          <w:trHeight w:val="20"/>
        </w:trPr>
        <w:tc>
          <w:tcPr>
            <w:tcW w:w="8818" w:type="dxa"/>
            <w:gridSpan w:val="2"/>
          </w:tcPr>
          <w:p w:rsidR="00A64374" w:rsidRPr="00D6364F" w:rsidRDefault="00A64374" w:rsidP="007417A5">
            <w:pPr>
              <w:pStyle w:val="Body-synopsis"/>
              <w:rPr>
                <w:b/>
              </w:rPr>
            </w:pPr>
            <w:r w:rsidRPr="00D6364F">
              <w:rPr>
                <w:b/>
              </w:rPr>
              <w:lastRenderedPageBreak/>
              <w:t xml:space="preserve">Date of Report / Version No.: </w:t>
            </w:r>
            <w:r w:rsidR="007417A5">
              <w:rPr>
                <w:b/>
              </w:rPr>
              <w:t>23</w:t>
            </w:r>
            <w:r w:rsidR="0062291C">
              <w:rPr>
                <w:b/>
              </w:rPr>
              <w:t>/</w:t>
            </w:r>
            <w:r w:rsidR="007417A5">
              <w:rPr>
                <w:b/>
              </w:rPr>
              <w:t>7</w:t>
            </w:r>
            <w:r w:rsidR="0062291C">
              <w:rPr>
                <w:b/>
              </w:rPr>
              <w:t>/2013 –Version</w:t>
            </w:r>
            <w:r w:rsidR="00B169CC">
              <w:rPr>
                <w:b/>
              </w:rPr>
              <w:t xml:space="preserve"> 1.</w:t>
            </w:r>
            <w:r w:rsidR="007417A5">
              <w:rPr>
                <w:b/>
              </w:rPr>
              <w:t>0 Final</w:t>
            </w:r>
          </w:p>
        </w:tc>
      </w:tr>
    </w:tbl>
    <w:p w:rsidR="00A64374" w:rsidRPr="00D6364F" w:rsidRDefault="00A64374"/>
    <w:sectPr w:rsidR="00A64374" w:rsidRPr="00D6364F" w:rsidSect="00A64374">
      <w:footerReference w:type="default" r:id="rId8"/>
      <w:pgSz w:w="12240" w:h="15840" w:code="1"/>
      <w:pgMar w:top="1555" w:right="1584" w:bottom="1411" w:left="1872" w:header="850" w:footer="7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2414" w:rsidRDefault="00162414">
      <w:r>
        <w:separator/>
      </w:r>
    </w:p>
  </w:endnote>
  <w:endnote w:type="continuationSeparator" w:id="0">
    <w:p w:rsidR="00162414" w:rsidRDefault="00162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0002AFF" w:usb1="C000247B" w:usb2="00000009" w:usb3="00000000" w:csb0="000001FF" w:csb1="00000000"/>
  </w:font>
  <w:font w:name="Calibri">
    <w:panose1 w:val="020F0502020204030204"/>
    <w:charset w:val="A1"/>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5990" w:rsidRPr="00CB54B0" w:rsidRDefault="00F05990" w:rsidP="007D6425">
    <w:pPr>
      <w:pStyle w:val="Footer"/>
      <w:rPr>
        <w:lang w:val="en-GB"/>
      </w:rPr>
    </w:pPr>
    <w:r>
      <w:rPr>
        <w:lang w:val="en-GB"/>
      </w:rPr>
      <w:t>Study No.</w:t>
    </w:r>
    <w:r w:rsidRPr="00CB54B0">
      <w:rPr>
        <w:lang w:val="en-GB"/>
      </w:rPr>
      <w:t xml:space="preserve"> </w:t>
    </w:r>
    <w:r w:rsidRPr="002823E4">
      <w:t>EMR062202_761</w:t>
    </w:r>
    <w:r w:rsidRPr="00CB54B0">
      <w:rPr>
        <w:lang w:val="en-GB"/>
      </w:rPr>
      <w:tab/>
      <w:t xml:space="preserve">Version </w:t>
    </w:r>
    <w:r>
      <w:rPr>
        <w:lang w:val="en-GB"/>
      </w:rPr>
      <w:t>1.</w:t>
    </w:r>
    <w:r w:rsidR="007417A5">
      <w:rPr>
        <w:lang w:val="en-GB"/>
      </w:rPr>
      <w:t>0</w:t>
    </w:r>
    <w:r>
      <w:rPr>
        <w:lang w:val="en-GB"/>
      </w:rPr>
      <w:tab/>
      <w:t xml:space="preserve">page </w:t>
    </w:r>
    <w:r w:rsidR="0019272A" w:rsidRPr="0019272A">
      <w:rPr>
        <w:lang w:val="en-GB"/>
      </w:rPr>
      <w:fldChar w:fldCharType="begin"/>
    </w:r>
    <w:r w:rsidR="0019272A" w:rsidRPr="0019272A">
      <w:rPr>
        <w:lang w:val="en-GB"/>
      </w:rPr>
      <w:instrText xml:space="preserve"> PAGE   \* MERGEFORMAT </w:instrText>
    </w:r>
    <w:r w:rsidR="0019272A" w:rsidRPr="0019272A">
      <w:rPr>
        <w:lang w:val="en-GB"/>
      </w:rPr>
      <w:fldChar w:fldCharType="separate"/>
    </w:r>
    <w:r w:rsidR="00AA5D9C">
      <w:rPr>
        <w:noProof/>
        <w:lang w:val="en-GB"/>
      </w:rPr>
      <w:t>1</w:t>
    </w:r>
    <w:r w:rsidR="0019272A" w:rsidRPr="0019272A">
      <w:rPr>
        <w:lang w:val="en-GB"/>
      </w:rPr>
      <w:fldChar w:fldCharType="end"/>
    </w:r>
    <w:r>
      <w:rPr>
        <w:lang w:val="en-GB"/>
      </w:rPr>
      <w:t xml:space="preserve"> </w:t>
    </w:r>
    <w:r w:rsidRPr="00CB54B0">
      <w:rPr>
        <w:lang w:val="en-GB"/>
      </w:rPr>
      <w:t>of</w:t>
    </w:r>
    <w:r>
      <w:rPr>
        <w:lang w:val="en-GB"/>
      </w:rPr>
      <w:t xml:space="preserve"> </w:t>
    </w:r>
    <w:r w:rsidR="0019272A">
      <w:rPr>
        <w:lang w:val="en-GB"/>
      </w:rPr>
      <w:t>7</w:t>
    </w:r>
  </w:p>
  <w:p w:rsidR="00F05990" w:rsidRDefault="00F05990" w:rsidP="007D6425">
    <w:pPr>
      <w:pStyle w:val="BodyText"/>
      <w:rPr>
        <w:rFonts w:ascii="Times New Roman" w:hAnsi="Times New Roman" w:cs="Times New Roman"/>
        <w:bCs/>
        <w:lang w:val="pt-BR"/>
      </w:rPr>
    </w:pPr>
    <w:r>
      <w:rPr>
        <w:lang w:val="en-GB"/>
      </w:rPr>
      <w:t xml:space="preserve">Sponsor: </w:t>
    </w:r>
    <w:r>
      <w:rPr>
        <w:rFonts w:ascii="Times New Roman" w:hAnsi="Times New Roman" w:cs="Times New Roman"/>
        <w:bCs/>
        <w:lang w:val="pt-BR"/>
      </w:rPr>
      <w:t>Meletios A. Dimopoulos</w:t>
    </w:r>
  </w:p>
  <w:p w:rsidR="00F05990" w:rsidRDefault="00F05990" w:rsidP="007D6425">
    <w:pPr>
      <w:pStyle w:val="BodyText"/>
      <w:rPr>
        <w:rFonts w:ascii="Times New Roman" w:hAnsi="Times New Roman" w:cs="Times New Roman"/>
        <w:bCs/>
        <w:lang w:val="pt-BR"/>
      </w:rPr>
    </w:pPr>
    <w:r>
      <w:rPr>
        <w:rFonts w:ascii="Times New Roman" w:hAnsi="Times New Roman" w:cs="Times New Roman"/>
        <w:bCs/>
        <w:lang w:val="pt-BR"/>
      </w:rPr>
      <w:t xml:space="preserve">Professor in Clinical Therapeutics </w:t>
    </w:r>
  </w:p>
  <w:p w:rsidR="00F05990" w:rsidRPr="00291E4F" w:rsidRDefault="00F05990" w:rsidP="007D6425">
    <w:pPr>
      <w:pStyle w:val="Footer"/>
      <w:rPr>
        <w:lang w:val="en-GB"/>
      </w:rPr>
    </w:pPr>
    <w:smartTag w:uri="urn:schemas-microsoft-com:office:smarttags" w:element="place">
      <w:smartTag w:uri="urn:schemas-microsoft-com:office:smarttags" w:element="PlaceType">
        <w:r>
          <w:rPr>
            <w:bCs/>
          </w:rPr>
          <w:t>University</w:t>
        </w:r>
      </w:smartTag>
      <w:r>
        <w:rPr>
          <w:bCs/>
        </w:rPr>
        <w:t xml:space="preserve"> of </w:t>
      </w:r>
      <w:smartTag w:uri="urn:schemas-microsoft-com:office:smarttags" w:element="PlaceName">
        <w:r>
          <w:rPr>
            <w:bCs/>
          </w:rPr>
          <w:t>Athens</w:t>
        </w:r>
      </w:smartTag>
    </w:smartTag>
    <w:r>
      <w:rPr>
        <w:lang w:val="en-GB"/>
      </w:rPr>
      <w:t xml:space="preserve"> </w:t>
    </w:r>
    <w:r>
      <w:rPr>
        <w:lang w:val="en-GB"/>
      </w:rPr>
      <w:tab/>
      <w:t xml:space="preserve">Date </w:t>
    </w:r>
    <w:r w:rsidR="007417A5">
      <w:rPr>
        <w:lang w:val="en-GB"/>
      </w:rPr>
      <w:t>23</w:t>
    </w:r>
    <w:r>
      <w:rPr>
        <w:lang w:val="en-GB"/>
      </w:rPr>
      <w:t>.</w:t>
    </w:r>
    <w:r w:rsidR="007417A5">
      <w:rPr>
        <w:lang w:val="en-GB"/>
      </w:rPr>
      <w:t>7</w:t>
    </w:r>
    <w:r>
      <w:rPr>
        <w:lang w:val="en-GB"/>
      </w:rPr>
      <w:t>.2013</w:t>
    </w:r>
  </w:p>
  <w:p w:rsidR="00F05990" w:rsidRPr="007D6425" w:rsidRDefault="00F05990" w:rsidP="007D64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2414" w:rsidRDefault="00162414">
      <w:r>
        <w:separator/>
      </w:r>
    </w:p>
  </w:footnote>
  <w:footnote w:type="continuationSeparator" w:id="0">
    <w:p w:rsidR="00162414" w:rsidRDefault="001624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B6D5F"/>
    <w:multiLevelType w:val="multilevel"/>
    <w:tmpl w:val="14D0C10A"/>
    <w:lvl w:ilvl="0">
      <w:start w:val="1"/>
      <w:numFmt w:val="decimal"/>
      <w:lvlText w:val="%1"/>
      <w:lvlJc w:val="left"/>
      <w:pPr>
        <w:tabs>
          <w:tab w:val="num" w:pos="1080"/>
        </w:tabs>
        <w:ind w:left="1080" w:hanging="1080"/>
      </w:pPr>
      <w:rPr>
        <w:rFonts w:ascii="Times New Roman" w:hAnsi="Times New Roman" w:hint="default"/>
        <w:b/>
        <w:i w:val="0"/>
        <w:sz w:val="28"/>
      </w:rPr>
    </w:lvl>
    <w:lvl w:ilvl="1">
      <w:start w:val="1"/>
      <w:numFmt w:val="decimal"/>
      <w:lvlText w:val="%1.%2"/>
      <w:lvlJc w:val="left"/>
      <w:pPr>
        <w:tabs>
          <w:tab w:val="num" w:pos="1134"/>
        </w:tabs>
        <w:ind w:left="1134" w:hanging="1134"/>
      </w:pPr>
      <w:rPr>
        <w:rFonts w:ascii="Times New Roman" w:hAnsi="Times New Roman" w:hint="default"/>
        <w:b/>
        <w:i w:val="0"/>
        <w:sz w:val="24"/>
      </w:rPr>
    </w:lvl>
    <w:lvl w:ilvl="2">
      <w:start w:val="1"/>
      <w:numFmt w:val="decimal"/>
      <w:lvlText w:val="%1.%2.%3"/>
      <w:lvlJc w:val="left"/>
      <w:pPr>
        <w:tabs>
          <w:tab w:val="num" w:pos="1134"/>
        </w:tabs>
        <w:ind w:left="1134" w:hanging="1134"/>
      </w:pPr>
      <w:rPr>
        <w:rFonts w:ascii="Times New Roman" w:hAnsi="Times New Roman" w:hint="default"/>
        <w:b/>
        <w:i w:val="0"/>
        <w:caps w:val="0"/>
        <w:strike w:val="0"/>
        <w:dstrike w:val="0"/>
        <w:vanish w:val="0"/>
        <w:sz w:val="24"/>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1.%2.%3.%4"/>
      <w:lvlJc w:val="left"/>
      <w:pPr>
        <w:tabs>
          <w:tab w:val="num" w:pos="1134"/>
        </w:tabs>
        <w:ind w:left="1134" w:hanging="1134"/>
      </w:pPr>
      <w:rPr>
        <w:rFonts w:ascii="Times New Roman" w:hAnsi="Times New Roman" w:hint="default"/>
        <w:b/>
        <w:i/>
        <w:sz w:val="24"/>
      </w:rPr>
    </w:lvl>
    <w:lvl w:ilvl="4">
      <w:start w:val="1"/>
      <w:numFmt w:val="decimal"/>
      <w:lvlText w:val="%1.%2.%3.%4.%5"/>
      <w:lvlJc w:val="left"/>
      <w:pPr>
        <w:tabs>
          <w:tab w:val="num" w:pos="1134"/>
        </w:tabs>
        <w:ind w:left="1134" w:hanging="1134"/>
      </w:pPr>
      <w:rPr>
        <w:rFonts w:ascii="Times New Roman" w:hAnsi="Times New Roman" w:hint="default"/>
        <w:b w:val="0"/>
        <w:i/>
        <w:sz w:val="24"/>
      </w:rPr>
    </w:lvl>
    <w:lvl w:ilvl="5">
      <w:start w:val="1"/>
      <w:numFmt w:val="decimal"/>
      <w:lvlText w:val="%1.%2.%3.%4.%5.%6"/>
      <w:lvlJc w:val="left"/>
      <w:pPr>
        <w:tabs>
          <w:tab w:val="num" w:pos="1134"/>
        </w:tabs>
        <w:ind w:left="1134" w:hanging="1134"/>
      </w:pPr>
      <w:rPr>
        <w:rFonts w:ascii="Arial" w:hAnsi="Arial" w:hint="default"/>
        <w:b w:val="0"/>
        <w:i/>
        <w:sz w:val="20"/>
      </w:rPr>
    </w:lvl>
    <w:lvl w:ilvl="6">
      <w:start w:val="1"/>
      <w:numFmt w:val="decimal"/>
      <w:lvlText w:val="%1.%2.%3.%4.%5.%6.%7"/>
      <w:lvlJc w:val="left"/>
      <w:pPr>
        <w:tabs>
          <w:tab w:val="num" w:pos="1134"/>
        </w:tabs>
        <w:ind w:left="1134" w:hanging="1134"/>
      </w:pPr>
      <w:rPr>
        <w:rFonts w:ascii="Arial" w:hAnsi="Arial" w:hint="default"/>
        <w:b w:val="0"/>
        <w:i w:val="0"/>
        <w:sz w:val="20"/>
      </w:rPr>
    </w:lvl>
    <w:lvl w:ilvl="7">
      <w:start w:val="1"/>
      <w:numFmt w:val="decimal"/>
      <w:lvlText w:val="%1.%2.%3.%4.%5.%6.%7.%8"/>
      <w:lvlJc w:val="left"/>
      <w:pPr>
        <w:tabs>
          <w:tab w:val="num" w:pos="1800"/>
        </w:tabs>
        <w:ind w:left="1134" w:hanging="1134"/>
      </w:pPr>
      <w:rPr>
        <w:rFonts w:hint="default"/>
      </w:rPr>
    </w:lvl>
    <w:lvl w:ilvl="8">
      <w:start w:val="1"/>
      <w:numFmt w:val="decimal"/>
      <w:lvlText w:val="%1.%2.%3.%4.%5.%6.%7.%8.%9"/>
      <w:lvlJc w:val="left"/>
      <w:pPr>
        <w:tabs>
          <w:tab w:val="num" w:pos="1800"/>
        </w:tabs>
        <w:ind w:left="1134" w:hanging="1134"/>
      </w:pPr>
      <w:rPr>
        <w:rFonts w:ascii="Arial" w:hAnsi="Arial" w:hint="default"/>
        <w:b w:val="0"/>
        <w:i w:val="0"/>
        <w:sz w:val="20"/>
      </w:rPr>
    </w:lvl>
  </w:abstractNum>
  <w:abstractNum w:abstractNumId="1" w15:restartNumberingAfterBreak="0">
    <w:nsid w:val="10F244B9"/>
    <w:multiLevelType w:val="hybridMultilevel"/>
    <w:tmpl w:val="53AC814A"/>
    <w:lvl w:ilvl="0" w:tplc="A70CEAA0">
      <w:numFmt w:val="bullet"/>
      <w:lvlText w:val="-"/>
      <w:lvlJc w:val="left"/>
      <w:pPr>
        <w:ind w:left="418" w:hanging="360"/>
      </w:pPr>
      <w:rPr>
        <w:rFonts w:ascii="Times New Roman" w:eastAsia="Times New Roman" w:hAnsi="Times New Roman" w:cs="Times New Roman" w:hint="default"/>
        <w:u w:val="single"/>
      </w:rPr>
    </w:lvl>
    <w:lvl w:ilvl="1" w:tplc="04080003" w:tentative="1">
      <w:start w:val="1"/>
      <w:numFmt w:val="bullet"/>
      <w:lvlText w:val="o"/>
      <w:lvlJc w:val="left"/>
      <w:pPr>
        <w:ind w:left="1138" w:hanging="360"/>
      </w:pPr>
      <w:rPr>
        <w:rFonts w:ascii="Courier New" w:hAnsi="Courier New" w:cs="Courier New" w:hint="default"/>
      </w:rPr>
    </w:lvl>
    <w:lvl w:ilvl="2" w:tplc="04080005" w:tentative="1">
      <w:start w:val="1"/>
      <w:numFmt w:val="bullet"/>
      <w:lvlText w:val=""/>
      <w:lvlJc w:val="left"/>
      <w:pPr>
        <w:ind w:left="1858" w:hanging="360"/>
      </w:pPr>
      <w:rPr>
        <w:rFonts w:ascii="Wingdings" w:hAnsi="Wingdings" w:hint="default"/>
      </w:rPr>
    </w:lvl>
    <w:lvl w:ilvl="3" w:tplc="04080001" w:tentative="1">
      <w:start w:val="1"/>
      <w:numFmt w:val="bullet"/>
      <w:lvlText w:val=""/>
      <w:lvlJc w:val="left"/>
      <w:pPr>
        <w:ind w:left="2578" w:hanging="360"/>
      </w:pPr>
      <w:rPr>
        <w:rFonts w:ascii="Symbol" w:hAnsi="Symbol" w:hint="default"/>
      </w:rPr>
    </w:lvl>
    <w:lvl w:ilvl="4" w:tplc="04080003" w:tentative="1">
      <w:start w:val="1"/>
      <w:numFmt w:val="bullet"/>
      <w:lvlText w:val="o"/>
      <w:lvlJc w:val="left"/>
      <w:pPr>
        <w:ind w:left="3298" w:hanging="360"/>
      </w:pPr>
      <w:rPr>
        <w:rFonts w:ascii="Courier New" w:hAnsi="Courier New" w:cs="Courier New" w:hint="default"/>
      </w:rPr>
    </w:lvl>
    <w:lvl w:ilvl="5" w:tplc="04080005" w:tentative="1">
      <w:start w:val="1"/>
      <w:numFmt w:val="bullet"/>
      <w:lvlText w:val=""/>
      <w:lvlJc w:val="left"/>
      <w:pPr>
        <w:ind w:left="4018" w:hanging="360"/>
      </w:pPr>
      <w:rPr>
        <w:rFonts w:ascii="Wingdings" w:hAnsi="Wingdings" w:hint="default"/>
      </w:rPr>
    </w:lvl>
    <w:lvl w:ilvl="6" w:tplc="04080001" w:tentative="1">
      <w:start w:val="1"/>
      <w:numFmt w:val="bullet"/>
      <w:lvlText w:val=""/>
      <w:lvlJc w:val="left"/>
      <w:pPr>
        <w:ind w:left="4738" w:hanging="360"/>
      </w:pPr>
      <w:rPr>
        <w:rFonts w:ascii="Symbol" w:hAnsi="Symbol" w:hint="default"/>
      </w:rPr>
    </w:lvl>
    <w:lvl w:ilvl="7" w:tplc="04080003" w:tentative="1">
      <w:start w:val="1"/>
      <w:numFmt w:val="bullet"/>
      <w:lvlText w:val="o"/>
      <w:lvlJc w:val="left"/>
      <w:pPr>
        <w:ind w:left="5458" w:hanging="360"/>
      </w:pPr>
      <w:rPr>
        <w:rFonts w:ascii="Courier New" w:hAnsi="Courier New" w:cs="Courier New" w:hint="default"/>
      </w:rPr>
    </w:lvl>
    <w:lvl w:ilvl="8" w:tplc="04080005" w:tentative="1">
      <w:start w:val="1"/>
      <w:numFmt w:val="bullet"/>
      <w:lvlText w:val=""/>
      <w:lvlJc w:val="left"/>
      <w:pPr>
        <w:ind w:left="6178" w:hanging="360"/>
      </w:pPr>
      <w:rPr>
        <w:rFonts w:ascii="Wingdings" w:hAnsi="Wingdings" w:hint="default"/>
      </w:rPr>
    </w:lvl>
  </w:abstractNum>
  <w:abstractNum w:abstractNumId="2" w15:restartNumberingAfterBreak="0">
    <w:nsid w:val="41C61AA2"/>
    <w:multiLevelType w:val="hybridMultilevel"/>
    <w:tmpl w:val="BE2A00E8"/>
    <w:lvl w:ilvl="0" w:tplc="08090001">
      <w:start w:val="1"/>
      <w:numFmt w:val="bullet"/>
      <w:lvlText w:val=""/>
      <w:lvlJc w:val="left"/>
      <w:pPr>
        <w:tabs>
          <w:tab w:val="num" w:pos="720"/>
        </w:tabs>
        <w:ind w:left="720" w:hanging="360"/>
      </w:pPr>
      <w:rPr>
        <w:rFonts w:ascii="Symbol" w:hAnsi="Symbol" w:hint="default"/>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CC85AEA"/>
    <w:multiLevelType w:val="multilevel"/>
    <w:tmpl w:val="2446E7B8"/>
    <w:lvl w:ilvl="0">
      <w:start w:val="2"/>
      <w:numFmt w:val="decimal"/>
      <w:pStyle w:val="Heading1"/>
      <w:lvlText w:val="%1"/>
      <w:lvlJc w:val="left"/>
      <w:pPr>
        <w:tabs>
          <w:tab w:val="num" w:pos="1080"/>
        </w:tabs>
        <w:ind w:left="1080" w:hanging="1080"/>
      </w:pPr>
      <w:rPr>
        <w:rFonts w:ascii="Times New Roman" w:hAnsi="Times New Roman" w:hint="default"/>
        <w:b/>
        <w:i w:val="0"/>
        <w:sz w:val="28"/>
      </w:rPr>
    </w:lvl>
    <w:lvl w:ilvl="1">
      <w:start w:val="1"/>
      <w:numFmt w:val="decimal"/>
      <w:pStyle w:val="Heading2"/>
      <w:lvlText w:val="%1.%2"/>
      <w:lvlJc w:val="left"/>
      <w:pPr>
        <w:tabs>
          <w:tab w:val="num" w:pos="1134"/>
        </w:tabs>
        <w:ind w:left="1134" w:hanging="1134"/>
      </w:pPr>
      <w:rPr>
        <w:rFonts w:ascii="Times New Roman" w:hAnsi="Times New Roman" w:hint="default"/>
        <w:b/>
        <w:i w:val="0"/>
        <w:sz w:val="24"/>
      </w:rPr>
    </w:lvl>
    <w:lvl w:ilvl="2">
      <w:start w:val="1"/>
      <w:numFmt w:val="decimal"/>
      <w:pStyle w:val="Heading3"/>
      <w:lvlText w:val="%1.%2.%3"/>
      <w:lvlJc w:val="left"/>
      <w:pPr>
        <w:tabs>
          <w:tab w:val="num" w:pos="1134"/>
        </w:tabs>
        <w:ind w:left="1134" w:hanging="1134"/>
      </w:pPr>
      <w:rPr>
        <w:rFonts w:ascii="Times New Roman" w:hAnsi="Times New Roman" w:hint="default"/>
        <w:b/>
        <w:i w:val="0"/>
        <w:caps w:val="0"/>
        <w:strike w:val="0"/>
        <w:dstrike w:val="0"/>
        <w:vanish w:val="0"/>
        <w:sz w:val="24"/>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pStyle w:val="Heading4"/>
      <w:lvlText w:val="%1.%2.%3.%4"/>
      <w:lvlJc w:val="left"/>
      <w:pPr>
        <w:tabs>
          <w:tab w:val="num" w:pos="1134"/>
        </w:tabs>
        <w:ind w:left="1134" w:hanging="1134"/>
      </w:pPr>
      <w:rPr>
        <w:rFonts w:ascii="Times New Roman" w:hAnsi="Times New Roman" w:hint="default"/>
        <w:b/>
        <w:i/>
        <w:sz w:val="24"/>
      </w:rPr>
    </w:lvl>
    <w:lvl w:ilvl="4">
      <w:start w:val="1"/>
      <w:numFmt w:val="decimal"/>
      <w:pStyle w:val="Heading5"/>
      <w:lvlText w:val="%1.%2.%3.%4.%5"/>
      <w:lvlJc w:val="left"/>
      <w:pPr>
        <w:tabs>
          <w:tab w:val="num" w:pos="1134"/>
        </w:tabs>
        <w:ind w:left="1134" w:hanging="1134"/>
      </w:pPr>
      <w:rPr>
        <w:rFonts w:ascii="Times New Roman" w:hAnsi="Times New Roman" w:hint="default"/>
        <w:b w:val="0"/>
        <w:i/>
        <w:sz w:val="24"/>
      </w:rPr>
    </w:lvl>
    <w:lvl w:ilvl="5">
      <w:start w:val="1"/>
      <w:numFmt w:val="decimal"/>
      <w:lvlText w:val="%1.%2.%3.%4.%5.%6"/>
      <w:lvlJc w:val="left"/>
      <w:pPr>
        <w:tabs>
          <w:tab w:val="num" w:pos="1134"/>
        </w:tabs>
        <w:ind w:left="1134" w:hanging="1134"/>
      </w:pPr>
      <w:rPr>
        <w:rFonts w:ascii="Arial" w:hAnsi="Arial" w:hint="default"/>
        <w:b w:val="0"/>
        <w:i/>
        <w:sz w:val="20"/>
      </w:rPr>
    </w:lvl>
    <w:lvl w:ilvl="6">
      <w:start w:val="1"/>
      <w:numFmt w:val="decimal"/>
      <w:lvlText w:val="%1.%2.%3.%4.%5.%6.%7"/>
      <w:lvlJc w:val="left"/>
      <w:pPr>
        <w:tabs>
          <w:tab w:val="num" w:pos="1134"/>
        </w:tabs>
        <w:ind w:left="1134" w:hanging="1134"/>
      </w:pPr>
      <w:rPr>
        <w:rFonts w:ascii="Arial" w:hAnsi="Arial" w:hint="default"/>
        <w:b w:val="0"/>
        <w:i w:val="0"/>
        <w:sz w:val="20"/>
      </w:rPr>
    </w:lvl>
    <w:lvl w:ilvl="7">
      <w:start w:val="1"/>
      <w:numFmt w:val="decimal"/>
      <w:lvlText w:val="%1.%2.%3.%4.%5.%6.%7.%8"/>
      <w:lvlJc w:val="left"/>
      <w:pPr>
        <w:tabs>
          <w:tab w:val="num" w:pos="1800"/>
        </w:tabs>
        <w:ind w:left="1134" w:hanging="1134"/>
      </w:pPr>
      <w:rPr>
        <w:rFonts w:hint="default"/>
      </w:rPr>
    </w:lvl>
    <w:lvl w:ilvl="8">
      <w:start w:val="1"/>
      <w:numFmt w:val="decimal"/>
      <w:lvlText w:val="%1.%2.%3.%4.%5.%6.%7.%8.%9"/>
      <w:lvlJc w:val="left"/>
      <w:pPr>
        <w:tabs>
          <w:tab w:val="num" w:pos="1800"/>
        </w:tabs>
        <w:ind w:left="1134" w:hanging="1134"/>
      </w:pPr>
      <w:rPr>
        <w:rFonts w:ascii="Arial" w:hAnsi="Arial" w:hint="default"/>
        <w:b w:val="0"/>
        <w:i w:val="0"/>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5DFF"/>
    <w:rsid w:val="0000369E"/>
    <w:rsid w:val="00021318"/>
    <w:rsid w:val="00025C56"/>
    <w:rsid w:val="0003316B"/>
    <w:rsid w:val="000473D2"/>
    <w:rsid w:val="000609FA"/>
    <w:rsid w:val="000A7E62"/>
    <w:rsid w:val="00114B1E"/>
    <w:rsid w:val="00126C11"/>
    <w:rsid w:val="00144CEE"/>
    <w:rsid w:val="00162414"/>
    <w:rsid w:val="00172746"/>
    <w:rsid w:val="0019272A"/>
    <w:rsid w:val="001A4A88"/>
    <w:rsid w:val="001B1469"/>
    <w:rsid w:val="001D3721"/>
    <w:rsid w:val="001E04F9"/>
    <w:rsid w:val="001F26FB"/>
    <w:rsid w:val="00204A17"/>
    <w:rsid w:val="00221A08"/>
    <w:rsid w:val="00267031"/>
    <w:rsid w:val="00270C86"/>
    <w:rsid w:val="002C3C14"/>
    <w:rsid w:val="002D585A"/>
    <w:rsid w:val="00302B0B"/>
    <w:rsid w:val="00315486"/>
    <w:rsid w:val="0037069D"/>
    <w:rsid w:val="00374C40"/>
    <w:rsid w:val="0039381D"/>
    <w:rsid w:val="003B35B7"/>
    <w:rsid w:val="003C7901"/>
    <w:rsid w:val="003F66D1"/>
    <w:rsid w:val="004512F0"/>
    <w:rsid w:val="004555BB"/>
    <w:rsid w:val="00462CA3"/>
    <w:rsid w:val="004633F1"/>
    <w:rsid w:val="00472540"/>
    <w:rsid w:val="004A4164"/>
    <w:rsid w:val="0051164A"/>
    <w:rsid w:val="00535F58"/>
    <w:rsid w:val="00550CBD"/>
    <w:rsid w:val="0058342A"/>
    <w:rsid w:val="00590D12"/>
    <w:rsid w:val="0059528A"/>
    <w:rsid w:val="005968BD"/>
    <w:rsid w:val="005A331C"/>
    <w:rsid w:val="005A3E43"/>
    <w:rsid w:val="005D1856"/>
    <w:rsid w:val="005F4414"/>
    <w:rsid w:val="00602947"/>
    <w:rsid w:val="0062291C"/>
    <w:rsid w:val="006B3A1F"/>
    <w:rsid w:val="006D7735"/>
    <w:rsid w:val="006E321A"/>
    <w:rsid w:val="006E6111"/>
    <w:rsid w:val="006F35C0"/>
    <w:rsid w:val="00715DD5"/>
    <w:rsid w:val="00723C66"/>
    <w:rsid w:val="007417A5"/>
    <w:rsid w:val="007458AD"/>
    <w:rsid w:val="00761FEA"/>
    <w:rsid w:val="00762236"/>
    <w:rsid w:val="007A5B87"/>
    <w:rsid w:val="007D6425"/>
    <w:rsid w:val="007F6BE1"/>
    <w:rsid w:val="00801BD1"/>
    <w:rsid w:val="008161CA"/>
    <w:rsid w:val="00844ABB"/>
    <w:rsid w:val="00846237"/>
    <w:rsid w:val="00861F50"/>
    <w:rsid w:val="00867120"/>
    <w:rsid w:val="008901DB"/>
    <w:rsid w:val="00890265"/>
    <w:rsid w:val="00892A59"/>
    <w:rsid w:val="008A3AFF"/>
    <w:rsid w:val="008C633C"/>
    <w:rsid w:val="008E460B"/>
    <w:rsid w:val="00902B87"/>
    <w:rsid w:val="00904E67"/>
    <w:rsid w:val="00905D38"/>
    <w:rsid w:val="009364AF"/>
    <w:rsid w:val="009377CA"/>
    <w:rsid w:val="009A6069"/>
    <w:rsid w:val="009B336C"/>
    <w:rsid w:val="009C2C0D"/>
    <w:rsid w:val="009F403F"/>
    <w:rsid w:val="00A060CF"/>
    <w:rsid w:val="00A10C73"/>
    <w:rsid w:val="00A47253"/>
    <w:rsid w:val="00A5128A"/>
    <w:rsid w:val="00A56B2B"/>
    <w:rsid w:val="00A64374"/>
    <w:rsid w:val="00A6577E"/>
    <w:rsid w:val="00A7021F"/>
    <w:rsid w:val="00A75658"/>
    <w:rsid w:val="00AA4DA7"/>
    <w:rsid w:val="00AA502C"/>
    <w:rsid w:val="00AA5482"/>
    <w:rsid w:val="00AA5D9C"/>
    <w:rsid w:val="00AB7B0A"/>
    <w:rsid w:val="00AD133F"/>
    <w:rsid w:val="00AE553A"/>
    <w:rsid w:val="00B00228"/>
    <w:rsid w:val="00B049EE"/>
    <w:rsid w:val="00B05914"/>
    <w:rsid w:val="00B105C8"/>
    <w:rsid w:val="00B169CC"/>
    <w:rsid w:val="00B22E36"/>
    <w:rsid w:val="00B35AC8"/>
    <w:rsid w:val="00B414CC"/>
    <w:rsid w:val="00B45996"/>
    <w:rsid w:val="00B55EC9"/>
    <w:rsid w:val="00BB45EE"/>
    <w:rsid w:val="00C12632"/>
    <w:rsid w:val="00C23115"/>
    <w:rsid w:val="00C64A34"/>
    <w:rsid w:val="00C66A05"/>
    <w:rsid w:val="00C742A6"/>
    <w:rsid w:val="00C820EF"/>
    <w:rsid w:val="00CD5486"/>
    <w:rsid w:val="00D523E7"/>
    <w:rsid w:val="00D6364F"/>
    <w:rsid w:val="00D65DB8"/>
    <w:rsid w:val="00D70487"/>
    <w:rsid w:val="00D849E7"/>
    <w:rsid w:val="00D963B8"/>
    <w:rsid w:val="00DB5DFF"/>
    <w:rsid w:val="00DE4BDB"/>
    <w:rsid w:val="00DF2E94"/>
    <w:rsid w:val="00E10CA6"/>
    <w:rsid w:val="00E1224B"/>
    <w:rsid w:val="00E57293"/>
    <w:rsid w:val="00EA4034"/>
    <w:rsid w:val="00EC554E"/>
    <w:rsid w:val="00ED5D43"/>
    <w:rsid w:val="00EF4D9C"/>
    <w:rsid w:val="00F05990"/>
    <w:rsid w:val="00F46A47"/>
    <w:rsid w:val="00F75845"/>
    <w:rsid w:val="00FF29F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country-region"/>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4097"/>
    <o:shapelayout v:ext="edit">
      <o:idmap v:ext="edit" data="1"/>
    </o:shapelayout>
  </w:shapeDefaults>
  <w:decimalSymbol w:val="."/>
  <w:listSeparator w:val=","/>
  <w15:chartTrackingRefBased/>
  <w15:docId w15:val="{249C6890-B5B5-436B-805C-8E99A46E2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4374"/>
    <w:pPr>
      <w:jc w:val="both"/>
    </w:pPr>
    <w:rPr>
      <w:sz w:val="24"/>
      <w:szCs w:val="24"/>
      <w:lang w:val="en-US" w:eastAsia="en-US"/>
    </w:rPr>
  </w:style>
  <w:style w:type="paragraph" w:styleId="Heading1">
    <w:name w:val="heading 1"/>
    <w:basedOn w:val="Normal"/>
    <w:next w:val="Normal"/>
    <w:qFormat/>
    <w:rsid w:val="00A64374"/>
    <w:pPr>
      <w:keepNext/>
      <w:numPr>
        <w:numId w:val="1"/>
      </w:numPr>
      <w:spacing w:before="480" w:after="240"/>
      <w:outlineLvl w:val="0"/>
    </w:pPr>
    <w:rPr>
      <w:rFonts w:cs="Arial"/>
      <w:b/>
      <w:bCs/>
      <w:caps/>
      <w:sz w:val="28"/>
      <w:szCs w:val="32"/>
    </w:rPr>
  </w:style>
  <w:style w:type="paragraph" w:styleId="Heading2">
    <w:name w:val="heading 2"/>
    <w:basedOn w:val="Normal"/>
    <w:next w:val="Normal"/>
    <w:qFormat/>
    <w:rsid w:val="00A64374"/>
    <w:pPr>
      <w:keepNext/>
      <w:keepLines/>
      <w:numPr>
        <w:ilvl w:val="1"/>
        <w:numId w:val="1"/>
      </w:numPr>
      <w:spacing w:before="360"/>
      <w:outlineLvl w:val="1"/>
    </w:pPr>
    <w:rPr>
      <w:rFonts w:cs="Arial"/>
      <w:b/>
      <w:bCs/>
      <w:iCs/>
      <w:caps/>
      <w:szCs w:val="28"/>
    </w:rPr>
  </w:style>
  <w:style w:type="paragraph" w:styleId="Heading3">
    <w:name w:val="heading 3"/>
    <w:basedOn w:val="Normal"/>
    <w:next w:val="Normal"/>
    <w:qFormat/>
    <w:rsid w:val="00A64374"/>
    <w:pPr>
      <w:keepNext/>
      <w:keepLines/>
      <w:numPr>
        <w:ilvl w:val="2"/>
        <w:numId w:val="1"/>
      </w:numPr>
      <w:spacing w:before="360"/>
      <w:outlineLvl w:val="2"/>
    </w:pPr>
    <w:rPr>
      <w:rFonts w:cs="Arial"/>
      <w:b/>
      <w:bCs/>
      <w:szCs w:val="26"/>
    </w:rPr>
  </w:style>
  <w:style w:type="paragraph" w:styleId="Heading4">
    <w:name w:val="heading 4"/>
    <w:basedOn w:val="Normal"/>
    <w:next w:val="Normal"/>
    <w:qFormat/>
    <w:rsid w:val="00A64374"/>
    <w:pPr>
      <w:keepNext/>
      <w:keepLines/>
      <w:numPr>
        <w:ilvl w:val="3"/>
        <w:numId w:val="1"/>
      </w:numPr>
      <w:spacing w:before="360"/>
      <w:outlineLvl w:val="3"/>
    </w:pPr>
    <w:rPr>
      <w:b/>
      <w:bCs/>
      <w:i/>
      <w:szCs w:val="28"/>
    </w:rPr>
  </w:style>
  <w:style w:type="paragraph" w:styleId="Heading5">
    <w:name w:val="heading 5"/>
    <w:aliases w:val="Do not use Heading 5"/>
    <w:basedOn w:val="Normal"/>
    <w:next w:val="Normal"/>
    <w:qFormat/>
    <w:rsid w:val="00A64374"/>
    <w:pPr>
      <w:numPr>
        <w:ilvl w:val="4"/>
        <w:numId w:val="1"/>
      </w:numPr>
      <w:spacing w:before="360"/>
      <w:outlineLvl w:val="4"/>
    </w:pPr>
    <w:rPr>
      <w:bCs/>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structionaltext">
    <w:name w:val="Instructional text"/>
    <w:basedOn w:val="Normal"/>
    <w:link w:val="InstructionaltextChar"/>
    <w:rsid w:val="00A64374"/>
    <w:pPr>
      <w:spacing w:before="120"/>
    </w:pPr>
    <w:rPr>
      <w:i/>
      <w:color w:val="800080"/>
    </w:rPr>
  </w:style>
  <w:style w:type="paragraph" w:customStyle="1" w:styleId="Body-synopsis">
    <w:name w:val="Body-synopsis"/>
    <w:basedOn w:val="Normal"/>
    <w:rsid w:val="00A64374"/>
    <w:pPr>
      <w:spacing w:before="120"/>
      <w:ind w:left="58"/>
    </w:pPr>
  </w:style>
  <w:style w:type="character" w:customStyle="1" w:styleId="InstructionaltextChar">
    <w:name w:val="Instructional text Char"/>
    <w:link w:val="Instructionaltext"/>
    <w:rsid w:val="00A64374"/>
    <w:rPr>
      <w:i/>
      <w:color w:val="800080"/>
      <w:sz w:val="24"/>
      <w:szCs w:val="24"/>
      <w:lang w:val="en-US" w:eastAsia="en-US" w:bidi="ar-SA"/>
    </w:rPr>
  </w:style>
  <w:style w:type="paragraph" w:styleId="Header">
    <w:name w:val="header"/>
    <w:basedOn w:val="Normal"/>
    <w:rsid w:val="007458AD"/>
    <w:pPr>
      <w:tabs>
        <w:tab w:val="center" w:pos="4536"/>
        <w:tab w:val="right" w:pos="9072"/>
      </w:tabs>
    </w:pPr>
  </w:style>
  <w:style w:type="paragraph" w:styleId="Footer">
    <w:name w:val="footer"/>
    <w:basedOn w:val="Normal"/>
    <w:rsid w:val="007458AD"/>
    <w:pPr>
      <w:tabs>
        <w:tab w:val="center" w:pos="4536"/>
        <w:tab w:val="right" w:pos="9072"/>
      </w:tabs>
    </w:pPr>
  </w:style>
  <w:style w:type="paragraph" w:styleId="BodyText">
    <w:name w:val="Body Text"/>
    <w:basedOn w:val="Normal"/>
    <w:link w:val="BodyTextChar"/>
    <w:rsid w:val="00FF29FB"/>
    <w:pPr>
      <w:spacing w:after="120"/>
    </w:pPr>
    <w:rPr>
      <w:rFonts w:ascii="Arial" w:hAnsi="Arial" w:cs="Arial"/>
    </w:rPr>
  </w:style>
  <w:style w:type="character" w:customStyle="1" w:styleId="BodyTextChar">
    <w:name w:val="Body Text Char"/>
    <w:link w:val="BodyText"/>
    <w:rsid w:val="00FF29FB"/>
    <w:rPr>
      <w:rFonts w:ascii="Arial" w:hAnsi="Arial" w:cs="Arial"/>
      <w:sz w:val="24"/>
      <w:szCs w:val="24"/>
      <w:lang w:val="en-US" w:eastAsia="en-US"/>
    </w:rPr>
  </w:style>
  <w:style w:type="paragraph" w:customStyle="1" w:styleId="Body">
    <w:name w:val="Body"/>
    <w:basedOn w:val="Normal"/>
    <w:link w:val="BodyChar"/>
    <w:rsid w:val="006E6111"/>
    <w:pPr>
      <w:tabs>
        <w:tab w:val="left" w:pos="1080"/>
      </w:tabs>
      <w:spacing w:before="120"/>
    </w:pPr>
  </w:style>
  <w:style w:type="character" w:customStyle="1" w:styleId="BodyChar">
    <w:name w:val="Body Char"/>
    <w:link w:val="Body"/>
    <w:rsid w:val="006E6111"/>
    <w:rPr>
      <w:sz w:val="24"/>
      <w:szCs w:val="24"/>
      <w:lang w:val="en-US" w:eastAsia="en-US"/>
    </w:rPr>
  </w:style>
  <w:style w:type="character" w:styleId="Hyperlink">
    <w:name w:val="Hyperlink"/>
    <w:rsid w:val="00590D12"/>
    <w:rPr>
      <w:color w:val="0000FF"/>
      <w:u w:val="single"/>
    </w:rPr>
  </w:style>
  <w:style w:type="character" w:styleId="CommentReference">
    <w:name w:val="annotation reference"/>
    <w:rsid w:val="00844ABB"/>
    <w:rPr>
      <w:sz w:val="16"/>
      <w:szCs w:val="16"/>
    </w:rPr>
  </w:style>
  <w:style w:type="paragraph" w:styleId="CommentText">
    <w:name w:val="annotation text"/>
    <w:basedOn w:val="Normal"/>
    <w:link w:val="CommentTextChar"/>
    <w:rsid w:val="00844ABB"/>
    <w:rPr>
      <w:sz w:val="20"/>
      <w:szCs w:val="20"/>
    </w:rPr>
  </w:style>
  <w:style w:type="character" w:customStyle="1" w:styleId="CommentTextChar">
    <w:name w:val="Comment Text Char"/>
    <w:link w:val="CommentText"/>
    <w:rsid w:val="00844ABB"/>
    <w:rPr>
      <w:lang w:val="en-US" w:eastAsia="en-US"/>
    </w:rPr>
  </w:style>
  <w:style w:type="paragraph" w:styleId="CommentSubject">
    <w:name w:val="annotation subject"/>
    <w:basedOn w:val="CommentText"/>
    <w:next w:val="CommentText"/>
    <w:link w:val="CommentSubjectChar"/>
    <w:rsid w:val="00844ABB"/>
    <w:rPr>
      <w:b/>
      <w:bCs/>
    </w:rPr>
  </w:style>
  <w:style w:type="character" w:customStyle="1" w:styleId="CommentSubjectChar">
    <w:name w:val="Comment Subject Char"/>
    <w:link w:val="CommentSubject"/>
    <w:rsid w:val="00844ABB"/>
    <w:rPr>
      <w:b/>
      <w:bCs/>
      <w:lang w:val="en-US" w:eastAsia="en-US"/>
    </w:rPr>
  </w:style>
  <w:style w:type="paragraph" w:styleId="BalloonText">
    <w:name w:val="Balloon Text"/>
    <w:basedOn w:val="Normal"/>
    <w:link w:val="BalloonTextChar"/>
    <w:rsid w:val="00844ABB"/>
    <w:rPr>
      <w:rFonts w:ascii="Tahoma" w:hAnsi="Tahoma" w:cs="Tahoma"/>
      <w:sz w:val="16"/>
      <w:szCs w:val="16"/>
    </w:rPr>
  </w:style>
  <w:style w:type="character" w:customStyle="1" w:styleId="BalloonTextChar">
    <w:name w:val="Balloon Text Char"/>
    <w:link w:val="BalloonText"/>
    <w:rsid w:val="00844ABB"/>
    <w:rPr>
      <w:rFonts w:ascii="Tahoma" w:hAnsi="Tahoma" w:cs="Tahoma"/>
      <w:sz w:val="16"/>
      <w:szCs w:val="16"/>
      <w:lang w:val="en-US" w:eastAsia="en-US"/>
    </w:rPr>
  </w:style>
  <w:style w:type="paragraph" w:customStyle="1" w:styleId="Default">
    <w:name w:val="Default"/>
    <w:rsid w:val="00C2311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8043">
      <w:bodyDiv w:val="1"/>
      <w:marLeft w:val="0"/>
      <w:marRight w:val="0"/>
      <w:marTop w:val="0"/>
      <w:marBottom w:val="0"/>
      <w:divBdr>
        <w:top w:val="none" w:sz="0" w:space="0" w:color="auto"/>
        <w:left w:val="none" w:sz="0" w:space="0" w:color="auto"/>
        <w:bottom w:val="none" w:sz="0" w:space="0" w:color="auto"/>
        <w:right w:val="none" w:sz="0" w:space="0" w:color="auto"/>
      </w:divBdr>
      <w:divsChild>
        <w:div w:id="80874183">
          <w:marLeft w:val="0"/>
          <w:marRight w:val="0"/>
          <w:marTop w:val="0"/>
          <w:marBottom w:val="0"/>
          <w:divBdr>
            <w:top w:val="none" w:sz="0" w:space="0" w:color="auto"/>
            <w:left w:val="none" w:sz="0" w:space="0" w:color="auto"/>
            <w:bottom w:val="none" w:sz="0" w:space="0" w:color="auto"/>
            <w:right w:val="none" w:sz="0" w:space="0" w:color="auto"/>
          </w:divBdr>
          <w:divsChild>
            <w:div w:id="2082562862">
              <w:marLeft w:val="0"/>
              <w:marRight w:val="0"/>
              <w:marTop w:val="0"/>
              <w:marBottom w:val="0"/>
              <w:divBdr>
                <w:top w:val="none" w:sz="0" w:space="0" w:color="auto"/>
                <w:left w:val="none" w:sz="0" w:space="0" w:color="auto"/>
                <w:bottom w:val="none" w:sz="0" w:space="0" w:color="auto"/>
                <w:right w:val="none" w:sz="0" w:space="0" w:color="auto"/>
              </w:divBdr>
              <w:divsChild>
                <w:div w:id="154028227">
                  <w:marLeft w:val="0"/>
                  <w:marRight w:val="0"/>
                  <w:marTop w:val="0"/>
                  <w:marBottom w:val="0"/>
                  <w:divBdr>
                    <w:top w:val="none" w:sz="0" w:space="0" w:color="auto"/>
                    <w:left w:val="none" w:sz="0" w:space="0" w:color="auto"/>
                    <w:bottom w:val="none" w:sz="0" w:space="0" w:color="auto"/>
                    <w:right w:val="none" w:sz="0" w:space="0" w:color="auto"/>
                  </w:divBdr>
                  <w:divsChild>
                    <w:div w:id="1562138403">
                      <w:marLeft w:val="0"/>
                      <w:marRight w:val="0"/>
                      <w:marTop w:val="0"/>
                      <w:marBottom w:val="0"/>
                      <w:divBdr>
                        <w:top w:val="none" w:sz="0" w:space="0" w:color="auto"/>
                        <w:left w:val="none" w:sz="0" w:space="0" w:color="auto"/>
                        <w:bottom w:val="none" w:sz="0" w:space="0" w:color="auto"/>
                        <w:right w:val="none" w:sz="0" w:space="0" w:color="auto"/>
                      </w:divBdr>
                      <w:divsChild>
                        <w:div w:id="1267498912">
                          <w:marLeft w:val="0"/>
                          <w:marRight w:val="0"/>
                          <w:marTop w:val="0"/>
                          <w:marBottom w:val="0"/>
                          <w:divBdr>
                            <w:top w:val="none" w:sz="0" w:space="0" w:color="auto"/>
                            <w:left w:val="none" w:sz="0" w:space="0" w:color="auto"/>
                            <w:bottom w:val="none" w:sz="0" w:space="0" w:color="auto"/>
                            <w:right w:val="none" w:sz="0" w:space="0" w:color="auto"/>
                          </w:divBdr>
                          <w:divsChild>
                            <w:div w:id="1347173889">
                              <w:marLeft w:val="0"/>
                              <w:marRight w:val="0"/>
                              <w:marTop w:val="0"/>
                              <w:marBottom w:val="0"/>
                              <w:divBdr>
                                <w:top w:val="none" w:sz="0" w:space="0" w:color="auto"/>
                                <w:left w:val="none" w:sz="0" w:space="0" w:color="auto"/>
                                <w:bottom w:val="none" w:sz="0" w:space="0" w:color="auto"/>
                                <w:right w:val="none" w:sz="0" w:space="0" w:color="auto"/>
                              </w:divBdr>
                              <w:divsChild>
                                <w:div w:id="988901976">
                                  <w:marLeft w:val="0"/>
                                  <w:marRight w:val="0"/>
                                  <w:marTop w:val="0"/>
                                  <w:marBottom w:val="0"/>
                                  <w:divBdr>
                                    <w:top w:val="none" w:sz="0" w:space="0" w:color="auto"/>
                                    <w:left w:val="none" w:sz="0" w:space="0" w:color="auto"/>
                                    <w:bottom w:val="none" w:sz="0" w:space="0" w:color="auto"/>
                                    <w:right w:val="none" w:sz="0" w:space="0" w:color="auto"/>
                                  </w:divBdr>
                                  <w:divsChild>
                                    <w:div w:id="1993487512">
                                      <w:marLeft w:val="0"/>
                                      <w:marRight w:val="0"/>
                                      <w:marTop w:val="0"/>
                                      <w:marBottom w:val="0"/>
                                      <w:divBdr>
                                        <w:top w:val="none" w:sz="0" w:space="0" w:color="auto"/>
                                        <w:left w:val="none" w:sz="0" w:space="0" w:color="auto"/>
                                        <w:bottom w:val="none" w:sz="0" w:space="0" w:color="auto"/>
                                        <w:right w:val="none" w:sz="0" w:space="0" w:color="auto"/>
                                      </w:divBdr>
                                      <w:divsChild>
                                        <w:div w:id="1719163293">
                                          <w:marLeft w:val="0"/>
                                          <w:marRight w:val="0"/>
                                          <w:marTop w:val="0"/>
                                          <w:marBottom w:val="0"/>
                                          <w:divBdr>
                                            <w:top w:val="none" w:sz="0" w:space="0" w:color="auto"/>
                                            <w:left w:val="none" w:sz="0" w:space="0" w:color="auto"/>
                                            <w:bottom w:val="none" w:sz="0" w:space="0" w:color="auto"/>
                                            <w:right w:val="none" w:sz="0" w:space="0" w:color="auto"/>
                                          </w:divBdr>
                                          <w:divsChild>
                                            <w:div w:id="1856654654">
                                              <w:marLeft w:val="0"/>
                                              <w:marRight w:val="0"/>
                                              <w:marTop w:val="0"/>
                                              <w:marBottom w:val="0"/>
                                              <w:divBdr>
                                                <w:top w:val="single" w:sz="4" w:space="0" w:color="F5F5F5"/>
                                                <w:left w:val="single" w:sz="4" w:space="0" w:color="F5F5F5"/>
                                                <w:bottom w:val="single" w:sz="4" w:space="0" w:color="F5F5F5"/>
                                                <w:right w:val="single" w:sz="4" w:space="0" w:color="F5F5F5"/>
                                              </w:divBdr>
                                              <w:divsChild>
                                                <w:div w:id="256980535">
                                                  <w:marLeft w:val="0"/>
                                                  <w:marRight w:val="0"/>
                                                  <w:marTop w:val="0"/>
                                                  <w:marBottom w:val="0"/>
                                                  <w:divBdr>
                                                    <w:top w:val="none" w:sz="0" w:space="0" w:color="auto"/>
                                                    <w:left w:val="none" w:sz="0" w:space="0" w:color="auto"/>
                                                    <w:bottom w:val="none" w:sz="0" w:space="0" w:color="auto"/>
                                                    <w:right w:val="none" w:sz="0" w:space="0" w:color="auto"/>
                                                  </w:divBdr>
                                                  <w:divsChild>
                                                    <w:div w:id="131244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6829355">
      <w:bodyDiv w:val="1"/>
      <w:marLeft w:val="0"/>
      <w:marRight w:val="0"/>
      <w:marTop w:val="0"/>
      <w:marBottom w:val="0"/>
      <w:divBdr>
        <w:top w:val="none" w:sz="0" w:space="0" w:color="auto"/>
        <w:left w:val="none" w:sz="0" w:space="0" w:color="auto"/>
        <w:bottom w:val="none" w:sz="0" w:space="0" w:color="auto"/>
        <w:right w:val="none" w:sz="0" w:space="0" w:color="auto"/>
      </w:divBdr>
    </w:div>
    <w:div w:id="145317035">
      <w:bodyDiv w:val="1"/>
      <w:marLeft w:val="0"/>
      <w:marRight w:val="0"/>
      <w:marTop w:val="0"/>
      <w:marBottom w:val="0"/>
      <w:divBdr>
        <w:top w:val="none" w:sz="0" w:space="0" w:color="auto"/>
        <w:left w:val="none" w:sz="0" w:space="0" w:color="auto"/>
        <w:bottom w:val="none" w:sz="0" w:space="0" w:color="auto"/>
        <w:right w:val="none" w:sz="0" w:space="0" w:color="auto"/>
      </w:divBdr>
      <w:divsChild>
        <w:div w:id="716469356">
          <w:marLeft w:val="0"/>
          <w:marRight w:val="0"/>
          <w:marTop w:val="0"/>
          <w:marBottom w:val="0"/>
          <w:divBdr>
            <w:top w:val="none" w:sz="0" w:space="0" w:color="auto"/>
            <w:left w:val="none" w:sz="0" w:space="0" w:color="auto"/>
            <w:bottom w:val="none" w:sz="0" w:space="0" w:color="auto"/>
            <w:right w:val="none" w:sz="0" w:space="0" w:color="auto"/>
          </w:divBdr>
          <w:divsChild>
            <w:div w:id="730731626">
              <w:marLeft w:val="0"/>
              <w:marRight w:val="0"/>
              <w:marTop w:val="0"/>
              <w:marBottom w:val="0"/>
              <w:divBdr>
                <w:top w:val="none" w:sz="0" w:space="0" w:color="auto"/>
                <w:left w:val="none" w:sz="0" w:space="0" w:color="auto"/>
                <w:bottom w:val="none" w:sz="0" w:space="0" w:color="auto"/>
                <w:right w:val="none" w:sz="0" w:space="0" w:color="auto"/>
              </w:divBdr>
              <w:divsChild>
                <w:div w:id="186410559">
                  <w:marLeft w:val="0"/>
                  <w:marRight w:val="0"/>
                  <w:marTop w:val="0"/>
                  <w:marBottom w:val="0"/>
                  <w:divBdr>
                    <w:top w:val="none" w:sz="0" w:space="0" w:color="auto"/>
                    <w:left w:val="none" w:sz="0" w:space="0" w:color="auto"/>
                    <w:bottom w:val="none" w:sz="0" w:space="0" w:color="auto"/>
                    <w:right w:val="none" w:sz="0" w:space="0" w:color="auto"/>
                  </w:divBdr>
                  <w:divsChild>
                    <w:div w:id="383795428">
                      <w:marLeft w:val="0"/>
                      <w:marRight w:val="0"/>
                      <w:marTop w:val="0"/>
                      <w:marBottom w:val="0"/>
                      <w:divBdr>
                        <w:top w:val="none" w:sz="0" w:space="0" w:color="auto"/>
                        <w:left w:val="none" w:sz="0" w:space="0" w:color="auto"/>
                        <w:bottom w:val="none" w:sz="0" w:space="0" w:color="auto"/>
                        <w:right w:val="none" w:sz="0" w:space="0" w:color="auto"/>
                      </w:divBdr>
                      <w:divsChild>
                        <w:div w:id="605423620">
                          <w:marLeft w:val="0"/>
                          <w:marRight w:val="0"/>
                          <w:marTop w:val="0"/>
                          <w:marBottom w:val="0"/>
                          <w:divBdr>
                            <w:top w:val="none" w:sz="0" w:space="0" w:color="auto"/>
                            <w:left w:val="none" w:sz="0" w:space="0" w:color="auto"/>
                            <w:bottom w:val="none" w:sz="0" w:space="0" w:color="auto"/>
                            <w:right w:val="none" w:sz="0" w:space="0" w:color="auto"/>
                          </w:divBdr>
                          <w:divsChild>
                            <w:div w:id="327175284">
                              <w:marLeft w:val="0"/>
                              <w:marRight w:val="0"/>
                              <w:marTop w:val="0"/>
                              <w:marBottom w:val="0"/>
                              <w:divBdr>
                                <w:top w:val="none" w:sz="0" w:space="0" w:color="auto"/>
                                <w:left w:val="none" w:sz="0" w:space="0" w:color="auto"/>
                                <w:bottom w:val="none" w:sz="0" w:space="0" w:color="auto"/>
                                <w:right w:val="none" w:sz="0" w:space="0" w:color="auto"/>
                              </w:divBdr>
                              <w:divsChild>
                                <w:div w:id="1340699990">
                                  <w:marLeft w:val="0"/>
                                  <w:marRight w:val="0"/>
                                  <w:marTop w:val="0"/>
                                  <w:marBottom w:val="0"/>
                                  <w:divBdr>
                                    <w:top w:val="none" w:sz="0" w:space="0" w:color="auto"/>
                                    <w:left w:val="none" w:sz="0" w:space="0" w:color="auto"/>
                                    <w:bottom w:val="none" w:sz="0" w:space="0" w:color="auto"/>
                                    <w:right w:val="none" w:sz="0" w:space="0" w:color="auto"/>
                                  </w:divBdr>
                                  <w:divsChild>
                                    <w:div w:id="299766293">
                                      <w:marLeft w:val="0"/>
                                      <w:marRight w:val="0"/>
                                      <w:marTop w:val="0"/>
                                      <w:marBottom w:val="0"/>
                                      <w:divBdr>
                                        <w:top w:val="none" w:sz="0" w:space="0" w:color="auto"/>
                                        <w:left w:val="none" w:sz="0" w:space="0" w:color="auto"/>
                                        <w:bottom w:val="none" w:sz="0" w:space="0" w:color="auto"/>
                                        <w:right w:val="none" w:sz="0" w:space="0" w:color="auto"/>
                                      </w:divBdr>
                                      <w:divsChild>
                                        <w:div w:id="2026130197">
                                          <w:marLeft w:val="0"/>
                                          <w:marRight w:val="0"/>
                                          <w:marTop w:val="0"/>
                                          <w:marBottom w:val="0"/>
                                          <w:divBdr>
                                            <w:top w:val="none" w:sz="0" w:space="0" w:color="auto"/>
                                            <w:left w:val="none" w:sz="0" w:space="0" w:color="auto"/>
                                            <w:bottom w:val="none" w:sz="0" w:space="0" w:color="auto"/>
                                            <w:right w:val="none" w:sz="0" w:space="0" w:color="auto"/>
                                          </w:divBdr>
                                          <w:divsChild>
                                            <w:div w:id="2048022183">
                                              <w:marLeft w:val="0"/>
                                              <w:marRight w:val="0"/>
                                              <w:marTop w:val="0"/>
                                              <w:marBottom w:val="0"/>
                                              <w:divBdr>
                                                <w:top w:val="single" w:sz="4" w:space="0" w:color="F5F5F5"/>
                                                <w:left w:val="single" w:sz="4" w:space="0" w:color="F5F5F5"/>
                                                <w:bottom w:val="single" w:sz="4" w:space="0" w:color="F5F5F5"/>
                                                <w:right w:val="single" w:sz="4" w:space="0" w:color="F5F5F5"/>
                                              </w:divBdr>
                                              <w:divsChild>
                                                <w:div w:id="864247097">
                                                  <w:marLeft w:val="0"/>
                                                  <w:marRight w:val="0"/>
                                                  <w:marTop w:val="0"/>
                                                  <w:marBottom w:val="0"/>
                                                  <w:divBdr>
                                                    <w:top w:val="none" w:sz="0" w:space="0" w:color="auto"/>
                                                    <w:left w:val="none" w:sz="0" w:space="0" w:color="auto"/>
                                                    <w:bottom w:val="none" w:sz="0" w:space="0" w:color="auto"/>
                                                    <w:right w:val="none" w:sz="0" w:space="0" w:color="auto"/>
                                                  </w:divBdr>
                                                  <w:divsChild>
                                                    <w:div w:id="42299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3515845">
      <w:bodyDiv w:val="1"/>
      <w:marLeft w:val="0"/>
      <w:marRight w:val="0"/>
      <w:marTop w:val="0"/>
      <w:marBottom w:val="0"/>
      <w:divBdr>
        <w:top w:val="none" w:sz="0" w:space="0" w:color="auto"/>
        <w:left w:val="none" w:sz="0" w:space="0" w:color="auto"/>
        <w:bottom w:val="none" w:sz="0" w:space="0" w:color="auto"/>
        <w:right w:val="none" w:sz="0" w:space="0" w:color="auto"/>
      </w:divBdr>
      <w:divsChild>
        <w:div w:id="1274023293">
          <w:marLeft w:val="0"/>
          <w:marRight w:val="0"/>
          <w:marTop w:val="0"/>
          <w:marBottom w:val="0"/>
          <w:divBdr>
            <w:top w:val="none" w:sz="0" w:space="0" w:color="auto"/>
            <w:left w:val="none" w:sz="0" w:space="0" w:color="auto"/>
            <w:bottom w:val="none" w:sz="0" w:space="0" w:color="auto"/>
            <w:right w:val="none" w:sz="0" w:space="0" w:color="auto"/>
          </w:divBdr>
          <w:divsChild>
            <w:div w:id="357782466">
              <w:marLeft w:val="0"/>
              <w:marRight w:val="0"/>
              <w:marTop w:val="0"/>
              <w:marBottom w:val="0"/>
              <w:divBdr>
                <w:top w:val="none" w:sz="0" w:space="0" w:color="auto"/>
                <w:left w:val="none" w:sz="0" w:space="0" w:color="auto"/>
                <w:bottom w:val="none" w:sz="0" w:space="0" w:color="auto"/>
                <w:right w:val="none" w:sz="0" w:space="0" w:color="auto"/>
              </w:divBdr>
              <w:divsChild>
                <w:div w:id="1717316108">
                  <w:marLeft w:val="0"/>
                  <w:marRight w:val="0"/>
                  <w:marTop w:val="0"/>
                  <w:marBottom w:val="0"/>
                  <w:divBdr>
                    <w:top w:val="none" w:sz="0" w:space="0" w:color="auto"/>
                    <w:left w:val="none" w:sz="0" w:space="0" w:color="auto"/>
                    <w:bottom w:val="none" w:sz="0" w:space="0" w:color="auto"/>
                    <w:right w:val="none" w:sz="0" w:space="0" w:color="auto"/>
                  </w:divBdr>
                  <w:divsChild>
                    <w:div w:id="720635857">
                      <w:marLeft w:val="0"/>
                      <w:marRight w:val="0"/>
                      <w:marTop w:val="0"/>
                      <w:marBottom w:val="0"/>
                      <w:divBdr>
                        <w:top w:val="none" w:sz="0" w:space="0" w:color="auto"/>
                        <w:left w:val="none" w:sz="0" w:space="0" w:color="auto"/>
                        <w:bottom w:val="none" w:sz="0" w:space="0" w:color="auto"/>
                        <w:right w:val="none" w:sz="0" w:space="0" w:color="auto"/>
                      </w:divBdr>
                      <w:divsChild>
                        <w:div w:id="1080755221">
                          <w:marLeft w:val="0"/>
                          <w:marRight w:val="0"/>
                          <w:marTop w:val="0"/>
                          <w:marBottom w:val="0"/>
                          <w:divBdr>
                            <w:top w:val="none" w:sz="0" w:space="0" w:color="auto"/>
                            <w:left w:val="none" w:sz="0" w:space="0" w:color="auto"/>
                            <w:bottom w:val="none" w:sz="0" w:space="0" w:color="auto"/>
                            <w:right w:val="none" w:sz="0" w:space="0" w:color="auto"/>
                          </w:divBdr>
                          <w:divsChild>
                            <w:div w:id="1157041568">
                              <w:marLeft w:val="0"/>
                              <w:marRight w:val="0"/>
                              <w:marTop w:val="0"/>
                              <w:marBottom w:val="0"/>
                              <w:divBdr>
                                <w:top w:val="none" w:sz="0" w:space="0" w:color="auto"/>
                                <w:left w:val="none" w:sz="0" w:space="0" w:color="auto"/>
                                <w:bottom w:val="none" w:sz="0" w:space="0" w:color="auto"/>
                                <w:right w:val="none" w:sz="0" w:space="0" w:color="auto"/>
                              </w:divBdr>
                              <w:divsChild>
                                <w:div w:id="1469399723">
                                  <w:marLeft w:val="0"/>
                                  <w:marRight w:val="0"/>
                                  <w:marTop w:val="0"/>
                                  <w:marBottom w:val="0"/>
                                  <w:divBdr>
                                    <w:top w:val="none" w:sz="0" w:space="0" w:color="auto"/>
                                    <w:left w:val="none" w:sz="0" w:space="0" w:color="auto"/>
                                    <w:bottom w:val="none" w:sz="0" w:space="0" w:color="auto"/>
                                    <w:right w:val="none" w:sz="0" w:space="0" w:color="auto"/>
                                  </w:divBdr>
                                  <w:divsChild>
                                    <w:div w:id="1256862085">
                                      <w:marLeft w:val="0"/>
                                      <w:marRight w:val="0"/>
                                      <w:marTop w:val="0"/>
                                      <w:marBottom w:val="0"/>
                                      <w:divBdr>
                                        <w:top w:val="none" w:sz="0" w:space="0" w:color="auto"/>
                                        <w:left w:val="none" w:sz="0" w:space="0" w:color="auto"/>
                                        <w:bottom w:val="none" w:sz="0" w:space="0" w:color="auto"/>
                                        <w:right w:val="none" w:sz="0" w:space="0" w:color="auto"/>
                                      </w:divBdr>
                                      <w:divsChild>
                                        <w:div w:id="90275597">
                                          <w:marLeft w:val="0"/>
                                          <w:marRight w:val="0"/>
                                          <w:marTop w:val="0"/>
                                          <w:marBottom w:val="0"/>
                                          <w:divBdr>
                                            <w:top w:val="none" w:sz="0" w:space="0" w:color="auto"/>
                                            <w:left w:val="none" w:sz="0" w:space="0" w:color="auto"/>
                                            <w:bottom w:val="none" w:sz="0" w:space="0" w:color="auto"/>
                                            <w:right w:val="none" w:sz="0" w:space="0" w:color="auto"/>
                                          </w:divBdr>
                                          <w:divsChild>
                                            <w:div w:id="1402754267">
                                              <w:marLeft w:val="0"/>
                                              <w:marRight w:val="0"/>
                                              <w:marTop w:val="0"/>
                                              <w:marBottom w:val="0"/>
                                              <w:divBdr>
                                                <w:top w:val="single" w:sz="4" w:space="0" w:color="F5F5F5"/>
                                                <w:left w:val="single" w:sz="4" w:space="0" w:color="F5F5F5"/>
                                                <w:bottom w:val="single" w:sz="4" w:space="0" w:color="F5F5F5"/>
                                                <w:right w:val="single" w:sz="4" w:space="0" w:color="F5F5F5"/>
                                              </w:divBdr>
                                              <w:divsChild>
                                                <w:div w:id="468673445">
                                                  <w:marLeft w:val="0"/>
                                                  <w:marRight w:val="0"/>
                                                  <w:marTop w:val="0"/>
                                                  <w:marBottom w:val="0"/>
                                                  <w:divBdr>
                                                    <w:top w:val="none" w:sz="0" w:space="0" w:color="auto"/>
                                                    <w:left w:val="none" w:sz="0" w:space="0" w:color="auto"/>
                                                    <w:bottom w:val="none" w:sz="0" w:space="0" w:color="auto"/>
                                                    <w:right w:val="none" w:sz="0" w:space="0" w:color="auto"/>
                                                  </w:divBdr>
                                                  <w:divsChild>
                                                    <w:div w:id="76946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3604568">
      <w:bodyDiv w:val="1"/>
      <w:marLeft w:val="0"/>
      <w:marRight w:val="0"/>
      <w:marTop w:val="0"/>
      <w:marBottom w:val="0"/>
      <w:divBdr>
        <w:top w:val="none" w:sz="0" w:space="0" w:color="auto"/>
        <w:left w:val="none" w:sz="0" w:space="0" w:color="auto"/>
        <w:bottom w:val="none" w:sz="0" w:space="0" w:color="auto"/>
        <w:right w:val="none" w:sz="0" w:space="0" w:color="auto"/>
      </w:divBdr>
    </w:div>
    <w:div w:id="323170230">
      <w:bodyDiv w:val="1"/>
      <w:marLeft w:val="0"/>
      <w:marRight w:val="0"/>
      <w:marTop w:val="0"/>
      <w:marBottom w:val="0"/>
      <w:divBdr>
        <w:top w:val="none" w:sz="0" w:space="0" w:color="auto"/>
        <w:left w:val="none" w:sz="0" w:space="0" w:color="auto"/>
        <w:bottom w:val="none" w:sz="0" w:space="0" w:color="auto"/>
        <w:right w:val="none" w:sz="0" w:space="0" w:color="auto"/>
      </w:divBdr>
      <w:divsChild>
        <w:div w:id="1173107269">
          <w:marLeft w:val="0"/>
          <w:marRight w:val="0"/>
          <w:marTop w:val="0"/>
          <w:marBottom w:val="0"/>
          <w:divBdr>
            <w:top w:val="none" w:sz="0" w:space="0" w:color="auto"/>
            <w:left w:val="none" w:sz="0" w:space="0" w:color="auto"/>
            <w:bottom w:val="none" w:sz="0" w:space="0" w:color="auto"/>
            <w:right w:val="none" w:sz="0" w:space="0" w:color="auto"/>
          </w:divBdr>
          <w:divsChild>
            <w:div w:id="2063095599">
              <w:marLeft w:val="0"/>
              <w:marRight w:val="0"/>
              <w:marTop w:val="0"/>
              <w:marBottom w:val="0"/>
              <w:divBdr>
                <w:top w:val="none" w:sz="0" w:space="0" w:color="auto"/>
                <w:left w:val="none" w:sz="0" w:space="0" w:color="auto"/>
                <w:bottom w:val="none" w:sz="0" w:space="0" w:color="auto"/>
                <w:right w:val="none" w:sz="0" w:space="0" w:color="auto"/>
              </w:divBdr>
              <w:divsChild>
                <w:div w:id="2135169683">
                  <w:marLeft w:val="0"/>
                  <w:marRight w:val="0"/>
                  <w:marTop w:val="0"/>
                  <w:marBottom w:val="0"/>
                  <w:divBdr>
                    <w:top w:val="none" w:sz="0" w:space="0" w:color="auto"/>
                    <w:left w:val="none" w:sz="0" w:space="0" w:color="auto"/>
                    <w:bottom w:val="none" w:sz="0" w:space="0" w:color="auto"/>
                    <w:right w:val="none" w:sz="0" w:space="0" w:color="auto"/>
                  </w:divBdr>
                  <w:divsChild>
                    <w:div w:id="299917509">
                      <w:marLeft w:val="0"/>
                      <w:marRight w:val="0"/>
                      <w:marTop w:val="0"/>
                      <w:marBottom w:val="0"/>
                      <w:divBdr>
                        <w:top w:val="none" w:sz="0" w:space="0" w:color="auto"/>
                        <w:left w:val="none" w:sz="0" w:space="0" w:color="auto"/>
                        <w:bottom w:val="none" w:sz="0" w:space="0" w:color="auto"/>
                        <w:right w:val="none" w:sz="0" w:space="0" w:color="auto"/>
                      </w:divBdr>
                      <w:divsChild>
                        <w:div w:id="1550647987">
                          <w:marLeft w:val="0"/>
                          <w:marRight w:val="0"/>
                          <w:marTop w:val="0"/>
                          <w:marBottom w:val="0"/>
                          <w:divBdr>
                            <w:top w:val="none" w:sz="0" w:space="0" w:color="auto"/>
                            <w:left w:val="none" w:sz="0" w:space="0" w:color="auto"/>
                            <w:bottom w:val="none" w:sz="0" w:space="0" w:color="auto"/>
                            <w:right w:val="none" w:sz="0" w:space="0" w:color="auto"/>
                          </w:divBdr>
                          <w:divsChild>
                            <w:div w:id="2106227226">
                              <w:marLeft w:val="0"/>
                              <w:marRight w:val="0"/>
                              <w:marTop w:val="0"/>
                              <w:marBottom w:val="0"/>
                              <w:divBdr>
                                <w:top w:val="none" w:sz="0" w:space="0" w:color="auto"/>
                                <w:left w:val="none" w:sz="0" w:space="0" w:color="auto"/>
                                <w:bottom w:val="none" w:sz="0" w:space="0" w:color="auto"/>
                                <w:right w:val="none" w:sz="0" w:space="0" w:color="auto"/>
                              </w:divBdr>
                              <w:divsChild>
                                <w:div w:id="2056663554">
                                  <w:marLeft w:val="0"/>
                                  <w:marRight w:val="0"/>
                                  <w:marTop w:val="0"/>
                                  <w:marBottom w:val="0"/>
                                  <w:divBdr>
                                    <w:top w:val="none" w:sz="0" w:space="0" w:color="auto"/>
                                    <w:left w:val="none" w:sz="0" w:space="0" w:color="auto"/>
                                    <w:bottom w:val="none" w:sz="0" w:space="0" w:color="auto"/>
                                    <w:right w:val="none" w:sz="0" w:space="0" w:color="auto"/>
                                  </w:divBdr>
                                  <w:divsChild>
                                    <w:div w:id="991786082">
                                      <w:marLeft w:val="0"/>
                                      <w:marRight w:val="0"/>
                                      <w:marTop w:val="0"/>
                                      <w:marBottom w:val="0"/>
                                      <w:divBdr>
                                        <w:top w:val="none" w:sz="0" w:space="0" w:color="auto"/>
                                        <w:left w:val="none" w:sz="0" w:space="0" w:color="auto"/>
                                        <w:bottom w:val="none" w:sz="0" w:space="0" w:color="auto"/>
                                        <w:right w:val="none" w:sz="0" w:space="0" w:color="auto"/>
                                      </w:divBdr>
                                      <w:divsChild>
                                        <w:div w:id="1585453923">
                                          <w:marLeft w:val="0"/>
                                          <w:marRight w:val="0"/>
                                          <w:marTop w:val="0"/>
                                          <w:marBottom w:val="0"/>
                                          <w:divBdr>
                                            <w:top w:val="none" w:sz="0" w:space="0" w:color="auto"/>
                                            <w:left w:val="none" w:sz="0" w:space="0" w:color="auto"/>
                                            <w:bottom w:val="none" w:sz="0" w:space="0" w:color="auto"/>
                                            <w:right w:val="none" w:sz="0" w:space="0" w:color="auto"/>
                                          </w:divBdr>
                                          <w:divsChild>
                                            <w:div w:id="599604591">
                                              <w:marLeft w:val="0"/>
                                              <w:marRight w:val="0"/>
                                              <w:marTop w:val="0"/>
                                              <w:marBottom w:val="0"/>
                                              <w:divBdr>
                                                <w:top w:val="single" w:sz="4" w:space="0" w:color="F5F5F5"/>
                                                <w:left w:val="single" w:sz="4" w:space="0" w:color="F5F5F5"/>
                                                <w:bottom w:val="single" w:sz="4" w:space="0" w:color="F5F5F5"/>
                                                <w:right w:val="single" w:sz="4" w:space="0" w:color="F5F5F5"/>
                                              </w:divBdr>
                                              <w:divsChild>
                                                <w:div w:id="530916642">
                                                  <w:marLeft w:val="0"/>
                                                  <w:marRight w:val="0"/>
                                                  <w:marTop w:val="0"/>
                                                  <w:marBottom w:val="0"/>
                                                  <w:divBdr>
                                                    <w:top w:val="none" w:sz="0" w:space="0" w:color="auto"/>
                                                    <w:left w:val="none" w:sz="0" w:space="0" w:color="auto"/>
                                                    <w:bottom w:val="none" w:sz="0" w:space="0" w:color="auto"/>
                                                    <w:right w:val="none" w:sz="0" w:space="0" w:color="auto"/>
                                                  </w:divBdr>
                                                  <w:divsChild>
                                                    <w:div w:id="75671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10832668">
      <w:bodyDiv w:val="1"/>
      <w:marLeft w:val="0"/>
      <w:marRight w:val="0"/>
      <w:marTop w:val="0"/>
      <w:marBottom w:val="0"/>
      <w:divBdr>
        <w:top w:val="none" w:sz="0" w:space="0" w:color="auto"/>
        <w:left w:val="none" w:sz="0" w:space="0" w:color="auto"/>
        <w:bottom w:val="none" w:sz="0" w:space="0" w:color="auto"/>
        <w:right w:val="none" w:sz="0" w:space="0" w:color="auto"/>
      </w:divBdr>
      <w:divsChild>
        <w:div w:id="1584030538">
          <w:marLeft w:val="0"/>
          <w:marRight w:val="0"/>
          <w:marTop w:val="0"/>
          <w:marBottom w:val="0"/>
          <w:divBdr>
            <w:top w:val="none" w:sz="0" w:space="0" w:color="auto"/>
            <w:left w:val="none" w:sz="0" w:space="0" w:color="auto"/>
            <w:bottom w:val="none" w:sz="0" w:space="0" w:color="auto"/>
            <w:right w:val="none" w:sz="0" w:space="0" w:color="auto"/>
          </w:divBdr>
          <w:divsChild>
            <w:div w:id="1874414156">
              <w:marLeft w:val="0"/>
              <w:marRight w:val="0"/>
              <w:marTop w:val="0"/>
              <w:marBottom w:val="0"/>
              <w:divBdr>
                <w:top w:val="none" w:sz="0" w:space="0" w:color="auto"/>
                <w:left w:val="none" w:sz="0" w:space="0" w:color="auto"/>
                <w:bottom w:val="none" w:sz="0" w:space="0" w:color="auto"/>
                <w:right w:val="none" w:sz="0" w:space="0" w:color="auto"/>
              </w:divBdr>
              <w:divsChild>
                <w:div w:id="1248998813">
                  <w:marLeft w:val="0"/>
                  <w:marRight w:val="0"/>
                  <w:marTop w:val="0"/>
                  <w:marBottom w:val="0"/>
                  <w:divBdr>
                    <w:top w:val="none" w:sz="0" w:space="0" w:color="auto"/>
                    <w:left w:val="none" w:sz="0" w:space="0" w:color="auto"/>
                    <w:bottom w:val="none" w:sz="0" w:space="0" w:color="auto"/>
                    <w:right w:val="none" w:sz="0" w:space="0" w:color="auto"/>
                  </w:divBdr>
                  <w:divsChild>
                    <w:div w:id="1561864650">
                      <w:marLeft w:val="0"/>
                      <w:marRight w:val="0"/>
                      <w:marTop w:val="0"/>
                      <w:marBottom w:val="0"/>
                      <w:divBdr>
                        <w:top w:val="none" w:sz="0" w:space="0" w:color="auto"/>
                        <w:left w:val="none" w:sz="0" w:space="0" w:color="auto"/>
                        <w:bottom w:val="none" w:sz="0" w:space="0" w:color="auto"/>
                        <w:right w:val="none" w:sz="0" w:space="0" w:color="auto"/>
                      </w:divBdr>
                      <w:divsChild>
                        <w:div w:id="2000307454">
                          <w:marLeft w:val="0"/>
                          <w:marRight w:val="0"/>
                          <w:marTop w:val="0"/>
                          <w:marBottom w:val="0"/>
                          <w:divBdr>
                            <w:top w:val="none" w:sz="0" w:space="0" w:color="auto"/>
                            <w:left w:val="none" w:sz="0" w:space="0" w:color="auto"/>
                            <w:bottom w:val="none" w:sz="0" w:space="0" w:color="auto"/>
                            <w:right w:val="none" w:sz="0" w:space="0" w:color="auto"/>
                          </w:divBdr>
                          <w:divsChild>
                            <w:div w:id="1819835264">
                              <w:marLeft w:val="0"/>
                              <w:marRight w:val="0"/>
                              <w:marTop w:val="0"/>
                              <w:marBottom w:val="0"/>
                              <w:divBdr>
                                <w:top w:val="none" w:sz="0" w:space="0" w:color="auto"/>
                                <w:left w:val="none" w:sz="0" w:space="0" w:color="auto"/>
                                <w:bottom w:val="none" w:sz="0" w:space="0" w:color="auto"/>
                                <w:right w:val="none" w:sz="0" w:space="0" w:color="auto"/>
                              </w:divBdr>
                              <w:divsChild>
                                <w:div w:id="453524837">
                                  <w:marLeft w:val="0"/>
                                  <w:marRight w:val="0"/>
                                  <w:marTop w:val="0"/>
                                  <w:marBottom w:val="0"/>
                                  <w:divBdr>
                                    <w:top w:val="none" w:sz="0" w:space="0" w:color="auto"/>
                                    <w:left w:val="none" w:sz="0" w:space="0" w:color="auto"/>
                                    <w:bottom w:val="none" w:sz="0" w:space="0" w:color="auto"/>
                                    <w:right w:val="none" w:sz="0" w:space="0" w:color="auto"/>
                                  </w:divBdr>
                                  <w:divsChild>
                                    <w:div w:id="834414505">
                                      <w:marLeft w:val="0"/>
                                      <w:marRight w:val="0"/>
                                      <w:marTop w:val="0"/>
                                      <w:marBottom w:val="0"/>
                                      <w:divBdr>
                                        <w:top w:val="none" w:sz="0" w:space="0" w:color="auto"/>
                                        <w:left w:val="none" w:sz="0" w:space="0" w:color="auto"/>
                                        <w:bottom w:val="none" w:sz="0" w:space="0" w:color="auto"/>
                                        <w:right w:val="none" w:sz="0" w:space="0" w:color="auto"/>
                                      </w:divBdr>
                                      <w:divsChild>
                                        <w:div w:id="1019812280">
                                          <w:marLeft w:val="0"/>
                                          <w:marRight w:val="0"/>
                                          <w:marTop w:val="0"/>
                                          <w:marBottom w:val="0"/>
                                          <w:divBdr>
                                            <w:top w:val="none" w:sz="0" w:space="0" w:color="auto"/>
                                            <w:left w:val="none" w:sz="0" w:space="0" w:color="auto"/>
                                            <w:bottom w:val="none" w:sz="0" w:space="0" w:color="auto"/>
                                            <w:right w:val="none" w:sz="0" w:space="0" w:color="auto"/>
                                          </w:divBdr>
                                          <w:divsChild>
                                            <w:div w:id="1818188074">
                                              <w:marLeft w:val="0"/>
                                              <w:marRight w:val="0"/>
                                              <w:marTop w:val="0"/>
                                              <w:marBottom w:val="0"/>
                                              <w:divBdr>
                                                <w:top w:val="single" w:sz="4" w:space="0" w:color="F5F5F5"/>
                                                <w:left w:val="single" w:sz="4" w:space="0" w:color="F5F5F5"/>
                                                <w:bottom w:val="single" w:sz="4" w:space="0" w:color="F5F5F5"/>
                                                <w:right w:val="single" w:sz="4" w:space="0" w:color="F5F5F5"/>
                                              </w:divBdr>
                                              <w:divsChild>
                                                <w:div w:id="1427924588">
                                                  <w:marLeft w:val="0"/>
                                                  <w:marRight w:val="0"/>
                                                  <w:marTop w:val="0"/>
                                                  <w:marBottom w:val="0"/>
                                                  <w:divBdr>
                                                    <w:top w:val="none" w:sz="0" w:space="0" w:color="auto"/>
                                                    <w:left w:val="none" w:sz="0" w:space="0" w:color="auto"/>
                                                    <w:bottom w:val="none" w:sz="0" w:space="0" w:color="auto"/>
                                                    <w:right w:val="none" w:sz="0" w:space="0" w:color="auto"/>
                                                  </w:divBdr>
                                                  <w:divsChild>
                                                    <w:div w:id="40989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38082066">
      <w:bodyDiv w:val="1"/>
      <w:marLeft w:val="0"/>
      <w:marRight w:val="0"/>
      <w:marTop w:val="0"/>
      <w:marBottom w:val="0"/>
      <w:divBdr>
        <w:top w:val="none" w:sz="0" w:space="0" w:color="auto"/>
        <w:left w:val="none" w:sz="0" w:space="0" w:color="auto"/>
        <w:bottom w:val="none" w:sz="0" w:space="0" w:color="auto"/>
        <w:right w:val="none" w:sz="0" w:space="0" w:color="auto"/>
      </w:divBdr>
      <w:divsChild>
        <w:div w:id="75059637">
          <w:marLeft w:val="0"/>
          <w:marRight w:val="0"/>
          <w:marTop w:val="0"/>
          <w:marBottom w:val="0"/>
          <w:divBdr>
            <w:top w:val="none" w:sz="0" w:space="0" w:color="auto"/>
            <w:left w:val="none" w:sz="0" w:space="0" w:color="auto"/>
            <w:bottom w:val="none" w:sz="0" w:space="0" w:color="auto"/>
            <w:right w:val="none" w:sz="0" w:space="0" w:color="auto"/>
          </w:divBdr>
          <w:divsChild>
            <w:div w:id="2013875098">
              <w:marLeft w:val="0"/>
              <w:marRight w:val="0"/>
              <w:marTop w:val="0"/>
              <w:marBottom w:val="0"/>
              <w:divBdr>
                <w:top w:val="none" w:sz="0" w:space="0" w:color="auto"/>
                <w:left w:val="none" w:sz="0" w:space="0" w:color="auto"/>
                <w:bottom w:val="none" w:sz="0" w:space="0" w:color="auto"/>
                <w:right w:val="none" w:sz="0" w:space="0" w:color="auto"/>
              </w:divBdr>
              <w:divsChild>
                <w:div w:id="1192497456">
                  <w:marLeft w:val="0"/>
                  <w:marRight w:val="0"/>
                  <w:marTop w:val="0"/>
                  <w:marBottom w:val="0"/>
                  <w:divBdr>
                    <w:top w:val="none" w:sz="0" w:space="0" w:color="auto"/>
                    <w:left w:val="none" w:sz="0" w:space="0" w:color="auto"/>
                    <w:bottom w:val="none" w:sz="0" w:space="0" w:color="auto"/>
                    <w:right w:val="none" w:sz="0" w:space="0" w:color="auto"/>
                  </w:divBdr>
                  <w:divsChild>
                    <w:div w:id="1192036921">
                      <w:marLeft w:val="0"/>
                      <w:marRight w:val="0"/>
                      <w:marTop w:val="0"/>
                      <w:marBottom w:val="0"/>
                      <w:divBdr>
                        <w:top w:val="none" w:sz="0" w:space="0" w:color="auto"/>
                        <w:left w:val="none" w:sz="0" w:space="0" w:color="auto"/>
                        <w:bottom w:val="none" w:sz="0" w:space="0" w:color="auto"/>
                        <w:right w:val="none" w:sz="0" w:space="0" w:color="auto"/>
                      </w:divBdr>
                      <w:divsChild>
                        <w:div w:id="166336906">
                          <w:marLeft w:val="0"/>
                          <w:marRight w:val="0"/>
                          <w:marTop w:val="0"/>
                          <w:marBottom w:val="0"/>
                          <w:divBdr>
                            <w:top w:val="none" w:sz="0" w:space="0" w:color="auto"/>
                            <w:left w:val="none" w:sz="0" w:space="0" w:color="auto"/>
                            <w:bottom w:val="none" w:sz="0" w:space="0" w:color="auto"/>
                            <w:right w:val="none" w:sz="0" w:space="0" w:color="auto"/>
                          </w:divBdr>
                          <w:divsChild>
                            <w:div w:id="1833713465">
                              <w:marLeft w:val="0"/>
                              <w:marRight w:val="0"/>
                              <w:marTop w:val="0"/>
                              <w:marBottom w:val="0"/>
                              <w:divBdr>
                                <w:top w:val="none" w:sz="0" w:space="0" w:color="auto"/>
                                <w:left w:val="none" w:sz="0" w:space="0" w:color="auto"/>
                                <w:bottom w:val="none" w:sz="0" w:space="0" w:color="auto"/>
                                <w:right w:val="none" w:sz="0" w:space="0" w:color="auto"/>
                              </w:divBdr>
                              <w:divsChild>
                                <w:div w:id="835460358">
                                  <w:marLeft w:val="0"/>
                                  <w:marRight w:val="0"/>
                                  <w:marTop w:val="0"/>
                                  <w:marBottom w:val="0"/>
                                  <w:divBdr>
                                    <w:top w:val="none" w:sz="0" w:space="0" w:color="auto"/>
                                    <w:left w:val="none" w:sz="0" w:space="0" w:color="auto"/>
                                    <w:bottom w:val="none" w:sz="0" w:space="0" w:color="auto"/>
                                    <w:right w:val="none" w:sz="0" w:space="0" w:color="auto"/>
                                  </w:divBdr>
                                  <w:divsChild>
                                    <w:div w:id="2047171225">
                                      <w:marLeft w:val="0"/>
                                      <w:marRight w:val="0"/>
                                      <w:marTop w:val="0"/>
                                      <w:marBottom w:val="0"/>
                                      <w:divBdr>
                                        <w:top w:val="none" w:sz="0" w:space="0" w:color="auto"/>
                                        <w:left w:val="none" w:sz="0" w:space="0" w:color="auto"/>
                                        <w:bottom w:val="none" w:sz="0" w:space="0" w:color="auto"/>
                                        <w:right w:val="none" w:sz="0" w:space="0" w:color="auto"/>
                                      </w:divBdr>
                                      <w:divsChild>
                                        <w:div w:id="385759579">
                                          <w:marLeft w:val="0"/>
                                          <w:marRight w:val="0"/>
                                          <w:marTop w:val="0"/>
                                          <w:marBottom w:val="0"/>
                                          <w:divBdr>
                                            <w:top w:val="none" w:sz="0" w:space="0" w:color="auto"/>
                                            <w:left w:val="none" w:sz="0" w:space="0" w:color="auto"/>
                                            <w:bottom w:val="none" w:sz="0" w:space="0" w:color="auto"/>
                                            <w:right w:val="none" w:sz="0" w:space="0" w:color="auto"/>
                                          </w:divBdr>
                                          <w:divsChild>
                                            <w:div w:id="1095057700">
                                              <w:marLeft w:val="0"/>
                                              <w:marRight w:val="0"/>
                                              <w:marTop w:val="0"/>
                                              <w:marBottom w:val="0"/>
                                              <w:divBdr>
                                                <w:top w:val="single" w:sz="4" w:space="0" w:color="F5F5F5"/>
                                                <w:left w:val="single" w:sz="4" w:space="0" w:color="F5F5F5"/>
                                                <w:bottom w:val="single" w:sz="4" w:space="0" w:color="F5F5F5"/>
                                                <w:right w:val="single" w:sz="4" w:space="0" w:color="F5F5F5"/>
                                              </w:divBdr>
                                              <w:divsChild>
                                                <w:div w:id="1811165900">
                                                  <w:marLeft w:val="0"/>
                                                  <w:marRight w:val="0"/>
                                                  <w:marTop w:val="0"/>
                                                  <w:marBottom w:val="0"/>
                                                  <w:divBdr>
                                                    <w:top w:val="none" w:sz="0" w:space="0" w:color="auto"/>
                                                    <w:left w:val="none" w:sz="0" w:space="0" w:color="auto"/>
                                                    <w:bottom w:val="none" w:sz="0" w:space="0" w:color="auto"/>
                                                    <w:right w:val="none" w:sz="0" w:space="0" w:color="auto"/>
                                                  </w:divBdr>
                                                  <w:divsChild>
                                                    <w:div w:id="123119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3877651">
      <w:bodyDiv w:val="1"/>
      <w:marLeft w:val="0"/>
      <w:marRight w:val="0"/>
      <w:marTop w:val="0"/>
      <w:marBottom w:val="0"/>
      <w:divBdr>
        <w:top w:val="none" w:sz="0" w:space="0" w:color="auto"/>
        <w:left w:val="none" w:sz="0" w:space="0" w:color="auto"/>
        <w:bottom w:val="none" w:sz="0" w:space="0" w:color="auto"/>
        <w:right w:val="none" w:sz="0" w:space="0" w:color="auto"/>
      </w:divBdr>
      <w:divsChild>
        <w:div w:id="599143632">
          <w:marLeft w:val="0"/>
          <w:marRight w:val="0"/>
          <w:marTop w:val="0"/>
          <w:marBottom w:val="0"/>
          <w:divBdr>
            <w:top w:val="none" w:sz="0" w:space="0" w:color="auto"/>
            <w:left w:val="none" w:sz="0" w:space="0" w:color="auto"/>
            <w:bottom w:val="none" w:sz="0" w:space="0" w:color="auto"/>
            <w:right w:val="none" w:sz="0" w:space="0" w:color="auto"/>
          </w:divBdr>
          <w:divsChild>
            <w:div w:id="1206335790">
              <w:marLeft w:val="0"/>
              <w:marRight w:val="0"/>
              <w:marTop w:val="0"/>
              <w:marBottom w:val="0"/>
              <w:divBdr>
                <w:top w:val="none" w:sz="0" w:space="0" w:color="auto"/>
                <w:left w:val="none" w:sz="0" w:space="0" w:color="auto"/>
                <w:bottom w:val="none" w:sz="0" w:space="0" w:color="auto"/>
                <w:right w:val="none" w:sz="0" w:space="0" w:color="auto"/>
              </w:divBdr>
              <w:divsChild>
                <w:div w:id="1754469643">
                  <w:marLeft w:val="0"/>
                  <w:marRight w:val="0"/>
                  <w:marTop w:val="0"/>
                  <w:marBottom w:val="0"/>
                  <w:divBdr>
                    <w:top w:val="none" w:sz="0" w:space="0" w:color="auto"/>
                    <w:left w:val="none" w:sz="0" w:space="0" w:color="auto"/>
                    <w:bottom w:val="none" w:sz="0" w:space="0" w:color="auto"/>
                    <w:right w:val="none" w:sz="0" w:space="0" w:color="auto"/>
                  </w:divBdr>
                  <w:divsChild>
                    <w:div w:id="1737314639">
                      <w:marLeft w:val="0"/>
                      <w:marRight w:val="0"/>
                      <w:marTop w:val="0"/>
                      <w:marBottom w:val="0"/>
                      <w:divBdr>
                        <w:top w:val="none" w:sz="0" w:space="0" w:color="auto"/>
                        <w:left w:val="none" w:sz="0" w:space="0" w:color="auto"/>
                        <w:bottom w:val="none" w:sz="0" w:space="0" w:color="auto"/>
                        <w:right w:val="none" w:sz="0" w:space="0" w:color="auto"/>
                      </w:divBdr>
                      <w:divsChild>
                        <w:div w:id="1939215050">
                          <w:marLeft w:val="0"/>
                          <w:marRight w:val="0"/>
                          <w:marTop w:val="0"/>
                          <w:marBottom w:val="0"/>
                          <w:divBdr>
                            <w:top w:val="none" w:sz="0" w:space="0" w:color="auto"/>
                            <w:left w:val="none" w:sz="0" w:space="0" w:color="auto"/>
                            <w:bottom w:val="none" w:sz="0" w:space="0" w:color="auto"/>
                            <w:right w:val="none" w:sz="0" w:space="0" w:color="auto"/>
                          </w:divBdr>
                          <w:divsChild>
                            <w:div w:id="506020391">
                              <w:marLeft w:val="0"/>
                              <w:marRight w:val="0"/>
                              <w:marTop w:val="0"/>
                              <w:marBottom w:val="0"/>
                              <w:divBdr>
                                <w:top w:val="none" w:sz="0" w:space="0" w:color="auto"/>
                                <w:left w:val="none" w:sz="0" w:space="0" w:color="auto"/>
                                <w:bottom w:val="none" w:sz="0" w:space="0" w:color="auto"/>
                                <w:right w:val="none" w:sz="0" w:space="0" w:color="auto"/>
                              </w:divBdr>
                              <w:divsChild>
                                <w:div w:id="324091849">
                                  <w:marLeft w:val="0"/>
                                  <w:marRight w:val="0"/>
                                  <w:marTop w:val="0"/>
                                  <w:marBottom w:val="0"/>
                                  <w:divBdr>
                                    <w:top w:val="none" w:sz="0" w:space="0" w:color="auto"/>
                                    <w:left w:val="none" w:sz="0" w:space="0" w:color="auto"/>
                                    <w:bottom w:val="none" w:sz="0" w:space="0" w:color="auto"/>
                                    <w:right w:val="none" w:sz="0" w:space="0" w:color="auto"/>
                                  </w:divBdr>
                                  <w:divsChild>
                                    <w:div w:id="1036349979">
                                      <w:marLeft w:val="0"/>
                                      <w:marRight w:val="0"/>
                                      <w:marTop w:val="0"/>
                                      <w:marBottom w:val="0"/>
                                      <w:divBdr>
                                        <w:top w:val="none" w:sz="0" w:space="0" w:color="auto"/>
                                        <w:left w:val="none" w:sz="0" w:space="0" w:color="auto"/>
                                        <w:bottom w:val="none" w:sz="0" w:space="0" w:color="auto"/>
                                        <w:right w:val="none" w:sz="0" w:space="0" w:color="auto"/>
                                      </w:divBdr>
                                      <w:divsChild>
                                        <w:div w:id="1799490472">
                                          <w:marLeft w:val="0"/>
                                          <w:marRight w:val="0"/>
                                          <w:marTop w:val="0"/>
                                          <w:marBottom w:val="0"/>
                                          <w:divBdr>
                                            <w:top w:val="none" w:sz="0" w:space="0" w:color="auto"/>
                                            <w:left w:val="none" w:sz="0" w:space="0" w:color="auto"/>
                                            <w:bottom w:val="none" w:sz="0" w:space="0" w:color="auto"/>
                                            <w:right w:val="none" w:sz="0" w:space="0" w:color="auto"/>
                                          </w:divBdr>
                                          <w:divsChild>
                                            <w:div w:id="1740514119">
                                              <w:marLeft w:val="0"/>
                                              <w:marRight w:val="0"/>
                                              <w:marTop w:val="0"/>
                                              <w:marBottom w:val="0"/>
                                              <w:divBdr>
                                                <w:top w:val="single" w:sz="4" w:space="0" w:color="F5F5F5"/>
                                                <w:left w:val="single" w:sz="4" w:space="0" w:color="F5F5F5"/>
                                                <w:bottom w:val="single" w:sz="4" w:space="0" w:color="F5F5F5"/>
                                                <w:right w:val="single" w:sz="4" w:space="0" w:color="F5F5F5"/>
                                              </w:divBdr>
                                              <w:divsChild>
                                                <w:div w:id="1042166617">
                                                  <w:marLeft w:val="0"/>
                                                  <w:marRight w:val="0"/>
                                                  <w:marTop w:val="0"/>
                                                  <w:marBottom w:val="0"/>
                                                  <w:divBdr>
                                                    <w:top w:val="none" w:sz="0" w:space="0" w:color="auto"/>
                                                    <w:left w:val="none" w:sz="0" w:space="0" w:color="auto"/>
                                                    <w:bottom w:val="none" w:sz="0" w:space="0" w:color="auto"/>
                                                    <w:right w:val="none" w:sz="0" w:space="0" w:color="auto"/>
                                                  </w:divBdr>
                                                  <w:divsChild>
                                                    <w:div w:id="90460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ctep.cancer.gov/reporting/ctc.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MEDISi%20Synopsis%20CTR%20S2%20Template%20July%202008%20v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MEDISi Synopsis CTR S2 Template July 2008 v3.dot</Template>
  <TotalTime>0</TotalTime>
  <Pages>7</Pages>
  <Words>1918</Words>
  <Characters>10938</Characters>
  <Application>Microsoft Office Word</Application>
  <DocSecurity>0</DocSecurity>
  <Lines>91</Lines>
  <Paragraphs>25</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1</vt:lpstr>
      <vt:lpstr>1</vt:lpstr>
    </vt:vector>
  </TitlesOfParts>
  <Company>Merck KGaA Darmstadt Germany</Company>
  <LinksUpToDate>false</LinksUpToDate>
  <CharactersWithSpaces>12831</CharactersWithSpaces>
  <SharedDoc>false</SharedDoc>
  <HLinks>
    <vt:vector size="6" baseType="variant">
      <vt:variant>
        <vt:i4>1638426</vt:i4>
      </vt:variant>
      <vt:variant>
        <vt:i4>0</vt:i4>
      </vt:variant>
      <vt:variant>
        <vt:i4>0</vt:i4>
      </vt:variant>
      <vt:variant>
        <vt:i4>5</vt:i4>
      </vt:variant>
      <vt:variant>
        <vt:lpwstr>http://ctep.cancer.gov/reporting/ctc.html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m134628</dc:creator>
  <cp:keywords/>
  <cp:lastModifiedBy>NasaNet</cp:lastModifiedBy>
  <cp:revision>2</cp:revision>
  <dcterms:created xsi:type="dcterms:W3CDTF">2019-06-26T12:48:00Z</dcterms:created>
  <dcterms:modified xsi:type="dcterms:W3CDTF">2019-06-26T12:48:00Z</dcterms:modified>
</cp:coreProperties>
</file>