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350E" w:rsidRPr="005E5CC8" w:rsidRDefault="005E5CC8" w:rsidP="005E5CC8">
      <w:pPr>
        <w:jc w:val="both"/>
        <w:rPr>
          <w:lang w:val="en-US"/>
        </w:rPr>
      </w:pPr>
      <w:r w:rsidRPr="005E5CC8">
        <w:rPr>
          <w:lang w:val="en-US"/>
        </w:rPr>
        <w:t>Summary</w:t>
      </w:r>
      <w:bookmarkStart w:id="0" w:name="_GoBack"/>
      <w:bookmarkEnd w:id="0"/>
    </w:p>
    <w:p w:rsidR="005E5CC8" w:rsidRPr="009A2B3C" w:rsidRDefault="005E5CC8" w:rsidP="005E5CC8">
      <w:pPr>
        <w:widowControl w:val="0"/>
        <w:spacing w:before="60"/>
        <w:ind w:right="100"/>
        <w:jc w:val="both"/>
        <w:rPr>
          <w:lang w:val="en-US"/>
        </w:rPr>
      </w:pPr>
      <w:proofErr w:type="spellStart"/>
      <w:r w:rsidRPr="009A2B3C">
        <w:rPr>
          <w:rFonts w:ascii="Arial" w:hAnsi="Arial" w:cs="Arial"/>
          <w:sz w:val="27"/>
          <w:szCs w:val="27"/>
          <w:shd w:val="clear" w:color="auto" w:fill="F5F5F5"/>
          <w:lang w:val="en-US"/>
        </w:rPr>
        <w:t>Rett's</w:t>
      </w:r>
      <w:proofErr w:type="spellEnd"/>
      <w:r w:rsidRPr="009A2B3C">
        <w:rPr>
          <w:rFonts w:ascii="Arial" w:hAnsi="Arial" w:cs="Arial"/>
          <w:sz w:val="27"/>
          <w:szCs w:val="27"/>
          <w:shd w:val="clear" w:color="auto" w:fill="F5F5F5"/>
          <w:lang w:val="en-US"/>
        </w:rPr>
        <w:t xml:space="preserve"> syndrome is a neurodevelopmental condition that results from a mutation in the MECP2 gene. It involves disorders of the central nervous system (mental handicap), peripheral and autonomous (apnea, cardiovascular disorders) and is the first cause of </w:t>
      </w:r>
      <w:proofErr w:type="spellStart"/>
      <w:r w:rsidRPr="009A2B3C">
        <w:rPr>
          <w:rFonts w:ascii="Arial" w:hAnsi="Arial" w:cs="Arial"/>
          <w:sz w:val="27"/>
          <w:szCs w:val="27"/>
          <w:shd w:val="clear" w:color="auto" w:fill="F5F5F5"/>
          <w:lang w:val="en-US"/>
        </w:rPr>
        <w:t>polyhandicap</w:t>
      </w:r>
      <w:proofErr w:type="spellEnd"/>
      <w:r w:rsidRPr="009A2B3C">
        <w:rPr>
          <w:rFonts w:ascii="Arial" w:hAnsi="Arial" w:cs="Arial"/>
          <w:sz w:val="27"/>
          <w:szCs w:val="27"/>
          <w:shd w:val="clear" w:color="auto" w:fill="F5F5F5"/>
          <w:lang w:val="en-US"/>
        </w:rPr>
        <w:t xml:space="preserve"> of genetic origin. No treatment is available. Only a few cases of improvement have been published concerning </w:t>
      </w:r>
      <w:proofErr w:type="spellStart"/>
      <w:r w:rsidRPr="009A2B3C">
        <w:rPr>
          <w:rFonts w:ascii="Arial" w:hAnsi="Arial" w:cs="Arial"/>
          <w:sz w:val="27"/>
          <w:szCs w:val="27"/>
          <w:shd w:val="clear" w:color="auto" w:fill="F5F5F5"/>
          <w:lang w:val="en-US"/>
        </w:rPr>
        <w:t>buspirone</w:t>
      </w:r>
      <w:proofErr w:type="spellEnd"/>
      <w:r w:rsidRPr="009A2B3C">
        <w:rPr>
          <w:rFonts w:ascii="Arial" w:hAnsi="Arial" w:cs="Arial"/>
          <w:sz w:val="27"/>
          <w:szCs w:val="27"/>
          <w:shd w:val="clear" w:color="auto" w:fill="F5F5F5"/>
          <w:lang w:val="en-US"/>
        </w:rPr>
        <w:t xml:space="preserve"> (1 case </w:t>
      </w:r>
      <w:proofErr w:type="spellStart"/>
      <w:r w:rsidRPr="009A2B3C">
        <w:rPr>
          <w:rFonts w:ascii="Arial" w:hAnsi="Arial" w:cs="Arial"/>
          <w:sz w:val="27"/>
          <w:szCs w:val="27"/>
          <w:shd w:val="clear" w:color="auto" w:fill="F5F5F5"/>
          <w:lang w:val="en-US"/>
        </w:rPr>
        <w:t>Andaku</w:t>
      </w:r>
      <w:proofErr w:type="spellEnd"/>
      <w:r w:rsidRPr="009A2B3C">
        <w:rPr>
          <w:rFonts w:ascii="Arial" w:hAnsi="Arial" w:cs="Arial"/>
          <w:sz w:val="27"/>
          <w:szCs w:val="27"/>
          <w:shd w:val="clear" w:color="auto" w:fill="F5F5F5"/>
          <w:lang w:val="en-US"/>
        </w:rPr>
        <w:t xml:space="preserve">, 2005), </w:t>
      </w:r>
      <w:proofErr w:type="spellStart"/>
      <w:r w:rsidRPr="009A2B3C">
        <w:rPr>
          <w:rFonts w:ascii="Arial" w:hAnsi="Arial" w:cs="Arial"/>
          <w:sz w:val="27"/>
          <w:szCs w:val="27"/>
          <w:shd w:val="clear" w:color="auto" w:fill="F5F5F5"/>
          <w:lang w:val="en-US"/>
        </w:rPr>
        <w:t>topiramate</w:t>
      </w:r>
      <w:proofErr w:type="spellEnd"/>
      <w:r w:rsidRPr="009A2B3C">
        <w:rPr>
          <w:rFonts w:ascii="Arial" w:hAnsi="Arial" w:cs="Arial"/>
          <w:sz w:val="27"/>
          <w:szCs w:val="27"/>
          <w:shd w:val="clear" w:color="auto" w:fill="F5F5F5"/>
          <w:lang w:val="en-US"/>
        </w:rPr>
        <w:t xml:space="preserve"> (8 patients, Goyal, 2004), diazepam (1 case, </w:t>
      </w:r>
      <w:proofErr w:type="spellStart"/>
      <w:r w:rsidRPr="009A2B3C">
        <w:rPr>
          <w:rFonts w:ascii="Arial" w:hAnsi="Arial" w:cs="Arial"/>
          <w:sz w:val="27"/>
          <w:szCs w:val="27"/>
          <w:shd w:val="clear" w:color="auto" w:fill="F5F5F5"/>
          <w:lang w:val="en-US"/>
        </w:rPr>
        <w:t>Kurihara</w:t>
      </w:r>
      <w:proofErr w:type="spellEnd"/>
      <w:r w:rsidRPr="009A2B3C">
        <w:rPr>
          <w:rFonts w:ascii="Arial" w:hAnsi="Arial" w:cs="Arial"/>
          <w:sz w:val="27"/>
          <w:szCs w:val="27"/>
          <w:shd w:val="clear" w:color="auto" w:fill="F5F5F5"/>
          <w:lang w:val="en-US"/>
        </w:rPr>
        <w:t xml:space="preserve">, 2001), carnitine (1 case, </w:t>
      </w:r>
      <w:proofErr w:type="spellStart"/>
      <w:r w:rsidRPr="009A2B3C">
        <w:rPr>
          <w:rFonts w:ascii="Arial" w:hAnsi="Arial" w:cs="Arial"/>
          <w:sz w:val="27"/>
          <w:szCs w:val="27"/>
          <w:shd w:val="clear" w:color="auto" w:fill="F5F5F5"/>
          <w:lang w:val="en-US"/>
        </w:rPr>
        <w:t>Plochl</w:t>
      </w:r>
      <w:proofErr w:type="spellEnd"/>
      <w:r w:rsidRPr="009A2B3C">
        <w:rPr>
          <w:rFonts w:ascii="Arial" w:hAnsi="Arial" w:cs="Arial"/>
          <w:sz w:val="27"/>
          <w:szCs w:val="27"/>
          <w:shd w:val="clear" w:color="auto" w:fill="F5F5F5"/>
          <w:lang w:val="en-US"/>
        </w:rPr>
        <w:t xml:space="preserve">, 2004). Only one randomized crossover placebo trial was published on the administration of naltrexone in 25 patients. A slight improvement in respiratory parameters has been accompanied by a deterioration of motor and cognitive function (Percy, 1994). In an animal model of </w:t>
      </w:r>
      <w:proofErr w:type="spellStart"/>
      <w:r w:rsidRPr="009A2B3C">
        <w:rPr>
          <w:rFonts w:ascii="Arial" w:hAnsi="Arial" w:cs="Arial"/>
          <w:sz w:val="27"/>
          <w:szCs w:val="27"/>
          <w:shd w:val="clear" w:color="auto" w:fill="F5F5F5"/>
          <w:lang w:val="en-US"/>
        </w:rPr>
        <w:t>Rett</w:t>
      </w:r>
      <w:proofErr w:type="spellEnd"/>
      <w:r w:rsidRPr="009A2B3C">
        <w:rPr>
          <w:rFonts w:ascii="Arial" w:hAnsi="Arial" w:cs="Arial"/>
          <w:sz w:val="27"/>
          <w:szCs w:val="27"/>
          <w:shd w:val="clear" w:color="auto" w:fill="F5F5F5"/>
          <w:lang w:val="en-US"/>
        </w:rPr>
        <w:t xml:space="preserve"> syndrome (KO mice for the MECP2 gene), </w:t>
      </w:r>
      <w:proofErr w:type="spellStart"/>
      <w:r w:rsidRPr="009A2B3C">
        <w:rPr>
          <w:rFonts w:ascii="Arial" w:hAnsi="Arial" w:cs="Arial"/>
          <w:sz w:val="27"/>
          <w:szCs w:val="27"/>
          <w:shd w:val="clear" w:color="auto" w:fill="F5F5F5"/>
          <w:lang w:val="en-US"/>
        </w:rPr>
        <w:t>Viemari</w:t>
      </w:r>
      <w:proofErr w:type="spellEnd"/>
      <w:r w:rsidRPr="009A2B3C">
        <w:rPr>
          <w:rFonts w:ascii="Arial" w:hAnsi="Arial" w:cs="Arial"/>
          <w:sz w:val="27"/>
          <w:szCs w:val="27"/>
          <w:shd w:val="clear" w:color="auto" w:fill="F5F5F5"/>
          <w:lang w:val="en-US"/>
        </w:rPr>
        <w:t xml:space="preserve"> (2005) showed that there was a noradrenergic deficit. In this same model, the administration of </w:t>
      </w:r>
      <w:proofErr w:type="spellStart"/>
      <w:r w:rsidRPr="009A2B3C">
        <w:rPr>
          <w:rFonts w:ascii="Arial" w:hAnsi="Arial" w:cs="Arial"/>
          <w:sz w:val="27"/>
          <w:szCs w:val="27"/>
          <w:shd w:val="clear" w:color="auto" w:fill="F5F5F5"/>
          <w:lang w:val="en-US"/>
        </w:rPr>
        <w:t>desipramine</w:t>
      </w:r>
      <w:proofErr w:type="spellEnd"/>
      <w:r w:rsidRPr="009A2B3C">
        <w:rPr>
          <w:rFonts w:ascii="Arial" w:hAnsi="Arial" w:cs="Arial"/>
          <w:sz w:val="27"/>
          <w:szCs w:val="27"/>
          <w:shd w:val="clear" w:color="auto" w:fill="F5F5F5"/>
          <w:lang w:val="en-US"/>
        </w:rPr>
        <w:t xml:space="preserve"> (10 mg / kg / day) leads to a very significant decrease in apneas and an increase in the survival of animals (</w:t>
      </w:r>
      <w:proofErr w:type="spellStart"/>
      <w:r w:rsidRPr="009A2B3C">
        <w:rPr>
          <w:rFonts w:ascii="Arial" w:hAnsi="Arial" w:cs="Arial"/>
          <w:sz w:val="27"/>
          <w:szCs w:val="27"/>
          <w:shd w:val="clear" w:color="auto" w:fill="F5F5F5"/>
          <w:lang w:val="en-US"/>
        </w:rPr>
        <w:t>Inserm</w:t>
      </w:r>
      <w:proofErr w:type="spellEnd"/>
      <w:r w:rsidRPr="009A2B3C">
        <w:rPr>
          <w:rFonts w:ascii="Arial" w:hAnsi="Arial" w:cs="Arial"/>
          <w:sz w:val="27"/>
          <w:szCs w:val="27"/>
          <w:shd w:val="clear" w:color="auto" w:fill="F5F5F5"/>
          <w:lang w:val="en-US"/>
        </w:rPr>
        <w:t xml:space="preserve"> patent 2005, U491, Villard and Roux 2006). This translational study aims to clarify the </w:t>
      </w:r>
      <w:proofErr w:type="spellStart"/>
      <w:r w:rsidRPr="009A2B3C">
        <w:rPr>
          <w:rFonts w:ascii="Arial" w:hAnsi="Arial" w:cs="Arial"/>
          <w:sz w:val="27"/>
          <w:szCs w:val="27"/>
          <w:shd w:val="clear" w:color="auto" w:fill="F5F5F5"/>
          <w:lang w:val="en-US"/>
        </w:rPr>
        <w:t>transposability</w:t>
      </w:r>
      <w:proofErr w:type="spellEnd"/>
      <w:r w:rsidRPr="009A2B3C">
        <w:rPr>
          <w:rFonts w:ascii="Arial" w:hAnsi="Arial" w:cs="Arial"/>
          <w:sz w:val="27"/>
          <w:szCs w:val="27"/>
          <w:shd w:val="clear" w:color="auto" w:fill="F5F5F5"/>
          <w:lang w:val="en-US"/>
        </w:rPr>
        <w:t xml:space="preserve"> of the results obtained in the animal model in patients with </w:t>
      </w:r>
      <w:proofErr w:type="spellStart"/>
      <w:r w:rsidRPr="009A2B3C">
        <w:rPr>
          <w:rFonts w:ascii="Arial" w:hAnsi="Arial" w:cs="Arial"/>
          <w:sz w:val="27"/>
          <w:szCs w:val="27"/>
          <w:shd w:val="clear" w:color="auto" w:fill="F5F5F5"/>
          <w:lang w:val="en-US"/>
        </w:rPr>
        <w:t>Rett</w:t>
      </w:r>
      <w:proofErr w:type="spellEnd"/>
      <w:r w:rsidRPr="009A2B3C">
        <w:rPr>
          <w:rFonts w:ascii="Arial" w:hAnsi="Arial" w:cs="Arial"/>
          <w:sz w:val="27"/>
          <w:szCs w:val="27"/>
          <w:shd w:val="clear" w:color="auto" w:fill="F5F5F5"/>
          <w:lang w:val="en-US"/>
        </w:rPr>
        <w:t xml:space="preserve"> syndrome. This is a randomized, double-blind, randomized, </w:t>
      </w:r>
      <w:proofErr w:type="gramStart"/>
      <w:r w:rsidRPr="009A2B3C">
        <w:rPr>
          <w:rFonts w:ascii="Arial" w:hAnsi="Arial" w:cs="Arial"/>
          <w:sz w:val="27"/>
          <w:szCs w:val="27"/>
          <w:shd w:val="clear" w:color="auto" w:fill="F5F5F5"/>
          <w:lang w:val="en-US"/>
        </w:rPr>
        <w:t>randomized</w:t>
      </w:r>
      <w:proofErr w:type="gramEnd"/>
      <w:r w:rsidRPr="009A2B3C">
        <w:rPr>
          <w:rFonts w:ascii="Arial" w:hAnsi="Arial" w:cs="Arial"/>
          <w:sz w:val="27"/>
          <w:szCs w:val="27"/>
          <w:shd w:val="clear" w:color="auto" w:fill="F5F5F5"/>
          <w:lang w:val="en-US"/>
        </w:rPr>
        <w:t xml:space="preserve"> trial of </w:t>
      </w:r>
      <w:proofErr w:type="spellStart"/>
      <w:r w:rsidRPr="009A2B3C">
        <w:rPr>
          <w:rFonts w:ascii="Arial" w:hAnsi="Arial" w:cs="Arial"/>
          <w:sz w:val="27"/>
          <w:szCs w:val="27"/>
          <w:shd w:val="clear" w:color="auto" w:fill="F5F5F5"/>
          <w:lang w:val="en-US"/>
        </w:rPr>
        <w:t>pjase</w:t>
      </w:r>
      <w:proofErr w:type="spellEnd"/>
      <w:r w:rsidRPr="009A2B3C">
        <w:rPr>
          <w:rFonts w:ascii="Arial" w:hAnsi="Arial" w:cs="Arial"/>
          <w:sz w:val="27"/>
          <w:szCs w:val="27"/>
          <w:shd w:val="clear" w:color="auto" w:fill="F5F5F5"/>
          <w:lang w:val="en-US"/>
        </w:rPr>
        <w:t xml:space="preserve"> II, multicenter, with direct individual benefit including 3 parallel groups (high dose, low dose and placebo). The dose administered daily will depend on the weight of the patient. The main objective of the study is to study the efficacy of </w:t>
      </w:r>
      <w:proofErr w:type="spellStart"/>
      <w:r w:rsidRPr="009A2B3C">
        <w:rPr>
          <w:rFonts w:ascii="Arial" w:hAnsi="Arial" w:cs="Arial"/>
          <w:sz w:val="27"/>
          <w:szCs w:val="27"/>
          <w:shd w:val="clear" w:color="auto" w:fill="F5F5F5"/>
          <w:lang w:val="en-US"/>
        </w:rPr>
        <w:t>desipramine</w:t>
      </w:r>
      <w:proofErr w:type="spellEnd"/>
      <w:r w:rsidRPr="009A2B3C">
        <w:rPr>
          <w:rFonts w:ascii="Arial" w:hAnsi="Arial" w:cs="Arial"/>
          <w:sz w:val="27"/>
          <w:szCs w:val="27"/>
          <w:shd w:val="clear" w:color="auto" w:fill="F5F5F5"/>
          <w:lang w:val="en-US"/>
        </w:rPr>
        <w:t xml:space="preserve"> on cardiorespiratory variability and tolerance of </w:t>
      </w:r>
      <w:proofErr w:type="spellStart"/>
      <w:r w:rsidRPr="009A2B3C">
        <w:rPr>
          <w:rFonts w:ascii="Arial" w:hAnsi="Arial" w:cs="Arial"/>
          <w:sz w:val="27"/>
          <w:szCs w:val="27"/>
          <w:shd w:val="clear" w:color="auto" w:fill="F5F5F5"/>
          <w:lang w:val="en-US"/>
        </w:rPr>
        <w:t>desipramine</w:t>
      </w:r>
      <w:proofErr w:type="spellEnd"/>
      <w:r w:rsidRPr="009A2B3C">
        <w:rPr>
          <w:rFonts w:ascii="Arial" w:hAnsi="Arial" w:cs="Arial"/>
          <w:sz w:val="27"/>
          <w:szCs w:val="27"/>
          <w:shd w:val="clear" w:color="auto" w:fill="F5F5F5"/>
          <w:lang w:val="en-US"/>
        </w:rPr>
        <w:t xml:space="preserve"> in 36 patients with </w:t>
      </w:r>
      <w:proofErr w:type="spellStart"/>
      <w:r w:rsidRPr="009A2B3C">
        <w:rPr>
          <w:rFonts w:ascii="Arial" w:hAnsi="Arial" w:cs="Arial"/>
          <w:sz w:val="27"/>
          <w:szCs w:val="27"/>
          <w:shd w:val="clear" w:color="auto" w:fill="F5F5F5"/>
          <w:lang w:val="en-US"/>
        </w:rPr>
        <w:t>Rett</w:t>
      </w:r>
      <w:proofErr w:type="spellEnd"/>
      <w:r w:rsidRPr="009A2B3C">
        <w:rPr>
          <w:rFonts w:ascii="Arial" w:hAnsi="Arial" w:cs="Arial"/>
          <w:sz w:val="27"/>
          <w:szCs w:val="27"/>
          <w:shd w:val="clear" w:color="auto" w:fill="F5F5F5"/>
          <w:lang w:val="en-US"/>
        </w:rPr>
        <w:t xml:space="preserve"> Syndrome aged 4 to 18 years weighing up to 60 kg and presenting respiratory rate disorders. The diagnosis of </w:t>
      </w:r>
      <w:proofErr w:type="spellStart"/>
      <w:r w:rsidRPr="009A2B3C">
        <w:rPr>
          <w:rFonts w:ascii="Arial" w:hAnsi="Arial" w:cs="Arial"/>
          <w:sz w:val="27"/>
          <w:szCs w:val="27"/>
          <w:shd w:val="clear" w:color="auto" w:fill="F5F5F5"/>
          <w:lang w:val="en-US"/>
        </w:rPr>
        <w:t>Rett's</w:t>
      </w:r>
      <w:proofErr w:type="spellEnd"/>
      <w:r w:rsidRPr="009A2B3C">
        <w:rPr>
          <w:rFonts w:ascii="Arial" w:hAnsi="Arial" w:cs="Arial"/>
          <w:sz w:val="27"/>
          <w:szCs w:val="27"/>
          <w:shd w:val="clear" w:color="auto" w:fill="F5F5F5"/>
          <w:lang w:val="en-US"/>
        </w:rPr>
        <w:t xml:space="preserve"> syndrome must be confirmed by MECP2 genotyping (Xq28). The primary endpoint is the number of respiratory abnormalities during the duration of the respiratory record (1 hour). The secondary endpoints observed will be cumulative duration of respiratory abnormalities, clinical tolerance, respiratory parameters, </w:t>
      </w:r>
      <w:proofErr w:type="gramStart"/>
      <w:r w:rsidRPr="009A2B3C">
        <w:rPr>
          <w:rFonts w:ascii="Arial" w:hAnsi="Arial" w:cs="Arial"/>
          <w:sz w:val="27"/>
          <w:szCs w:val="27"/>
          <w:shd w:val="clear" w:color="auto" w:fill="F5F5F5"/>
          <w:lang w:val="en-US"/>
        </w:rPr>
        <w:t>pulse</w:t>
      </w:r>
      <w:proofErr w:type="gramEnd"/>
      <w:r w:rsidRPr="009A2B3C">
        <w:rPr>
          <w:rFonts w:ascii="Arial" w:hAnsi="Arial" w:cs="Arial"/>
          <w:sz w:val="27"/>
          <w:szCs w:val="27"/>
          <w:shd w:val="clear" w:color="auto" w:fill="F5F5F5"/>
          <w:lang w:val="en-US"/>
        </w:rPr>
        <w:t xml:space="preserve"> oximetry.</w:t>
      </w:r>
    </w:p>
    <w:p w:rsidR="005E5CC8" w:rsidRPr="005E5CC8" w:rsidRDefault="005E5CC8">
      <w:pPr>
        <w:rPr>
          <w:lang w:val="en-US"/>
        </w:rPr>
      </w:pPr>
    </w:p>
    <w:sectPr w:rsidR="005E5CC8" w:rsidRPr="005E5C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CC8"/>
    <w:rsid w:val="0042350E"/>
    <w:rsid w:val="005E5CC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D10C6F-9391-4FF4-91B3-6C9156BB3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323</Words>
  <Characters>1782</Characters>
  <Application>Microsoft Office Word</Application>
  <DocSecurity>0</DocSecurity>
  <Lines>14</Lines>
  <Paragraphs>4</Paragraphs>
  <ScaleCrop>false</ScaleCrop>
  <HeadingPairs>
    <vt:vector size="2" baseType="variant">
      <vt:variant>
        <vt:lpstr>Titre</vt:lpstr>
      </vt:variant>
      <vt:variant>
        <vt:i4>1</vt:i4>
      </vt:variant>
    </vt:vector>
  </HeadingPairs>
  <TitlesOfParts>
    <vt:vector size="1" baseType="lpstr">
      <vt:lpstr/>
    </vt:vector>
  </TitlesOfParts>
  <Company>APHM</Company>
  <LinksUpToDate>false</LinksUpToDate>
  <CharactersWithSpaces>2101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LAVOUTE Cecile</dc:creator>
  <cp:keywords/>
  <dc:description/>
  <cp:lastModifiedBy>LAVOUTE Cecile</cp:lastModifiedBy>
  <cp:revision>1</cp:revision>
  <dcterms:created xsi:type="dcterms:W3CDTF">2018-07-26T08:38:00Z</dcterms:created>
  <dcterms:modified xsi:type="dcterms:W3CDTF">2018-07-26T08:39:00Z</dcterms:modified>
</cp:coreProperties>
</file>