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456" w:rsidRPr="00754456" w:rsidRDefault="00754456" w:rsidP="00754456">
      <w:pPr>
        <w:shd w:val="clear" w:color="auto" w:fill="FFFFFF"/>
        <w:spacing w:line="348" w:lineRule="atLeast"/>
        <w:rPr>
          <w:rFonts w:eastAsia="Times New Roman" w:cs="Arial"/>
          <w:color w:val="000000"/>
          <w:sz w:val="20"/>
          <w:szCs w:val="20"/>
          <w:lang w:eastAsia="en-GB"/>
        </w:rPr>
      </w:pPr>
      <w:hyperlink r:id="rId7" w:tooltip="British journal of anaesthesia." w:history="1">
        <w:r w:rsidRPr="00754456">
          <w:rPr>
            <w:rFonts w:eastAsia="Times New Roman" w:cs="Arial"/>
            <w:color w:val="660066"/>
            <w:sz w:val="20"/>
            <w:szCs w:val="20"/>
            <w:u w:val="single"/>
            <w:lang w:eastAsia="en-GB"/>
          </w:rPr>
          <w:t>Br J Anaesth.</w:t>
        </w:r>
      </w:hyperlink>
      <w:r w:rsidRPr="00754456">
        <w:rPr>
          <w:rFonts w:eastAsia="Times New Roman" w:cs="Arial"/>
          <w:color w:val="000000"/>
          <w:sz w:val="20"/>
          <w:szCs w:val="20"/>
          <w:lang w:eastAsia="en-GB"/>
        </w:rPr>
        <w:t> 2013 Aug;111(2):293-6. doi: 10.1093/bja/aet033. Epub 2013 Mar 26.</w:t>
      </w:r>
    </w:p>
    <w:p w:rsidR="00754456" w:rsidRPr="00754456" w:rsidRDefault="00754456" w:rsidP="00754456">
      <w:pPr>
        <w:shd w:val="clear" w:color="auto" w:fill="FFFFFF"/>
        <w:spacing w:before="120" w:after="120" w:line="300" w:lineRule="atLeast"/>
        <w:outlineLvl w:val="0"/>
        <w:rPr>
          <w:rFonts w:eastAsia="Times New Roman" w:cs="Arial"/>
          <w:b/>
          <w:bCs/>
          <w:color w:val="000000"/>
          <w:kern w:val="36"/>
          <w:sz w:val="34"/>
          <w:szCs w:val="34"/>
          <w:lang w:eastAsia="en-GB"/>
        </w:rPr>
      </w:pPr>
      <w:r w:rsidRPr="00754456">
        <w:rPr>
          <w:rFonts w:eastAsia="Times New Roman" w:cs="Arial"/>
          <w:b/>
          <w:bCs/>
          <w:color w:val="000000"/>
          <w:kern w:val="36"/>
          <w:sz w:val="34"/>
          <w:szCs w:val="34"/>
          <w:lang w:eastAsia="en-GB"/>
        </w:rPr>
        <w:t>Effect of concentration of local anaesthetic solution on the ED</w:t>
      </w:r>
      <w:r w:rsidRPr="00754456">
        <w:rPr>
          <w:rFonts w:ascii="Cambria Math" w:eastAsia="Times New Roman" w:hAnsi="Cambria Math" w:cs="Cambria Math"/>
          <w:b/>
          <w:bCs/>
          <w:color w:val="000000"/>
          <w:kern w:val="36"/>
          <w:sz w:val="34"/>
          <w:szCs w:val="34"/>
          <w:lang w:eastAsia="en-GB"/>
        </w:rPr>
        <w:t>₅₀</w:t>
      </w:r>
      <w:r w:rsidRPr="00754456">
        <w:rPr>
          <w:rFonts w:eastAsia="Times New Roman" w:cs="Arial"/>
          <w:b/>
          <w:bCs/>
          <w:color w:val="000000"/>
          <w:kern w:val="36"/>
          <w:sz w:val="34"/>
          <w:szCs w:val="34"/>
          <w:lang w:eastAsia="en-GB"/>
        </w:rPr>
        <w:t xml:space="preserve"> of bupivacaine for supraclavicular brachial plexus block.</w:t>
      </w:r>
    </w:p>
    <w:p w:rsidR="00754456" w:rsidRPr="00754456" w:rsidRDefault="00754456" w:rsidP="00754456">
      <w:pPr>
        <w:shd w:val="clear" w:color="auto" w:fill="FFFFFF"/>
        <w:rPr>
          <w:rFonts w:eastAsia="Times New Roman" w:cs="Arial"/>
          <w:color w:val="000000"/>
          <w:sz w:val="22"/>
          <w:lang w:eastAsia="en-GB"/>
        </w:rPr>
      </w:pPr>
      <w:hyperlink r:id="rId8" w:history="1">
        <w:r w:rsidRPr="00754456">
          <w:rPr>
            <w:rFonts w:eastAsia="Times New Roman" w:cs="Arial"/>
            <w:color w:val="660066"/>
            <w:sz w:val="22"/>
            <w:u w:val="single"/>
            <w:lang w:eastAsia="en-GB"/>
          </w:rPr>
          <w:t>Gupta PK</w:t>
        </w:r>
      </w:hyperlink>
      <w:r w:rsidRPr="00754456">
        <w:rPr>
          <w:rFonts w:eastAsia="Times New Roman" w:cs="Arial"/>
          <w:color w:val="000000"/>
          <w:sz w:val="19"/>
          <w:szCs w:val="19"/>
          <w:vertAlign w:val="superscript"/>
          <w:lang w:eastAsia="en-GB"/>
        </w:rPr>
        <w:t>1</w:t>
      </w:r>
      <w:r w:rsidRPr="00754456">
        <w:rPr>
          <w:rFonts w:eastAsia="Times New Roman" w:cs="Arial"/>
          <w:color w:val="000000"/>
          <w:sz w:val="22"/>
          <w:lang w:eastAsia="en-GB"/>
        </w:rPr>
        <w:t>, </w:t>
      </w:r>
      <w:hyperlink r:id="rId9" w:history="1">
        <w:r w:rsidRPr="00754456">
          <w:rPr>
            <w:rFonts w:eastAsia="Times New Roman" w:cs="Arial"/>
            <w:color w:val="660066"/>
            <w:sz w:val="22"/>
            <w:u w:val="single"/>
            <w:lang w:eastAsia="en-GB"/>
          </w:rPr>
          <w:t>Hopkins PM</w:t>
        </w:r>
      </w:hyperlink>
      <w:r w:rsidRPr="00754456">
        <w:rPr>
          <w:rFonts w:eastAsia="Times New Roman" w:cs="Arial"/>
          <w:color w:val="000000"/>
          <w:sz w:val="22"/>
          <w:lang w:eastAsia="en-GB"/>
        </w:rPr>
        <w:t>.</w:t>
      </w:r>
    </w:p>
    <w:p w:rsidR="00754456" w:rsidRPr="00754456" w:rsidRDefault="00754456" w:rsidP="00754456">
      <w:pPr>
        <w:shd w:val="clear" w:color="auto" w:fill="FFFFFF"/>
        <w:outlineLvl w:val="2"/>
        <w:rPr>
          <w:rFonts w:eastAsia="Times New Roman" w:cs="Arial"/>
          <w:b/>
          <w:bCs/>
          <w:color w:val="724128"/>
          <w:sz w:val="22"/>
          <w:lang w:eastAsia="en-GB"/>
        </w:rPr>
      </w:pPr>
      <w:hyperlink r:id="rId10" w:tooltip="Open/close author information list" w:history="1">
        <w:r w:rsidRPr="00754456">
          <w:rPr>
            <w:rFonts w:eastAsia="Times New Roman" w:cs="Arial"/>
            <w:b/>
            <w:bCs/>
            <w:color w:val="660066"/>
            <w:sz w:val="21"/>
            <w:szCs w:val="21"/>
            <w:u w:val="single"/>
            <w:lang w:eastAsia="en-GB"/>
          </w:rPr>
          <w:t>Author information</w:t>
        </w:r>
      </w:hyperlink>
    </w:p>
    <w:p w:rsidR="00754456" w:rsidRPr="00754456" w:rsidRDefault="00754456" w:rsidP="00754456">
      <w:pPr>
        <w:shd w:val="clear" w:color="auto" w:fill="FFFFFF"/>
        <w:outlineLvl w:val="2"/>
        <w:rPr>
          <w:rFonts w:eastAsia="Times New Roman" w:cs="Arial"/>
          <w:b/>
          <w:bCs/>
          <w:color w:val="985735"/>
          <w:sz w:val="22"/>
          <w:lang w:eastAsia="en-GB"/>
        </w:rPr>
      </w:pPr>
      <w:r w:rsidRPr="00754456">
        <w:rPr>
          <w:rFonts w:eastAsia="Times New Roman" w:cs="Arial"/>
          <w:b/>
          <w:bCs/>
          <w:color w:val="985735"/>
          <w:sz w:val="22"/>
          <w:lang w:eastAsia="en-GB"/>
        </w:rPr>
        <w:t>Abstract</w:t>
      </w:r>
    </w:p>
    <w:p w:rsidR="00754456" w:rsidRPr="00754456" w:rsidRDefault="00754456" w:rsidP="00754456">
      <w:pPr>
        <w:shd w:val="clear" w:color="auto" w:fill="FFFFFF"/>
        <w:spacing w:line="369" w:lineRule="atLeast"/>
        <w:ind w:right="60"/>
        <w:outlineLvl w:val="3"/>
        <w:rPr>
          <w:rFonts w:eastAsia="Times New Roman" w:cs="Arial"/>
          <w:b/>
          <w:bCs/>
          <w:caps/>
          <w:color w:val="000000"/>
          <w:sz w:val="20"/>
          <w:szCs w:val="20"/>
          <w:lang w:eastAsia="en-GB"/>
        </w:rPr>
      </w:pPr>
      <w:r w:rsidRPr="00754456">
        <w:rPr>
          <w:rFonts w:eastAsia="Times New Roman" w:cs="Arial"/>
          <w:b/>
          <w:bCs/>
          <w:caps/>
          <w:color w:val="000000"/>
          <w:sz w:val="20"/>
          <w:szCs w:val="20"/>
          <w:lang w:eastAsia="en-GB"/>
        </w:rPr>
        <w:t>BACKGROUND:</w:t>
      </w:r>
    </w:p>
    <w:p w:rsidR="00754456" w:rsidRPr="00754456" w:rsidRDefault="00754456" w:rsidP="00754456">
      <w:pPr>
        <w:shd w:val="clear" w:color="auto" w:fill="FFFFFF"/>
        <w:spacing w:after="120" w:line="369" w:lineRule="atLeast"/>
        <w:rPr>
          <w:rFonts w:eastAsia="Times New Roman" w:cs="Arial"/>
          <w:color w:val="000000"/>
          <w:sz w:val="21"/>
          <w:szCs w:val="21"/>
          <w:lang w:eastAsia="en-GB"/>
        </w:rPr>
      </w:pPr>
      <w:r w:rsidRPr="00754456">
        <w:rPr>
          <w:rFonts w:eastAsia="Times New Roman" w:cs="Arial"/>
          <w:color w:val="000000"/>
          <w:sz w:val="21"/>
          <w:szCs w:val="21"/>
          <w:lang w:eastAsia="en-GB"/>
        </w:rPr>
        <w:t>The aim of this trial was to compare the effect of concentration of bupivacaine solution on the ED</w:t>
      </w:r>
      <w:r w:rsidRPr="00754456">
        <w:rPr>
          <w:rFonts w:ascii="Cambria Math" w:eastAsia="Times New Roman" w:hAnsi="Cambria Math" w:cs="Cambria Math"/>
          <w:color w:val="000000"/>
          <w:sz w:val="21"/>
          <w:szCs w:val="21"/>
          <w:lang w:eastAsia="en-GB"/>
        </w:rPr>
        <w:t>₅₀</w:t>
      </w:r>
      <w:r w:rsidRPr="00754456">
        <w:rPr>
          <w:rFonts w:eastAsia="Times New Roman" w:cs="Arial"/>
          <w:color w:val="000000"/>
          <w:sz w:val="21"/>
          <w:szCs w:val="21"/>
          <w:lang w:eastAsia="en-GB"/>
        </w:rPr>
        <w:t xml:space="preserve"> dose required for supraclavicular brachial plexus block.</w:t>
      </w:r>
    </w:p>
    <w:p w:rsidR="00754456" w:rsidRPr="00754456" w:rsidRDefault="00754456" w:rsidP="00754456">
      <w:pPr>
        <w:shd w:val="clear" w:color="auto" w:fill="FFFFFF"/>
        <w:spacing w:line="369" w:lineRule="atLeast"/>
        <w:ind w:right="60"/>
        <w:outlineLvl w:val="3"/>
        <w:rPr>
          <w:rFonts w:eastAsia="Times New Roman" w:cs="Arial"/>
          <w:b/>
          <w:bCs/>
          <w:caps/>
          <w:color w:val="000000"/>
          <w:sz w:val="20"/>
          <w:szCs w:val="20"/>
          <w:lang w:eastAsia="en-GB"/>
        </w:rPr>
      </w:pPr>
      <w:r w:rsidRPr="00754456">
        <w:rPr>
          <w:rFonts w:eastAsia="Times New Roman" w:cs="Arial"/>
          <w:b/>
          <w:bCs/>
          <w:caps/>
          <w:color w:val="000000"/>
          <w:sz w:val="20"/>
          <w:szCs w:val="20"/>
          <w:lang w:eastAsia="en-GB"/>
        </w:rPr>
        <w:t>METHODS:</w:t>
      </w:r>
    </w:p>
    <w:p w:rsidR="00754456" w:rsidRPr="00754456" w:rsidRDefault="00754456" w:rsidP="00754456">
      <w:pPr>
        <w:shd w:val="clear" w:color="auto" w:fill="FFFFFF"/>
        <w:spacing w:after="120" w:line="369" w:lineRule="atLeast"/>
        <w:rPr>
          <w:rFonts w:eastAsia="Times New Roman" w:cs="Arial"/>
          <w:color w:val="000000"/>
          <w:sz w:val="21"/>
          <w:szCs w:val="21"/>
          <w:lang w:eastAsia="en-GB"/>
        </w:rPr>
      </w:pPr>
      <w:r w:rsidRPr="00754456">
        <w:rPr>
          <w:rFonts w:eastAsia="Times New Roman" w:cs="Arial"/>
          <w:color w:val="000000"/>
          <w:sz w:val="21"/>
          <w:szCs w:val="21"/>
          <w:lang w:eastAsia="en-GB"/>
        </w:rPr>
        <w:t>Nineteen ASA I, II, or III patients of either sex undergoing elective upper limb surgery under ultrasound-guided supraclavicular brachial block were recruited in this double-blind, randomized trial which followed an up-and-down sequential allocation design. The patients were randomly allocated to three groups who then received 0.25%, 0.375%, or 0.5% bupivacaine. The study design and analysis followed Dixon's small sample model using a 'nominal' sample size of six in each group. The data from previous research were used to guide the dose levels and dose intervals for the three groups.</w:t>
      </w:r>
    </w:p>
    <w:p w:rsidR="00754456" w:rsidRPr="00754456" w:rsidRDefault="00754456" w:rsidP="00754456">
      <w:pPr>
        <w:shd w:val="clear" w:color="auto" w:fill="FFFFFF"/>
        <w:spacing w:line="369" w:lineRule="atLeast"/>
        <w:ind w:right="60"/>
        <w:outlineLvl w:val="3"/>
        <w:rPr>
          <w:rFonts w:eastAsia="Times New Roman" w:cs="Arial"/>
          <w:b/>
          <w:bCs/>
          <w:caps/>
          <w:color w:val="000000"/>
          <w:sz w:val="20"/>
          <w:szCs w:val="20"/>
          <w:lang w:eastAsia="en-GB"/>
        </w:rPr>
      </w:pPr>
      <w:r w:rsidRPr="00754456">
        <w:rPr>
          <w:rFonts w:eastAsia="Times New Roman" w:cs="Arial"/>
          <w:b/>
          <w:bCs/>
          <w:caps/>
          <w:color w:val="000000"/>
          <w:sz w:val="20"/>
          <w:szCs w:val="20"/>
          <w:lang w:eastAsia="en-GB"/>
        </w:rPr>
        <w:t>RESULTS:</w:t>
      </w:r>
    </w:p>
    <w:p w:rsidR="00754456" w:rsidRPr="00754456" w:rsidRDefault="00754456" w:rsidP="00754456">
      <w:pPr>
        <w:shd w:val="clear" w:color="auto" w:fill="FFFFFF"/>
        <w:spacing w:after="120" w:line="369" w:lineRule="atLeast"/>
        <w:rPr>
          <w:rFonts w:eastAsia="Times New Roman" w:cs="Arial"/>
          <w:color w:val="000000"/>
          <w:sz w:val="21"/>
          <w:szCs w:val="21"/>
          <w:lang w:eastAsia="en-GB"/>
        </w:rPr>
      </w:pPr>
      <w:r w:rsidRPr="00754456">
        <w:rPr>
          <w:rFonts w:eastAsia="Times New Roman" w:cs="Arial"/>
          <w:color w:val="000000"/>
          <w:sz w:val="21"/>
          <w:szCs w:val="21"/>
          <w:lang w:eastAsia="en-GB"/>
        </w:rPr>
        <w:t>The median effective volume [95% confidence interval (CI)] for 0.25%, 0.375%, and 0.5% bupivacaine for supraclavicular block was 26.8 (18.6-38.4), 18.1 (12.1-26.0), and 12.0 (8.4-17.3) ml, respectively. The ED</w:t>
      </w:r>
      <w:r w:rsidRPr="00754456">
        <w:rPr>
          <w:rFonts w:ascii="Cambria Math" w:eastAsia="Times New Roman" w:hAnsi="Cambria Math" w:cs="Cambria Math"/>
          <w:color w:val="000000"/>
          <w:sz w:val="21"/>
          <w:szCs w:val="21"/>
          <w:lang w:eastAsia="en-GB"/>
        </w:rPr>
        <w:t>₅₀</w:t>
      </w:r>
      <w:r w:rsidRPr="00754456">
        <w:rPr>
          <w:rFonts w:eastAsia="Times New Roman" w:cs="Arial"/>
          <w:color w:val="000000"/>
          <w:sz w:val="21"/>
          <w:szCs w:val="21"/>
          <w:lang w:eastAsia="en-GB"/>
        </w:rPr>
        <w:t xml:space="preserve"> dose (95% CI) for 0.25%, 0.375%, and 0.5% bupivacaine was 66.9 (46.6-96.0), 68.0 (47.4-97.6), and 60.1 (41.8-86.3) mg, respectively. The difference in the ED</w:t>
      </w:r>
      <w:r w:rsidRPr="00754456">
        <w:rPr>
          <w:rFonts w:ascii="Cambria Math" w:eastAsia="Times New Roman" w:hAnsi="Cambria Math" w:cs="Cambria Math"/>
          <w:color w:val="000000"/>
          <w:sz w:val="21"/>
          <w:szCs w:val="21"/>
          <w:lang w:eastAsia="en-GB"/>
        </w:rPr>
        <w:t>₅₀</w:t>
      </w:r>
      <w:r w:rsidRPr="00754456">
        <w:rPr>
          <w:rFonts w:eastAsia="Times New Roman" w:cs="Arial"/>
          <w:color w:val="000000"/>
          <w:sz w:val="21"/>
          <w:szCs w:val="21"/>
          <w:lang w:eastAsia="en-GB"/>
        </w:rPr>
        <w:t xml:space="preserve"> dose between the three concentrations was not statistically significant.</w:t>
      </w:r>
    </w:p>
    <w:p w:rsidR="00754456" w:rsidRPr="00754456" w:rsidRDefault="00754456" w:rsidP="00754456">
      <w:pPr>
        <w:shd w:val="clear" w:color="auto" w:fill="FFFFFF"/>
        <w:spacing w:line="369" w:lineRule="atLeast"/>
        <w:ind w:right="60"/>
        <w:outlineLvl w:val="3"/>
        <w:rPr>
          <w:rFonts w:eastAsia="Times New Roman" w:cs="Arial"/>
          <w:b/>
          <w:bCs/>
          <w:caps/>
          <w:color w:val="000000"/>
          <w:sz w:val="20"/>
          <w:szCs w:val="20"/>
          <w:lang w:eastAsia="en-GB"/>
        </w:rPr>
      </w:pPr>
      <w:r w:rsidRPr="00754456">
        <w:rPr>
          <w:rFonts w:eastAsia="Times New Roman" w:cs="Arial"/>
          <w:b/>
          <w:bCs/>
          <w:caps/>
          <w:color w:val="000000"/>
          <w:sz w:val="20"/>
          <w:szCs w:val="20"/>
          <w:lang w:eastAsia="en-GB"/>
        </w:rPr>
        <w:t>CONCLUSIONS:</w:t>
      </w:r>
    </w:p>
    <w:p w:rsidR="00754456" w:rsidRPr="00754456" w:rsidRDefault="00754456" w:rsidP="00754456">
      <w:pPr>
        <w:shd w:val="clear" w:color="auto" w:fill="FFFFFF"/>
        <w:spacing w:after="120" w:line="369" w:lineRule="atLeast"/>
        <w:rPr>
          <w:rFonts w:eastAsia="Times New Roman" w:cs="Arial"/>
          <w:color w:val="000000"/>
          <w:sz w:val="21"/>
          <w:szCs w:val="21"/>
          <w:lang w:eastAsia="en-GB"/>
        </w:rPr>
      </w:pPr>
      <w:r w:rsidRPr="00754456">
        <w:rPr>
          <w:rFonts w:eastAsia="Times New Roman" w:cs="Arial"/>
          <w:color w:val="000000"/>
          <w:sz w:val="21"/>
          <w:szCs w:val="21"/>
          <w:lang w:eastAsia="en-GB"/>
        </w:rPr>
        <w:t>Our study demonstrates that the ED</w:t>
      </w:r>
      <w:r w:rsidRPr="00754456">
        <w:rPr>
          <w:rFonts w:ascii="Cambria Math" w:eastAsia="Times New Roman" w:hAnsi="Cambria Math" w:cs="Cambria Math"/>
          <w:color w:val="000000"/>
          <w:sz w:val="21"/>
          <w:szCs w:val="21"/>
          <w:lang w:eastAsia="en-GB"/>
        </w:rPr>
        <w:t>₅₀</w:t>
      </w:r>
      <w:r w:rsidRPr="00754456">
        <w:rPr>
          <w:rFonts w:eastAsia="Times New Roman" w:cs="Arial"/>
          <w:color w:val="000000"/>
          <w:sz w:val="21"/>
          <w:szCs w:val="21"/>
          <w:lang w:eastAsia="en-GB"/>
        </w:rPr>
        <w:t xml:space="preserve"> dose of bupivacaine for supraclavicular block is not dependent on the concentration. Lowering the concentration or the strength of the local anaesthetic leads to an increase in the volume required for successful block.</w:t>
      </w:r>
    </w:p>
    <w:p w:rsidR="00754456" w:rsidRPr="00754456" w:rsidRDefault="00754456" w:rsidP="00754456">
      <w:pPr>
        <w:shd w:val="clear" w:color="auto" w:fill="FFFFFF"/>
        <w:ind w:right="84"/>
        <w:outlineLvl w:val="3"/>
        <w:rPr>
          <w:rFonts w:eastAsia="Times New Roman" w:cs="Arial"/>
          <w:b/>
          <w:bCs/>
          <w:caps/>
          <w:color w:val="000000"/>
          <w:sz w:val="22"/>
          <w:lang w:eastAsia="en-GB"/>
        </w:rPr>
      </w:pPr>
      <w:r w:rsidRPr="00754456">
        <w:rPr>
          <w:rFonts w:eastAsia="Times New Roman" w:cs="Arial"/>
          <w:b/>
          <w:bCs/>
          <w:caps/>
          <w:color w:val="000000"/>
          <w:sz w:val="22"/>
          <w:lang w:eastAsia="en-GB"/>
        </w:rPr>
        <w:t>KEYWORDS:</w:t>
      </w:r>
    </w:p>
    <w:p w:rsidR="00754456" w:rsidRPr="00754456" w:rsidRDefault="00754456" w:rsidP="00754456">
      <w:pPr>
        <w:shd w:val="clear" w:color="auto" w:fill="FFFFFF"/>
        <w:spacing w:before="120" w:after="120"/>
        <w:rPr>
          <w:rFonts w:eastAsia="Times New Roman" w:cs="Arial"/>
          <w:color w:val="000000"/>
          <w:sz w:val="22"/>
          <w:lang w:eastAsia="en-GB"/>
        </w:rPr>
      </w:pPr>
      <w:r w:rsidRPr="00754456">
        <w:rPr>
          <w:rFonts w:eastAsia="Times New Roman" w:cs="Arial"/>
          <w:color w:val="000000"/>
          <w:sz w:val="22"/>
          <w:lang w:eastAsia="en-GB"/>
        </w:rPr>
        <w:t>anaesthetic techniques, regional, brachial plexus; anaesthetics local, bupivacaine; equipment, ultrasound machines; potency, anaesthetic, ED50</w:t>
      </w:r>
    </w:p>
    <w:p w:rsidR="00DF5A90" w:rsidRDefault="00DF5A90">
      <w:bookmarkStart w:id="0" w:name="_GoBack"/>
      <w:bookmarkEnd w:id="0"/>
    </w:p>
    <w:sectPr w:rsidR="00DF5A9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456" w:rsidRDefault="00754456" w:rsidP="00AD632A">
      <w:r>
        <w:separator/>
      </w:r>
    </w:p>
  </w:endnote>
  <w:endnote w:type="continuationSeparator" w:id="0">
    <w:p w:rsidR="00754456" w:rsidRDefault="00754456" w:rsidP="00AD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32A" w:rsidRPr="00AD632A" w:rsidRDefault="00AD632A">
    <w:pPr>
      <w:pStyle w:val="Footer"/>
      <w:rPr>
        <w:sz w:val="16"/>
        <w:szCs w:val="16"/>
      </w:rPr>
    </w:pPr>
    <w:r w:rsidRPr="00AD632A">
      <w:rPr>
        <w:sz w:val="16"/>
        <w:szCs w:val="16"/>
      </w:rPr>
      <w:fldChar w:fldCharType="begin"/>
    </w:r>
    <w:r w:rsidRPr="00AD632A">
      <w:rPr>
        <w:sz w:val="16"/>
        <w:szCs w:val="16"/>
      </w:rPr>
      <w:instrText xml:space="preserve"> FILENAME  \p  \* MERGEFORMAT </w:instrText>
    </w:r>
    <w:r w:rsidRPr="00AD632A">
      <w:rPr>
        <w:sz w:val="16"/>
        <w:szCs w:val="16"/>
      </w:rPr>
      <w:fldChar w:fldCharType="separate"/>
    </w:r>
    <w:r w:rsidRPr="00AD632A">
      <w:rPr>
        <w:noProof/>
        <w:sz w:val="16"/>
        <w:szCs w:val="16"/>
      </w:rPr>
      <w:t>Document1</w:t>
    </w:r>
    <w:r w:rsidRPr="00AD632A">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456" w:rsidRDefault="00754456" w:rsidP="00AD632A">
      <w:r>
        <w:separator/>
      </w:r>
    </w:p>
  </w:footnote>
  <w:footnote w:type="continuationSeparator" w:id="0">
    <w:p w:rsidR="00754456" w:rsidRDefault="00754456" w:rsidP="00AD63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456"/>
    <w:rsid w:val="00523918"/>
    <w:rsid w:val="00754456"/>
    <w:rsid w:val="00AD632A"/>
    <w:rsid w:val="00BC6A2B"/>
    <w:rsid w:val="00DF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32A"/>
    <w:pPr>
      <w:spacing w:after="0" w:line="240" w:lineRule="auto"/>
    </w:pPr>
    <w:rPr>
      <w:rFonts w:ascii="Arial" w:hAnsi="Arial"/>
      <w:sz w:val="24"/>
    </w:rPr>
  </w:style>
  <w:style w:type="paragraph" w:styleId="Heading1">
    <w:name w:val="heading 1"/>
    <w:basedOn w:val="Normal"/>
    <w:link w:val="Heading1Char"/>
    <w:uiPriority w:val="9"/>
    <w:qFormat/>
    <w:rsid w:val="0075445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75445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54456"/>
    <w:pPr>
      <w:spacing w:before="100" w:beforeAutospacing="1" w:after="100" w:afterAutospacing="1"/>
      <w:outlineLvl w:val="3"/>
    </w:pPr>
    <w:rPr>
      <w:rFonts w:ascii="Times New Roman" w:eastAsia="Times New Roman" w:hAnsi="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32A"/>
    <w:pPr>
      <w:tabs>
        <w:tab w:val="center" w:pos="4513"/>
        <w:tab w:val="right" w:pos="9026"/>
      </w:tabs>
    </w:pPr>
  </w:style>
  <w:style w:type="character" w:customStyle="1" w:styleId="HeaderChar">
    <w:name w:val="Header Char"/>
    <w:basedOn w:val="DefaultParagraphFont"/>
    <w:link w:val="Header"/>
    <w:uiPriority w:val="99"/>
    <w:rsid w:val="00AD632A"/>
    <w:rPr>
      <w:rFonts w:ascii="Arial" w:hAnsi="Arial"/>
      <w:sz w:val="24"/>
    </w:rPr>
  </w:style>
  <w:style w:type="paragraph" w:styleId="Footer">
    <w:name w:val="footer"/>
    <w:basedOn w:val="Normal"/>
    <w:link w:val="FooterChar"/>
    <w:uiPriority w:val="99"/>
    <w:unhideWhenUsed/>
    <w:rsid w:val="00AD632A"/>
    <w:pPr>
      <w:tabs>
        <w:tab w:val="center" w:pos="4513"/>
        <w:tab w:val="right" w:pos="9026"/>
      </w:tabs>
    </w:pPr>
  </w:style>
  <w:style w:type="character" w:customStyle="1" w:styleId="FooterChar">
    <w:name w:val="Footer Char"/>
    <w:basedOn w:val="DefaultParagraphFont"/>
    <w:link w:val="Footer"/>
    <w:uiPriority w:val="99"/>
    <w:rsid w:val="00AD632A"/>
    <w:rPr>
      <w:rFonts w:ascii="Arial" w:hAnsi="Arial"/>
      <w:sz w:val="24"/>
    </w:rPr>
  </w:style>
  <w:style w:type="character" w:customStyle="1" w:styleId="Heading1Char">
    <w:name w:val="Heading 1 Char"/>
    <w:basedOn w:val="DefaultParagraphFont"/>
    <w:link w:val="Heading1"/>
    <w:uiPriority w:val="9"/>
    <w:rsid w:val="00754456"/>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5445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5445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754456"/>
    <w:rPr>
      <w:color w:val="0000FF"/>
      <w:u w:val="single"/>
    </w:rPr>
  </w:style>
  <w:style w:type="character" w:customStyle="1" w:styleId="ui-ncbitoggler-master-text">
    <w:name w:val="ui-ncbitoggler-master-text"/>
    <w:basedOn w:val="DefaultParagraphFont"/>
    <w:rsid w:val="00754456"/>
  </w:style>
  <w:style w:type="paragraph" w:styleId="NormalWeb">
    <w:name w:val="Normal (Web)"/>
    <w:basedOn w:val="Normal"/>
    <w:uiPriority w:val="99"/>
    <w:semiHidden/>
    <w:unhideWhenUsed/>
    <w:rsid w:val="00754456"/>
    <w:pPr>
      <w:spacing w:before="100" w:beforeAutospacing="1" w:after="100" w:afterAutospacing="1"/>
    </w:pPr>
    <w:rPr>
      <w:rFonts w:ascii="Times New Roman" w:eastAsia="Times New Roman" w:hAnsi="Times New Roman" w:cs="Times New Roman"/>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32A"/>
    <w:pPr>
      <w:spacing w:after="0" w:line="240" w:lineRule="auto"/>
    </w:pPr>
    <w:rPr>
      <w:rFonts w:ascii="Arial" w:hAnsi="Arial"/>
      <w:sz w:val="24"/>
    </w:rPr>
  </w:style>
  <w:style w:type="paragraph" w:styleId="Heading1">
    <w:name w:val="heading 1"/>
    <w:basedOn w:val="Normal"/>
    <w:link w:val="Heading1Char"/>
    <w:uiPriority w:val="9"/>
    <w:qFormat/>
    <w:rsid w:val="0075445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75445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54456"/>
    <w:pPr>
      <w:spacing w:before="100" w:beforeAutospacing="1" w:after="100" w:afterAutospacing="1"/>
      <w:outlineLvl w:val="3"/>
    </w:pPr>
    <w:rPr>
      <w:rFonts w:ascii="Times New Roman" w:eastAsia="Times New Roman" w:hAnsi="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32A"/>
    <w:pPr>
      <w:tabs>
        <w:tab w:val="center" w:pos="4513"/>
        <w:tab w:val="right" w:pos="9026"/>
      </w:tabs>
    </w:pPr>
  </w:style>
  <w:style w:type="character" w:customStyle="1" w:styleId="HeaderChar">
    <w:name w:val="Header Char"/>
    <w:basedOn w:val="DefaultParagraphFont"/>
    <w:link w:val="Header"/>
    <w:uiPriority w:val="99"/>
    <w:rsid w:val="00AD632A"/>
    <w:rPr>
      <w:rFonts w:ascii="Arial" w:hAnsi="Arial"/>
      <w:sz w:val="24"/>
    </w:rPr>
  </w:style>
  <w:style w:type="paragraph" w:styleId="Footer">
    <w:name w:val="footer"/>
    <w:basedOn w:val="Normal"/>
    <w:link w:val="FooterChar"/>
    <w:uiPriority w:val="99"/>
    <w:unhideWhenUsed/>
    <w:rsid w:val="00AD632A"/>
    <w:pPr>
      <w:tabs>
        <w:tab w:val="center" w:pos="4513"/>
        <w:tab w:val="right" w:pos="9026"/>
      </w:tabs>
    </w:pPr>
  </w:style>
  <w:style w:type="character" w:customStyle="1" w:styleId="FooterChar">
    <w:name w:val="Footer Char"/>
    <w:basedOn w:val="DefaultParagraphFont"/>
    <w:link w:val="Footer"/>
    <w:uiPriority w:val="99"/>
    <w:rsid w:val="00AD632A"/>
    <w:rPr>
      <w:rFonts w:ascii="Arial" w:hAnsi="Arial"/>
      <w:sz w:val="24"/>
    </w:rPr>
  </w:style>
  <w:style w:type="character" w:customStyle="1" w:styleId="Heading1Char">
    <w:name w:val="Heading 1 Char"/>
    <w:basedOn w:val="DefaultParagraphFont"/>
    <w:link w:val="Heading1"/>
    <w:uiPriority w:val="9"/>
    <w:rsid w:val="00754456"/>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5445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5445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754456"/>
    <w:rPr>
      <w:color w:val="0000FF"/>
      <w:u w:val="single"/>
    </w:rPr>
  </w:style>
  <w:style w:type="character" w:customStyle="1" w:styleId="ui-ncbitoggler-master-text">
    <w:name w:val="ui-ncbitoggler-master-text"/>
    <w:basedOn w:val="DefaultParagraphFont"/>
    <w:rsid w:val="00754456"/>
  </w:style>
  <w:style w:type="paragraph" w:styleId="NormalWeb">
    <w:name w:val="Normal (Web)"/>
    <w:basedOn w:val="Normal"/>
    <w:uiPriority w:val="99"/>
    <w:semiHidden/>
    <w:unhideWhenUsed/>
    <w:rsid w:val="00754456"/>
    <w:pPr>
      <w:spacing w:before="100" w:beforeAutospacing="1" w:after="100" w:afterAutospacing="1"/>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859683">
      <w:bodyDiv w:val="1"/>
      <w:marLeft w:val="0"/>
      <w:marRight w:val="0"/>
      <w:marTop w:val="0"/>
      <w:marBottom w:val="0"/>
      <w:divBdr>
        <w:top w:val="none" w:sz="0" w:space="0" w:color="auto"/>
        <w:left w:val="none" w:sz="0" w:space="0" w:color="auto"/>
        <w:bottom w:val="none" w:sz="0" w:space="0" w:color="auto"/>
        <w:right w:val="none" w:sz="0" w:space="0" w:color="auto"/>
      </w:divBdr>
      <w:divsChild>
        <w:div w:id="189224861">
          <w:marLeft w:val="0"/>
          <w:marRight w:val="0"/>
          <w:marTop w:val="288"/>
          <w:marBottom w:val="100"/>
          <w:divBdr>
            <w:top w:val="none" w:sz="0" w:space="0" w:color="auto"/>
            <w:left w:val="none" w:sz="0" w:space="0" w:color="auto"/>
            <w:bottom w:val="none" w:sz="0" w:space="0" w:color="auto"/>
            <w:right w:val="none" w:sz="0" w:space="0" w:color="auto"/>
          </w:divBdr>
          <w:divsChild>
            <w:div w:id="354580095">
              <w:marLeft w:val="0"/>
              <w:marRight w:val="0"/>
              <w:marTop w:val="0"/>
              <w:marBottom w:val="0"/>
              <w:divBdr>
                <w:top w:val="none" w:sz="0" w:space="0" w:color="auto"/>
                <w:left w:val="none" w:sz="0" w:space="0" w:color="auto"/>
                <w:bottom w:val="none" w:sz="0" w:space="0" w:color="auto"/>
                <w:right w:val="none" w:sz="0" w:space="0" w:color="auto"/>
              </w:divBdr>
            </w:div>
          </w:divsChild>
        </w:div>
        <w:div w:id="917060815">
          <w:marLeft w:val="0"/>
          <w:marRight w:val="0"/>
          <w:marTop w:val="432"/>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Gupta%20PK%5BAuthor%5D&amp;cauthor=true&amp;cauthor_uid=2353325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bi.nlm.nih.gov/pubmed/23533252"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cbi.nlm.nih.gov/pubmed/23533252" TargetMode="External"/><Relationship Id="rId4" Type="http://schemas.openxmlformats.org/officeDocument/2006/relationships/webSettings" Target="webSettings.xml"/><Relationship Id="rId9" Type="http://schemas.openxmlformats.org/officeDocument/2006/relationships/hyperlink" Target="https://www.ncbi.nlm.nih.gov/pubmed/?term=Hopkins%20PM%5BAuthor%5D&amp;cauthor=true&amp;cauthor_uid=23533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Leeds Teaching Hospitals</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Skinner</dc:creator>
  <cp:lastModifiedBy>Daniel Skinner</cp:lastModifiedBy>
  <cp:revision>1</cp:revision>
  <dcterms:created xsi:type="dcterms:W3CDTF">2019-03-18T16:14:00Z</dcterms:created>
  <dcterms:modified xsi:type="dcterms:W3CDTF">2019-03-18T16:15:00Z</dcterms:modified>
</cp:coreProperties>
</file>