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71AD1" w14:textId="77777777" w:rsidR="0040359D" w:rsidRDefault="0040359D" w:rsidP="0040359D">
      <w:pPr>
        <w:keepNext/>
        <w:pageBreakBefore/>
        <w:numPr>
          <w:ilvl w:val="0"/>
          <w:numId w:val="1"/>
        </w:numPr>
        <w:pBdr>
          <w:top w:val="nil"/>
          <w:left w:val="nil"/>
          <w:bottom w:val="nil"/>
          <w:right w:val="nil"/>
          <w:between w:val="nil"/>
        </w:pBdr>
        <w:spacing w:before="360" w:after="120" w:line="240" w:lineRule="auto"/>
      </w:pPr>
      <w:r>
        <w:rPr>
          <w:b/>
          <w:smallCaps/>
          <w:color w:val="000000"/>
        </w:rPr>
        <w:t>SYNOPSIS</w:t>
      </w:r>
    </w:p>
    <w:tbl>
      <w:tblPr>
        <w:tblW w:w="8384" w:type="dxa"/>
        <w:jc w:val="center"/>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4192"/>
        <w:gridCol w:w="4192"/>
      </w:tblGrid>
      <w:tr w:rsidR="0040359D" w14:paraId="57400E73" w14:textId="77777777" w:rsidTr="009A759C">
        <w:trPr>
          <w:trHeight w:val="300"/>
          <w:tblHeader/>
          <w:jc w:val="center"/>
        </w:trPr>
        <w:tc>
          <w:tcPr>
            <w:tcW w:w="4192" w:type="dxa"/>
            <w:tcBorders>
              <w:top w:val="single" w:sz="4" w:space="0" w:color="000000"/>
              <w:left w:val="single" w:sz="4" w:space="0" w:color="000000"/>
              <w:bottom w:val="nil"/>
              <w:right w:val="nil"/>
            </w:tcBorders>
          </w:tcPr>
          <w:p w14:paraId="6CAC81F7"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b/>
                <w:color w:val="000000"/>
              </w:rPr>
            </w:pPr>
            <w:r>
              <w:rPr>
                <w:b/>
                <w:color w:val="000000"/>
              </w:rPr>
              <w:t>Name of sponsor/company</w:t>
            </w:r>
          </w:p>
          <w:p w14:paraId="3102C9DB"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color w:val="000000"/>
              </w:rPr>
            </w:pPr>
            <w:r>
              <w:rPr>
                <w:color w:val="000000"/>
              </w:rPr>
              <w:t>SOGUG</w:t>
            </w:r>
          </w:p>
        </w:tc>
        <w:tc>
          <w:tcPr>
            <w:tcW w:w="4192" w:type="dxa"/>
            <w:vMerge w:val="restart"/>
            <w:tcBorders>
              <w:top w:val="single" w:sz="4" w:space="0" w:color="000000"/>
              <w:left w:val="single" w:sz="4" w:space="0" w:color="000000"/>
              <w:right w:val="single" w:sz="4" w:space="0" w:color="000000"/>
            </w:tcBorders>
          </w:tcPr>
          <w:p w14:paraId="5306AA67"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color w:val="000000"/>
              </w:rPr>
            </w:pPr>
            <w:r>
              <w:rPr>
                <w:b/>
                <w:color w:val="000000"/>
              </w:rPr>
              <w:t>Protocol no.</w:t>
            </w:r>
          </w:p>
          <w:p w14:paraId="41C41513"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color w:val="000000"/>
              </w:rPr>
            </w:pPr>
            <w:r>
              <w:rPr>
                <w:color w:val="000000"/>
              </w:rPr>
              <w:t>QRT-SOGUG</w:t>
            </w:r>
          </w:p>
          <w:p w14:paraId="1A6943B6"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color w:val="000000"/>
              </w:rPr>
            </w:pPr>
            <w:r>
              <w:rPr>
                <w:b/>
                <w:color w:val="000000"/>
              </w:rPr>
              <w:t>Clinicaltrials.gov Identifier</w:t>
            </w:r>
          </w:p>
          <w:p w14:paraId="53574D5F"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color w:val="000000"/>
              </w:rPr>
            </w:pPr>
            <w:r>
              <w:rPr>
                <w:color w:val="000000"/>
              </w:rPr>
              <w:t>NCT03432780</w:t>
            </w:r>
          </w:p>
        </w:tc>
      </w:tr>
      <w:tr w:rsidR="0040359D" w14:paraId="4E0615ED" w14:textId="77777777" w:rsidTr="009A759C">
        <w:trPr>
          <w:trHeight w:val="295"/>
          <w:tblHeader/>
          <w:jc w:val="center"/>
        </w:trPr>
        <w:tc>
          <w:tcPr>
            <w:tcW w:w="4192" w:type="dxa"/>
            <w:tcBorders>
              <w:top w:val="nil"/>
              <w:left w:val="single" w:sz="4" w:space="0" w:color="000000"/>
              <w:bottom w:val="nil"/>
              <w:right w:val="nil"/>
            </w:tcBorders>
          </w:tcPr>
          <w:p w14:paraId="4F7742EB"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color w:val="000000"/>
              </w:rPr>
            </w:pPr>
            <w:r>
              <w:rPr>
                <w:b/>
                <w:color w:val="000000"/>
              </w:rPr>
              <w:t>Name of active ingredients</w:t>
            </w:r>
          </w:p>
        </w:tc>
        <w:tc>
          <w:tcPr>
            <w:tcW w:w="4192" w:type="dxa"/>
            <w:vMerge/>
            <w:tcBorders>
              <w:top w:val="single" w:sz="4" w:space="0" w:color="000000"/>
              <w:left w:val="single" w:sz="4" w:space="0" w:color="000000"/>
              <w:right w:val="single" w:sz="4" w:space="0" w:color="000000"/>
            </w:tcBorders>
          </w:tcPr>
          <w:p w14:paraId="2D4F15DA" w14:textId="77777777" w:rsidR="0040359D" w:rsidRDefault="0040359D" w:rsidP="009A759C">
            <w:pPr>
              <w:widowControl w:val="0"/>
              <w:pBdr>
                <w:top w:val="nil"/>
                <w:left w:val="nil"/>
                <w:bottom w:val="nil"/>
                <w:right w:val="nil"/>
                <w:between w:val="nil"/>
              </w:pBdr>
              <w:spacing w:line="276" w:lineRule="auto"/>
              <w:rPr>
                <w:color w:val="000000"/>
              </w:rPr>
            </w:pPr>
          </w:p>
        </w:tc>
      </w:tr>
      <w:tr w:rsidR="0040359D" w14:paraId="2A56A62F" w14:textId="77777777" w:rsidTr="009A759C">
        <w:trPr>
          <w:trHeight w:val="271"/>
          <w:tblHeader/>
          <w:jc w:val="center"/>
        </w:trPr>
        <w:tc>
          <w:tcPr>
            <w:tcW w:w="4192" w:type="dxa"/>
            <w:tcBorders>
              <w:top w:val="nil"/>
              <w:left w:val="single" w:sz="4" w:space="0" w:color="000000"/>
              <w:right w:val="nil"/>
            </w:tcBorders>
          </w:tcPr>
          <w:p w14:paraId="5A83F4BF"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8"/>
              <w:rPr>
                <w:color w:val="000000"/>
              </w:rPr>
            </w:pPr>
            <w:r>
              <w:rPr>
                <w:color w:val="000000"/>
              </w:rPr>
              <w:t>Docetaxel</w:t>
            </w:r>
          </w:p>
        </w:tc>
        <w:tc>
          <w:tcPr>
            <w:tcW w:w="4192" w:type="dxa"/>
            <w:vMerge/>
            <w:tcBorders>
              <w:top w:val="single" w:sz="4" w:space="0" w:color="000000"/>
              <w:left w:val="single" w:sz="4" w:space="0" w:color="000000"/>
              <w:right w:val="single" w:sz="4" w:space="0" w:color="000000"/>
            </w:tcBorders>
          </w:tcPr>
          <w:p w14:paraId="13512073" w14:textId="77777777" w:rsidR="0040359D" w:rsidRDefault="0040359D" w:rsidP="009A759C">
            <w:pPr>
              <w:widowControl w:val="0"/>
              <w:pBdr>
                <w:top w:val="nil"/>
                <w:left w:val="nil"/>
                <w:bottom w:val="nil"/>
                <w:right w:val="nil"/>
                <w:between w:val="nil"/>
              </w:pBdr>
              <w:spacing w:line="276" w:lineRule="auto"/>
              <w:rPr>
                <w:color w:val="000000"/>
              </w:rPr>
            </w:pPr>
          </w:p>
        </w:tc>
      </w:tr>
      <w:tr w:rsidR="0040359D" w14:paraId="5993ADEA"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59321AB6"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Study title</w:t>
            </w:r>
          </w:p>
          <w:p w14:paraId="72379673" w14:textId="77777777" w:rsidR="0040359D" w:rsidRDefault="0040359D" w:rsidP="009A759C">
            <w:pPr>
              <w:spacing w:before="60" w:after="60" w:line="240" w:lineRule="auto"/>
              <w:jc w:val="both"/>
              <w:rPr>
                <w:highlight w:val="yellow"/>
              </w:rPr>
            </w:pPr>
            <w:r>
              <w:t xml:space="preserve">Radiation-hormone and Docetaxel VS Radiation-hormone in Patients </w:t>
            </w:r>
            <w:proofErr w:type="gramStart"/>
            <w:r>
              <w:t>With</w:t>
            </w:r>
            <w:proofErr w:type="gramEnd"/>
            <w:r>
              <w:t xml:space="preserve"> High-Risk Localized Prostate Cancer (QRT-SOGUG)</w:t>
            </w:r>
          </w:p>
        </w:tc>
      </w:tr>
      <w:tr w:rsidR="0040359D" w14:paraId="52144F9D"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1183D8D4"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Study principal investigator</w:t>
            </w:r>
          </w:p>
          <w:p w14:paraId="0A22094C" w14:textId="77777777" w:rsidR="0040359D" w:rsidRDefault="0040359D" w:rsidP="009A759C">
            <w:pPr>
              <w:spacing w:before="60" w:after="60" w:line="240" w:lineRule="auto"/>
            </w:pPr>
            <w:r>
              <w:t>Dr Joan Carles Galceran (medical oncology)</w:t>
            </w:r>
          </w:p>
          <w:p w14:paraId="56CB58A3" w14:textId="77777777" w:rsidR="0040359D" w:rsidRDefault="0040359D" w:rsidP="009A759C">
            <w:pPr>
              <w:spacing w:before="60" w:after="60" w:line="240" w:lineRule="auto"/>
              <w:rPr>
                <w:highlight w:val="yellow"/>
              </w:rPr>
            </w:pPr>
            <w:r>
              <w:t xml:space="preserve">Dr. Palmira </w:t>
            </w:r>
            <w:proofErr w:type="spellStart"/>
            <w:r>
              <w:t>Foro</w:t>
            </w:r>
            <w:proofErr w:type="spellEnd"/>
            <w:r>
              <w:t xml:space="preserve"> </w:t>
            </w:r>
            <w:proofErr w:type="spellStart"/>
            <w:r>
              <w:t>Arnalot</w:t>
            </w:r>
            <w:proofErr w:type="spellEnd"/>
            <w:r>
              <w:t xml:space="preserve"> (radiotherapy oncology)</w:t>
            </w:r>
          </w:p>
        </w:tc>
      </w:tr>
      <w:tr w:rsidR="0040359D" w14:paraId="3B40A3D6"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703F112D"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Publication based on study results</w:t>
            </w:r>
          </w:p>
          <w:p w14:paraId="3E82CEB4"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color w:val="000000"/>
              </w:rPr>
              <w:t>Not Applicable</w:t>
            </w:r>
          </w:p>
        </w:tc>
      </w:tr>
      <w:tr w:rsidR="0040359D" w14:paraId="73D8A24C"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9DA176B"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Ethics</w:t>
            </w:r>
          </w:p>
          <w:p w14:paraId="7EC13311"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 xml:space="preserve">This study was performed in full compliance with the protocol, Good Clinical Practices (GCP), local requirements regarding ethical committee review, informed consent and applicable regulatory requirements regarding the protection of rights and welfare of human subjects. Information regarding GCP compliance can be found in Sections </w:t>
            </w:r>
            <w:r>
              <w:rPr>
                <w:color w:val="0000FF"/>
              </w:rPr>
              <w:t>5.2</w:t>
            </w:r>
            <w:r>
              <w:rPr>
                <w:b/>
                <w:color w:val="000000"/>
              </w:rPr>
              <w:t xml:space="preserve"> </w:t>
            </w:r>
            <w:r>
              <w:rPr>
                <w:color w:val="000000"/>
              </w:rPr>
              <w:t>and</w:t>
            </w:r>
            <w:r>
              <w:rPr>
                <w:b/>
                <w:color w:val="000000"/>
              </w:rPr>
              <w:t xml:space="preserve"> 5.3.</w:t>
            </w:r>
            <w:r>
              <w:rPr>
                <w:color w:val="000000"/>
              </w:rPr>
              <w:t xml:space="preserve"> </w:t>
            </w:r>
          </w:p>
          <w:p w14:paraId="54D11327" w14:textId="77777777" w:rsidR="0040359D" w:rsidRDefault="0040359D" w:rsidP="009A759C">
            <w:pPr>
              <w:pBdr>
                <w:top w:val="nil"/>
                <w:left w:val="nil"/>
                <w:bottom w:val="nil"/>
                <w:right w:val="nil"/>
                <w:between w:val="nil"/>
              </w:pBdr>
              <w:spacing w:before="60" w:after="60" w:line="240" w:lineRule="auto"/>
              <w:jc w:val="both"/>
              <w:rPr>
                <w:b/>
                <w:color w:val="000000"/>
                <w:highlight w:val="yellow"/>
              </w:rPr>
            </w:pPr>
            <w:r>
              <w:rPr>
                <w:color w:val="000000"/>
              </w:rPr>
              <w:t>All required study documentation was archived as required by regulatory authorities.</w:t>
            </w:r>
          </w:p>
        </w:tc>
      </w:tr>
      <w:tr w:rsidR="0040359D" w14:paraId="1E946187"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58D7235C"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Study Centers</w:t>
            </w:r>
          </w:p>
          <w:p w14:paraId="50747409" w14:textId="77777777" w:rsidR="0040359D" w:rsidRDefault="0040359D" w:rsidP="009A759C">
            <w:pPr>
              <w:pBdr>
                <w:top w:val="nil"/>
                <w:left w:val="nil"/>
                <w:bottom w:val="nil"/>
                <w:right w:val="nil"/>
                <w:between w:val="nil"/>
              </w:pBdr>
              <w:spacing w:before="60" w:after="60" w:line="240" w:lineRule="auto"/>
              <w:jc w:val="both"/>
              <w:rPr>
                <w:b/>
                <w:color w:val="000000"/>
                <w:highlight w:val="yellow"/>
              </w:rPr>
            </w:pPr>
            <w:r>
              <w:rPr>
                <w:color w:val="000000"/>
              </w:rPr>
              <w:t>This study was conducted at 12 study sites in Spain.</w:t>
            </w:r>
            <w:r>
              <w:rPr>
                <w:b/>
                <w:color w:val="000000"/>
              </w:rPr>
              <w:t xml:space="preserve"> </w:t>
            </w:r>
            <w:r>
              <w:rPr>
                <w:color w:val="000000"/>
              </w:rPr>
              <w:t>Each Principal Investigator was responsible for the conduct and compliance of this clinical trial at their site according to this protocol and GCP.</w:t>
            </w:r>
          </w:p>
        </w:tc>
      </w:tr>
      <w:tr w:rsidR="0040359D" w14:paraId="7150A0D8"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D6E2CDE"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Study dates</w:t>
            </w:r>
          </w:p>
          <w:p w14:paraId="46BC1CA9"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b/>
                <w:color w:val="000000"/>
              </w:rPr>
              <w:t xml:space="preserve">First subject first visit: </w:t>
            </w:r>
            <w:r>
              <w:rPr>
                <w:color w:val="000000"/>
              </w:rPr>
              <w:t>18 December 2008</w:t>
            </w:r>
          </w:p>
          <w:p w14:paraId="39A45B55"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b/>
                <w:color w:val="000000"/>
              </w:rPr>
              <w:t>Last subject last visit</w:t>
            </w:r>
            <w:r>
              <w:rPr>
                <w:color w:val="000000"/>
              </w:rPr>
              <w:t>: 20 January 2023</w:t>
            </w:r>
          </w:p>
        </w:tc>
      </w:tr>
      <w:tr w:rsidR="0040359D" w14:paraId="14E69F87"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D377DEC" w14:textId="77777777" w:rsidR="0040359D" w:rsidRDefault="0040359D" w:rsidP="009A759C">
            <w:pPr>
              <w:pBdr>
                <w:top w:val="nil"/>
                <w:left w:val="nil"/>
                <w:bottom w:val="nil"/>
                <w:right w:val="nil"/>
                <w:between w:val="nil"/>
              </w:pBdr>
              <w:spacing w:before="60" w:after="60" w:line="240" w:lineRule="auto"/>
              <w:jc w:val="both"/>
              <w:rPr>
                <w:b/>
                <w:color w:val="000000"/>
                <w:highlight w:val="yellow"/>
              </w:rPr>
            </w:pPr>
            <w:r>
              <w:rPr>
                <w:b/>
                <w:color w:val="000000"/>
              </w:rPr>
              <w:t>Clinical phase:</w:t>
            </w:r>
            <w:r>
              <w:rPr>
                <w:color w:val="000000"/>
              </w:rPr>
              <w:t xml:space="preserve"> 2</w:t>
            </w:r>
          </w:p>
        </w:tc>
      </w:tr>
      <w:tr w:rsidR="0040359D" w14:paraId="7B1DD3B4" w14:textId="77777777" w:rsidTr="009A759C">
        <w:trPr>
          <w:jc w:val="center"/>
        </w:trPr>
        <w:tc>
          <w:tcPr>
            <w:tcW w:w="8384" w:type="dxa"/>
            <w:gridSpan w:val="2"/>
            <w:tcBorders>
              <w:top w:val="single" w:sz="4" w:space="0" w:color="000000"/>
              <w:left w:val="single" w:sz="6" w:space="0" w:color="000000"/>
              <w:bottom w:val="single" w:sz="4" w:space="0" w:color="000000"/>
              <w:right w:val="single" w:sz="6" w:space="0" w:color="000000"/>
            </w:tcBorders>
            <w:vAlign w:val="center"/>
          </w:tcPr>
          <w:p w14:paraId="6E82BAE2" w14:textId="77777777" w:rsidR="0040359D" w:rsidRDefault="0040359D" w:rsidP="009A759C">
            <w:pPr>
              <w:pBdr>
                <w:top w:val="nil"/>
                <w:left w:val="nil"/>
                <w:bottom w:val="nil"/>
                <w:right w:val="nil"/>
                <w:between w:val="nil"/>
              </w:pBdr>
              <w:spacing w:before="60" w:after="60" w:line="240" w:lineRule="auto"/>
              <w:jc w:val="both"/>
              <w:rPr>
                <w:color w:val="000000"/>
              </w:rPr>
            </w:pPr>
            <w:r>
              <w:rPr>
                <w:b/>
                <w:color w:val="000000"/>
              </w:rPr>
              <w:t xml:space="preserve">Test drug and mode of administration </w:t>
            </w:r>
          </w:p>
          <w:p w14:paraId="28485CD3"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color w:val="000000"/>
              </w:rPr>
              <w:t>All patients received radiotherapy and hormonal therapy. Patients included in the experimental arm received additional docetaxel, 20 mg/m2 administered intravenously in a 1-hour infusion. The treatment was administered once a week for a maximum of 9 weeks.</w:t>
            </w:r>
          </w:p>
        </w:tc>
      </w:tr>
      <w:tr w:rsidR="0040359D" w14:paraId="4666A774" w14:textId="77777777" w:rsidTr="009A759C">
        <w:trPr>
          <w:jc w:val="center"/>
        </w:trPr>
        <w:tc>
          <w:tcPr>
            <w:tcW w:w="8384" w:type="dxa"/>
            <w:gridSpan w:val="2"/>
            <w:tcBorders>
              <w:top w:val="single" w:sz="4" w:space="0" w:color="000000"/>
              <w:left w:val="single" w:sz="6" w:space="0" w:color="000000"/>
              <w:bottom w:val="single" w:sz="4" w:space="0" w:color="000000"/>
              <w:right w:val="single" w:sz="6" w:space="0" w:color="000000"/>
            </w:tcBorders>
            <w:vAlign w:val="center"/>
          </w:tcPr>
          <w:p w14:paraId="424FA46A"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Objectives</w:t>
            </w:r>
          </w:p>
          <w:p w14:paraId="04635273" w14:textId="77777777" w:rsidR="0040359D" w:rsidRDefault="0040359D" w:rsidP="009A759C">
            <w:pPr>
              <w:spacing w:before="60" w:after="60" w:line="240" w:lineRule="auto"/>
              <w:jc w:val="both"/>
            </w:pPr>
            <w:r>
              <w:t>The below table presents the primary and secondary objectives, each with its corresponding endpoints:</w:t>
            </w:r>
          </w:p>
          <w:p w14:paraId="715EB461" w14:textId="77777777" w:rsidR="0040359D" w:rsidRDefault="0040359D" w:rsidP="009A759C">
            <w:pPr>
              <w:spacing w:before="60" w:after="60" w:line="240" w:lineRule="auto"/>
              <w:jc w:val="both"/>
            </w:pPr>
          </w:p>
          <w:tbl>
            <w:tblPr>
              <w:tblW w:w="8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65"/>
              <w:gridCol w:w="4195"/>
            </w:tblGrid>
            <w:tr w:rsidR="0040359D" w14:paraId="73F7248F" w14:textId="77777777" w:rsidTr="009A759C">
              <w:trPr>
                <w:trHeight w:val="107"/>
              </w:trPr>
              <w:tc>
                <w:tcPr>
                  <w:tcW w:w="0" w:type="auto"/>
                </w:tcPr>
                <w:p w14:paraId="593AECB1" w14:textId="77777777" w:rsidR="0040359D" w:rsidRDefault="0040359D" w:rsidP="009A759C">
                  <w:pPr>
                    <w:spacing w:line="240" w:lineRule="auto"/>
                    <w:rPr>
                      <w:color w:val="000000"/>
                      <w:sz w:val="23"/>
                      <w:szCs w:val="23"/>
                    </w:rPr>
                  </w:pPr>
                  <w:r>
                    <w:rPr>
                      <w:b/>
                      <w:color w:val="000000"/>
                      <w:sz w:val="23"/>
                      <w:szCs w:val="23"/>
                    </w:rPr>
                    <w:t xml:space="preserve">Study Objectives </w:t>
                  </w:r>
                </w:p>
              </w:tc>
              <w:tc>
                <w:tcPr>
                  <w:tcW w:w="0" w:type="auto"/>
                </w:tcPr>
                <w:p w14:paraId="44971B17" w14:textId="77777777" w:rsidR="0040359D" w:rsidRDefault="0040359D" w:rsidP="009A759C">
                  <w:pPr>
                    <w:spacing w:line="240" w:lineRule="auto"/>
                    <w:rPr>
                      <w:color w:val="000000"/>
                      <w:sz w:val="23"/>
                      <w:szCs w:val="23"/>
                    </w:rPr>
                  </w:pPr>
                  <w:r>
                    <w:rPr>
                      <w:b/>
                      <w:color w:val="000000"/>
                      <w:sz w:val="23"/>
                      <w:szCs w:val="23"/>
                    </w:rPr>
                    <w:t xml:space="preserve">Study Endpoints </w:t>
                  </w:r>
                </w:p>
              </w:tc>
            </w:tr>
            <w:tr w:rsidR="0040359D" w14:paraId="6E9C8589" w14:textId="77777777" w:rsidTr="009A759C">
              <w:trPr>
                <w:trHeight w:val="107"/>
              </w:trPr>
              <w:tc>
                <w:tcPr>
                  <w:tcW w:w="0" w:type="auto"/>
                  <w:gridSpan w:val="2"/>
                </w:tcPr>
                <w:p w14:paraId="6B426EAB" w14:textId="77777777" w:rsidR="0040359D" w:rsidRDefault="0040359D" w:rsidP="009A759C">
                  <w:pPr>
                    <w:spacing w:line="240" w:lineRule="auto"/>
                    <w:jc w:val="center"/>
                    <w:rPr>
                      <w:color w:val="000000"/>
                      <w:sz w:val="23"/>
                      <w:szCs w:val="23"/>
                    </w:rPr>
                  </w:pPr>
                  <w:r>
                    <w:rPr>
                      <w:b/>
                      <w:color w:val="000000"/>
                      <w:sz w:val="23"/>
                      <w:szCs w:val="23"/>
                    </w:rPr>
                    <w:t>Primary</w:t>
                  </w:r>
                </w:p>
              </w:tc>
            </w:tr>
            <w:tr w:rsidR="0040359D" w14:paraId="2A991F91" w14:textId="77777777" w:rsidTr="009A759C">
              <w:trPr>
                <w:trHeight w:val="523"/>
              </w:trPr>
              <w:tc>
                <w:tcPr>
                  <w:tcW w:w="0" w:type="auto"/>
                </w:tcPr>
                <w:p w14:paraId="05BBDCDF" w14:textId="77777777" w:rsidR="0040359D" w:rsidRDefault="0040359D" w:rsidP="009A759C">
                  <w:pPr>
                    <w:spacing w:line="240" w:lineRule="auto"/>
                    <w:jc w:val="both"/>
                    <w:rPr>
                      <w:color w:val="000000"/>
                      <w:sz w:val="23"/>
                      <w:szCs w:val="23"/>
                      <w:highlight w:val="yellow"/>
                    </w:rPr>
                  </w:pPr>
                  <w:r>
                    <w:lastRenderedPageBreak/>
                    <w:t>To determine the percentage of patients free of biochemical relapse at five years after receiving a combination of radiotherapy with docetaxel associated with hormone therapy or the usual treatment of radiotherapy and hormone therapy, in patients affected by localized prostate cancer in stages III and IV with a poor prognosis.</w:t>
                  </w:r>
                </w:p>
              </w:tc>
              <w:tc>
                <w:tcPr>
                  <w:tcW w:w="0" w:type="auto"/>
                </w:tcPr>
                <w:p w14:paraId="1315137B" w14:textId="77777777" w:rsidR="0040359D" w:rsidRDefault="0040359D" w:rsidP="009A759C">
                  <w:pPr>
                    <w:spacing w:line="240" w:lineRule="auto"/>
                    <w:jc w:val="both"/>
                    <w:rPr>
                      <w:color w:val="000000"/>
                      <w:sz w:val="23"/>
                      <w:szCs w:val="23"/>
                      <w:highlight w:val="yellow"/>
                    </w:rPr>
                  </w:pPr>
                  <w:r>
                    <w:t>Percentage of patients free of elevation of PSA by 2 ng/mL above the minimum level reached since treatment (biochemical recurrence), calculating the at-call event, i.e., the date of last confirmatory test (Phoenix criteria) within 5 years.</w:t>
                  </w:r>
                </w:p>
              </w:tc>
            </w:tr>
            <w:tr w:rsidR="0040359D" w14:paraId="3294B060" w14:textId="77777777" w:rsidTr="009A759C">
              <w:trPr>
                <w:trHeight w:val="107"/>
              </w:trPr>
              <w:tc>
                <w:tcPr>
                  <w:tcW w:w="0" w:type="auto"/>
                  <w:gridSpan w:val="2"/>
                </w:tcPr>
                <w:p w14:paraId="4F5CB4E6" w14:textId="77777777" w:rsidR="0040359D" w:rsidRDefault="0040359D" w:rsidP="009A759C">
                  <w:pPr>
                    <w:spacing w:line="240" w:lineRule="auto"/>
                    <w:jc w:val="both"/>
                    <w:rPr>
                      <w:color w:val="000000"/>
                      <w:sz w:val="23"/>
                      <w:szCs w:val="23"/>
                      <w:highlight w:val="yellow"/>
                    </w:rPr>
                  </w:pPr>
                  <w:r>
                    <w:rPr>
                      <w:b/>
                      <w:color w:val="000000"/>
                      <w:sz w:val="23"/>
                      <w:szCs w:val="23"/>
                    </w:rPr>
                    <w:t>Secondary</w:t>
                  </w:r>
                </w:p>
              </w:tc>
            </w:tr>
            <w:tr w:rsidR="0040359D" w14:paraId="6211B0FC" w14:textId="77777777" w:rsidTr="009A759C">
              <w:trPr>
                <w:trHeight w:val="523"/>
              </w:trPr>
              <w:tc>
                <w:tcPr>
                  <w:tcW w:w="0" w:type="auto"/>
                </w:tcPr>
                <w:p w14:paraId="0D3F1E08" w14:textId="77777777" w:rsidR="0040359D" w:rsidRDefault="0040359D" w:rsidP="009A759C">
                  <w:pPr>
                    <w:spacing w:line="240" w:lineRule="auto"/>
                    <w:jc w:val="both"/>
                    <w:rPr>
                      <w:color w:val="000000"/>
                      <w:sz w:val="23"/>
                      <w:szCs w:val="23"/>
                      <w:highlight w:val="yellow"/>
                    </w:rPr>
                  </w:pPr>
                  <w:r>
                    <w:t>To evaluate the efficacy of the treatment in terms of survival free of biochemical relapse, progression-free survival and overall survival.</w:t>
                  </w:r>
                </w:p>
              </w:tc>
              <w:tc>
                <w:tcPr>
                  <w:tcW w:w="0" w:type="auto"/>
                </w:tcPr>
                <w:p w14:paraId="496FD380" w14:textId="77777777" w:rsidR="0040359D" w:rsidRDefault="0040359D" w:rsidP="009A759C">
                  <w:pPr>
                    <w:spacing w:after="160" w:line="259" w:lineRule="auto"/>
                    <w:jc w:val="both"/>
                    <w:rPr>
                      <w:color w:val="000000"/>
                      <w:sz w:val="23"/>
                      <w:szCs w:val="23"/>
                      <w:highlight w:val="yellow"/>
                    </w:rPr>
                  </w:pPr>
                  <w:r>
                    <w:rPr>
                      <w:color w:val="000000"/>
                      <w:sz w:val="23"/>
                      <w:szCs w:val="23"/>
                    </w:rPr>
                    <w:t>The duration of survival, in months, between randomization of the patient in the study and the date of recurrence by PSA. In the remaining patients, the last available follow-up will be taken as the last control. Measured up to 5 years.</w:t>
                  </w:r>
                </w:p>
              </w:tc>
            </w:tr>
            <w:tr w:rsidR="0040359D" w14:paraId="1E82F7D8" w14:textId="77777777" w:rsidTr="009A759C">
              <w:trPr>
                <w:trHeight w:val="937"/>
              </w:trPr>
              <w:tc>
                <w:tcPr>
                  <w:tcW w:w="0" w:type="auto"/>
                </w:tcPr>
                <w:p w14:paraId="5BBFAB6E" w14:textId="77777777" w:rsidR="0040359D" w:rsidRDefault="0040359D" w:rsidP="009A759C">
                  <w:pPr>
                    <w:spacing w:line="240" w:lineRule="auto"/>
                    <w:jc w:val="both"/>
                    <w:rPr>
                      <w:color w:val="000000"/>
                      <w:sz w:val="23"/>
                      <w:szCs w:val="23"/>
                      <w:highlight w:val="yellow"/>
                    </w:rPr>
                  </w:pPr>
                  <w:r>
                    <w:t>To evaluate the activity of the treatment (clinical response rate and biochemical response rate).</w:t>
                  </w:r>
                </w:p>
              </w:tc>
              <w:tc>
                <w:tcPr>
                  <w:tcW w:w="0" w:type="auto"/>
                </w:tcPr>
                <w:p w14:paraId="63208CC6" w14:textId="77777777" w:rsidR="0040359D" w:rsidRDefault="0040359D" w:rsidP="009A759C">
                  <w:pPr>
                    <w:spacing w:line="240" w:lineRule="auto"/>
                    <w:jc w:val="both"/>
                  </w:pPr>
                  <w:r>
                    <w:t>Clinical response rate: percentage of patients with partial and complete response, according to RECIST criteria.</w:t>
                  </w:r>
                </w:p>
                <w:p w14:paraId="72C584C2" w14:textId="77777777" w:rsidR="0040359D" w:rsidRDefault="0040359D" w:rsidP="009A759C">
                  <w:pPr>
                    <w:spacing w:line="240" w:lineRule="auto"/>
                    <w:jc w:val="both"/>
                    <w:rPr>
                      <w:color w:val="000000"/>
                      <w:sz w:val="23"/>
                      <w:szCs w:val="23"/>
                      <w:highlight w:val="yellow"/>
                    </w:rPr>
                  </w:pPr>
                  <w:r>
                    <w:t>Biochemical response rate: percentage of patients with partial and complete response, according to PSA levels.</w:t>
                  </w:r>
                </w:p>
              </w:tc>
            </w:tr>
            <w:tr w:rsidR="0040359D" w14:paraId="569EAEBE" w14:textId="77777777" w:rsidTr="009A759C">
              <w:trPr>
                <w:trHeight w:val="523"/>
              </w:trPr>
              <w:tc>
                <w:tcPr>
                  <w:tcW w:w="0" w:type="auto"/>
                </w:tcPr>
                <w:p w14:paraId="216AEC91" w14:textId="77777777" w:rsidR="0040359D" w:rsidRDefault="0040359D" w:rsidP="009A759C">
                  <w:pPr>
                    <w:spacing w:line="240" w:lineRule="auto"/>
                    <w:jc w:val="both"/>
                    <w:rPr>
                      <w:color w:val="000000"/>
                      <w:sz w:val="23"/>
                      <w:szCs w:val="23"/>
                      <w:highlight w:val="yellow"/>
                    </w:rPr>
                  </w:pPr>
                  <w:r>
                    <w:t>To evaluate the quality of life of the patients.</w:t>
                  </w:r>
                </w:p>
              </w:tc>
              <w:tc>
                <w:tcPr>
                  <w:tcW w:w="0" w:type="auto"/>
                </w:tcPr>
                <w:p w14:paraId="1E023B03" w14:textId="77777777" w:rsidR="0040359D" w:rsidRDefault="0040359D" w:rsidP="009A759C">
                  <w:pPr>
                    <w:spacing w:line="240" w:lineRule="auto"/>
                    <w:jc w:val="both"/>
                    <w:rPr>
                      <w:color w:val="000000"/>
                      <w:highlight w:val="yellow"/>
                    </w:rPr>
                  </w:pPr>
                  <w:r>
                    <w:rPr>
                      <w:color w:val="000000"/>
                    </w:rPr>
                    <w:t>Change from baseline in the Quality-of-Life Questionnaire C30 scale (QLQ-C30) to week 9. The QLQ-C30 has five functional scales (physical, role, cognitive, emotional, and social); three symptom scales (fatigue, pain, nausea and vomiting); and a global health and quality-of-life scale. They are assigned values between 1 and 4 (1: nothing, 2: a few, 3: enough, 4: a lot) according to the patient's responses to the item, only in items 29 and 30 are assessed with a score from 1 to 7 (1: terrible, 7: excellent).</w:t>
                  </w:r>
                </w:p>
              </w:tc>
            </w:tr>
            <w:tr w:rsidR="0040359D" w14:paraId="6BB46D0F" w14:textId="77777777" w:rsidTr="009A759C">
              <w:trPr>
                <w:trHeight w:val="523"/>
              </w:trPr>
              <w:tc>
                <w:tcPr>
                  <w:tcW w:w="0" w:type="auto"/>
                </w:tcPr>
                <w:p w14:paraId="20A281E5" w14:textId="77777777" w:rsidR="0040359D" w:rsidRDefault="0040359D" w:rsidP="009A759C">
                  <w:pPr>
                    <w:spacing w:line="240" w:lineRule="auto"/>
                    <w:jc w:val="both"/>
                    <w:rPr>
                      <w:color w:val="000000"/>
                      <w:sz w:val="23"/>
                      <w:szCs w:val="23"/>
                      <w:highlight w:val="yellow"/>
                    </w:rPr>
                  </w:pPr>
                  <w:r>
                    <w:t>To evaluate the safety profile of the treatment.</w:t>
                  </w:r>
                </w:p>
              </w:tc>
              <w:tc>
                <w:tcPr>
                  <w:tcW w:w="0" w:type="auto"/>
                </w:tcPr>
                <w:p w14:paraId="155E03FD" w14:textId="77777777" w:rsidR="0040359D" w:rsidRDefault="0040359D" w:rsidP="009A759C">
                  <w:pPr>
                    <w:jc w:val="both"/>
                  </w:pPr>
                  <w:r>
                    <w:t>AEs and SAEs - graded according to the Common Terminology Criteria for Adverse Events (CTCAE), version 3.0.</w:t>
                  </w:r>
                </w:p>
                <w:p w14:paraId="52CBB390" w14:textId="77777777" w:rsidR="0040359D" w:rsidRDefault="0040359D" w:rsidP="009A759C">
                  <w:pPr>
                    <w:spacing w:line="240" w:lineRule="auto"/>
                    <w:rPr>
                      <w:color w:val="000000"/>
                      <w:sz w:val="23"/>
                      <w:szCs w:val="23"/>
                      <w:highlight w:val="yellow"/>
                    </w:rPr>
                  </w:pPr>
                </w:p>
              </w:tc>
            </w:tr>
          </w:tbl>
          <w:p w14:paraId="03C8B8D0" w14:textId="77777777" w:rsidR="0040359D" w:rsidRDefault="0040359D" w:rsidP="009A759C">
            <w:pPr>
              <w:spacing w:before="60" w:after="60" w:line="240" w:lineRule="auto"/>
              <w:jc w:val="both"/>
              <w:rPr>
                <w:highlight w:val="yellow"/>
              </w:rPr>
            </w:pPr>
          </w:p>
        </w:tc>
      </w:tr>
      <w:tr w:rsidR="0040359D" w14:paraId="6168A6FB"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vAlign w:val="center"/>
          </w:tcPr>
          <w:p w14:paraId="6B32E734" w14:textId="77777777" w:rsidR="0040359D" w:rsidRDefault="0040359D" w:rsidP="009A759C">
            <w:pPr>
              <w:pBdr>
                <w:top w:val="nil"/>
                <w:left w:val="nil"/>
                <w:bottom w:val="nil"/>
                <w:right w:val="nil"/>
                <w:between w:val="nil"/>
              </w:pBdr>
              <w:spacing w:before="60" w:after="60" w:line="240" w:lineRule="auto"/>
              <w:jc w:val="both"/>
              <w:rPr>
                <w:color w:val="000000"/>
              </w:rPr>
            </w:pPr>
            <w:r>
              <w:rPr>
                <w:b/>
                <w:color w:val="000000"/>
              </w:rPr>
              <w:lastRenderedPageBreak/>
              <w:t xml:space="preserve">Number of subjects planned and analyzed: </w:t>
            </w:r>
          </w:p>
          <w:p w14:paraId="1ADC9C78"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A total of 134 subjects were planned to be enrolled.</w:t>
            </w:r>
          </w:p>
          <w:p w14:paraId="1C6B74B3"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color w:val="000000"/>
              </w:rPr>
              <w:t xml:space="preserve">With up to 67 patients per arm, efficacy for experimental arm would be accepted (biochemical relapse &lt;50%) with a power 80% and alpha 0.05. Probability to identify </w:t>
            </w:r>
            <w:r>
              <w:rPr>
                <w:color w:val="000000"/>
              </w:rPr>
              <w:lastRenderedPageBreak/>
              <w:t xml:space="preserve">best treatment set up as 90%, </w:t>
            </w:r>
            <w:proofErr w:type="gramStart"/>
            <w:r>
              <w:rPr>
                <w:color w:val="000000"/>
              </w:rPr>
              <w:t>as long as</w:t>
            </w:r>
            <w:proofErr w:type="gramEnd"/>
            <w:r>
              <w:rPr>
                <w:color w:val="000000"/>
              </w:rPr>
              <w:t xml:space="preserve"> the difference between arms is no less than 15%, using Fleming method.</w:t>
            </w:r>
          </w:p>
        </w:tc>
      </w:tr>
      <w:tr w:rsidR="0040359D" w14:paraId="7BBD9E96"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06DACE9E" w14:textId="77777777" w:rsidR="0040359D" w:rsidRDefault="0040359D" w:rsidP="009A759C">
            <w:pPr>
              <w:spacing w:before="60" w:after="60" w:line="240" w:lineRule="auto"/>
              <w:jc w:val="both"/>
            </w:pPr>
            <w:r>
              <w:rPr>
                <w:b/>
              </w:rPr>
              <w:lastRenderedPageBreak/>
              <w:t>Study design</w:t>
            </w:r>
            <w:r>
              <w:t>:</w:t>
            </w:r>
          </w:p>
          <w:p w14:paraId="1335384D" w14:textId="77777777" w:rsidR="0040359D" w:rsidRDefault="0040359D" w:rsidP="009A759C">
            <w:pPr>
              <w:spacing w:line="240" w:lineRule="auto"/>
              <w:jc w:val="both"/>
              <w:rPr>
                <w:highlight w:val="yellow"/>
              </w:rPr>
            </w:pPr>
            <w:r>
              <w:t>Randomized Phase II Clinical Study of Radiation Therapy, Hormone Therapy and Chemotherapy with Docetaxel Versus Radiation Therapy and Hormone Therapy in Patients with High-Risk Localized Prostate Cancer (Stage III and IV). Primary Objective: to determine the percentage of patients free of biochemical recurrence within 5 years of receiving a combination of radiation therapy with docetaxel associated with hormone therapy or the standard of care of radiation therapy and hormone therapy in patients with stage III and IV localized prostate cancer with a poor prognosis.</w:t>
            </w:r>
          </w:p>
        </w:tc>
      </w:tr>
      <w:tr w:rsidR="0040359D" w14:paraId="2B82D142"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479DEAC" w14:textId="77777777" w:rsidR="0040359D" w:rsidRDefault="0040359D" w:rsidP="009A759C">
            <w:pPr>
              <w:spacing w:before="60" w:after="60" w:line="240" w:lineRule="auto"/>
              <w:jc w:val="both"/>
            </w:pPr>
            <w:r>
              <w:rPr>
                <w:b/>
              </w:rPr>
              <w:t>Study methodology</w:t>
            </w:r>
            <w:r>
              <w:t xml:space="preserve">: </w:t>
            </w:r>
          </w:p>
          <w:p w14:paraId="426041D4"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A prospective, multicenter, parallel-group, open-label study with randomized group assignment.</w:t>
            </w:r>
          </w:p>
          <w:p w14:paraId="01CA3796" w14:textId="77777777" w:rsidR="0040359D" w:rsidRDefault="0040359D" w:rsidP="009A759C">
            <w:pPr>
              <w:pBdr>
                <w:top w:val="nil"/>
                <w:left w:val="nil"/>
                <w:bottom w:val="nil"/>
                <w:right w:val="nil"/>
                <w:between w:val="nil"/>
              </w:pBdr>
              <w:spacing w:before="60" w:after="60" w:line="240" w:lineRule="auto"/>
              <w:jc w:val="both"/>
              <w:rPr>
                <w:color w:val="000000"/>
                <w:sz w:val="28"/>
                <w:szCs w:val="28"/>
              </w:rPr>
            </w:pPr>
            <w:r>
              <w:rPr>
                <w:color w:val="000000"/>
              </w:rPr>
              <w:t xml:space="preserve">After signing the informed consent and following the screening assessments, eligible patients with high-risk prostate cancer were randomized. </w:t>
            </w:r>
          </w:p>
          <w:p w14:paraId="45C3399A"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 xml:space="preserve">On Day 1 of every cycle and prior to treatment administration, physical </w:t>
            </w:r>
            <w:proofErr w:type="gramStart"/>
            <w:r>
              <w:rPr>
                <w:color w:val="000000"/>
              </w:rPr>
              <w:t>examination</w:t>
            </w:r>
            <w:proofErr w:type="gramEnd"/>
            <w:r>
              <w:rPr>
                <w:color w:val="000000"/>
              </w:rPr>
              <w:t xml:space="preserve"> including weight, vital signs, ECOG performance status and local safety laboratory tests (hematology, serum biochemistry) were performed. </w:t>
            </w:r>
          </w:p>
          <w:p w14:paraId="6D85A70E"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The EOT visit included physical examination (and weight), ECOG status, vital signs, and safety laboratory tests.</w:t>
            </w:r>
          </w:p>
          <w:p w14:paraId="3B66BA53"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Survival data was to be collected up to five years after randomization.</w:t>
            </w:r>
          </w:p>
          <w:p w14:paraId="6F06CDE7"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 xml:space="preserve">All AEs were to be collected from the time of informed consent, up to 30 days after the last dose of study drug. </w:t>
            </w:r>
          </w:p>
          <w:p w14:paraId="73160941"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End of Study (EOS) for each participant was defined as the participant's last FU visit.</w:t>
            </w:r>
          </w:p>
          <w:p w14:paraId="2F6E0A03"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All visits were in-clinic visits. Unscheduled visits were conducted at any time for safety reasons or for any other reason, as per the Investigator's discretion.</w:t>
            </w:r>
          </w:p>
        </w:tc>
      </w:tr>
      <w:tr w:rsidR="0040359D" w14:paraId="4A87C837"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54A2A558" w14:textId="77777777" w:rsidR="0040359D" w:rsidRPr="005C48DC" w:rsidRDefault="0040359D" w:rsidP="009A759C">
            <w:pPr>
              <w:keepNext/>
              <w:keepLines/>
              <w:pBdr>
                <w:top w:val="nil"/>
                <w:left w:val="nil"/>
                <w:bottom w:val="nil"/>
                <w:right w:val="nil"/>
                <w:between w:val="nil"/>
              </w:pBdr>
              <w:spacing w:before="60" w:after="60" w:line="240" w:lineRule="auto"/>
              <w:jc w:val="both"/>
              <w:rPr>
                <w:rFonts w:eastAsia="Arial"/>
                <w:color w:val="000000"/>
              </w:rPr>
            </w:pPr>
            <w:r w:rsidRPr="005C48DC">
              <w:rPr>
                <w:rFonts w:eastAsia="Arial"/>
                <w:b/>
                <w:color w:val="000000"/>
              </w:rPr>
              <w:lastRenderedPageBreak/>
              <w:t xml:space="preserve">Inclusion Criteria: </w:t>
            </w:r>
          </w:p>
          <w:p w14:paraId="7EAE0F09" w14:textId="77777777" w:rsidR="0040359D" w:rsidRPr="005C48DC" w:rsidRDefault="0040359D" w:rsidP="009A759C">
            <w:pPr>
              <w:pBdr>
                <w:top w:val="nil"/>
                <w:left w:val="nil"/>
                <w:bottom w:val="nil"/>
                <w:right w:val="nil"/>
                <w:between w:val="nil"/>
              </w:pBdr>
              <w:spacing w:before="120" w:after="120" w:line="240" w:lineRule="auto"/>
              <w:rPr>
                <w:rFonts w:eastAsia="Arial"/>
                <w:color w:val="000000"/>
              </w:rPr>
            </w:pPr>
            <w:r w:rsidRPr="005C48DC">
              <w:rPr>
                <w:rFonts w:eastAsia="Arial"/>
                <w:color w:val="000000"/>
              </w:rPr>
              <w:t xml:space="preserve">A participant was eligible to be included in the study only if </w:t>
            </w:r>
            <w:proofErr w:type="gramStart"/>
            <w:r w:rsidRPr="005C48DC">
              <w:rPr>
                <w:rFonts w:eastAsia="Arial"/>
                <w:color w:val="000000"/>
              </w:rPr>
              <w:t>all of</w:t>
            </w:r>
            <w:proofErr w:type="gramEnd"/>
            <w:r w:rsidRPr="005C48DC">
              <w:rPr>
                <w:rFonts w:eastAsia="Arial"/>
                <w:color w:val="000000"/>
              </w:rPr>
              <w:t xml:space="preserve"> the following criteria applied: </w:t>
            </w:r>
          </w:p>
          <w:p w14:paraId="7683C5F3"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Histological confirmation of adenocarcinoma of the prostate.</w:t>
            </w:r>
          </w:p>
          <w:p w14:paraId="384DFAE2"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Age &gt; 18 years.</w:t>
            </w:r>
          </w:p>
          <w:p w14:paraId="229E7078"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Localized high-risk prostate cancer, defined as:</w:t>
            </w:r>
          </w:p>
          <w:p w14:paraId="334D6032" w14:textId="77777777" w:rsidR="0040359D" w:rsidRPr="005C48DC" w:rsidRDefault="0040359D" w:rsidP="009A759C">
            <w:pPr>
              <w:keepNext/>
              <w:keepLines/>
              <w:pBdr>
                <w:top w:val="nil"/>
                <w:left w:val="nil"/>
                <w:bottom w:val="nil"/>
                <w:right w:val="nil"/>
                <w:between w:val="nil"/>
              </w:pBdr>
              <w:spacing w:before="60" w:after="60" w:line="240" w:lineRule="auto"/>
              <w:ind w:left="1080" w:hanging="360"/>
              <w:jc w:val="both"/>
              <w:rPr>
                <w:rFonts w:eastAsia="Arial"/>
                <w:color w:val="000000"/>
              </w:rPr>
            </w:pPr>
            <w:r w:rsidRPr="005C48DC">
              <w:rPr>
                <w:rFonts w:eastAsia="Arial"/>
                <w:color w:val="000000"/>
              </w:rPr>
              <w:t>Stage III: T3 N0 M0, Gleason grade 8, 9, or 10, or</w:t>
            </w:r>
          </w:p>
          <w:p w14:paraId="3A702546" w14:textId="77777777" w:rsidR="0040359D" w:rsidRPr="005C48DC" w:rsidRDefault="0040359D" w:rsidP="009A759C">
            <w:pPr>
              <w:keepNext/>
              <w:keepLines/>
              <w:pBdr>
                <w:top w:val="nil"/>
                <w:left w:val="nil"/>
                <w:bottom w:val="nil"/>
                <w:right w:val="nil"/>
                <w:between w:val="nil"/>
              </w:pBdr>
              <w:spacing w:before="60" w:after="60" w:line="240" w:lineRule="auto"/>
              <w:ind w:left="1080" w:hanging="360"/>
              <w:jc w:val="both"/>
              <w:rPr>
                <w:rFonts w:eastAsia="Arial"/>
                <w:color w:val="000000"/>
              </w:rPr>
            </w:pPr>
            <w:r w:rsidRPr="005C48DC">
              <w:rPr>
                <w:rFonts w:eastAsia="Arial"/>
                <w:color w:val="000000"/>
              </w:rPr>
              <w:t>Stage IV: T4 N0 M0, any Gleason grade or Tx N1 M0, any Gleason grade</w:t>
            </w:r>
          </w:p>
          <w:p w14:paraId="7B52B05D"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PSA &gt; 20 ng/</w:t>
            </w:r>
            <w:proofErr w:type="spellStart"/>
            <w:r w:rsidRPr="005C48DC">
              <w:rPr>
                <w:rFonts w:eastAsia="Arial"/>
                <w:color w:val="000000"/>
              </w:rPr>
              <w:t>mL.</w:t>
            </w:r>
            <w:proofErr w:type="spellEnd"/>
          </w:p>
          <w:p w14:paraId="2E44D9FF"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sdt>
              <w:sdtPr>
                <w:tag w:val="goog_rdk_0"/>
                <w:id w:val="209233339"/>
              </w:sdtPr>
              <w:sdtContent>
                <w:r w:rsidRPr="005C48DC">
                  <w:rPr>
                    <w:rFonts w:eastAsia="Arial Unicode MS"/>
                    <w:color w:val="000000"/>
                  </w:rPr>
                  <w:t>Karnofsky index ≥ 70%</w:t>
                </w:r>
              </w:sdtContent>
            </w:sdt>
          </w:p>
          <w:p w14:paraId="226BC901"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Good bone marrow reserve, with white blood cell count &gt; 3000/mm3, hemoglobin &gt;9.5 g/dL and platelets &gt; 150,000/mm3.</w:t>
            </w:r>
          </w:p>
          <w:p w14:paraId="1C0AFC23"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Absence of hepatic abnormality, with bilirubin values &lt; 1.5 mg/dL and with SGOT/SGPT values up to 2 times the upper limit of normality for each site.</w:t>
            </w:r>
          </w:p>
          <w:p w14:paraId="6C779D35"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Absence of abnormality in renal function, with creatinine levels up to 2 times the upper limit of normality for each site.</w:t>
            </w:r>
          </w:p>
          <w:p w14:paraId="43D6F9EF" w14:textId="77777777" w:rsidR="0040359D" w:rsidRPr="005C48DC" w:rsidRDefault="0040359D" w:rsidP="0040359D">
            <w:pPr>
              <w:keepNext/>
              <w:keepLines/>
              <w:numPr>
                <w:ilvl w:val="0"/>
                <w:numId w:val="5"/>
              </w:numPr>
              <w:pBdr>
                <w:top w:val="nil"/>
                <w:left w:val="nil"/>
                <w:bottom w:val="nil"/>
                <w:right w:val="nil"/>
                <w:between w:val="nil"/>
              </w:pBdr>
              <w:spacing w:before="60" w:after="60" w:line="240" w:lineRule="auto"/>
              <w:jc w:val="both"/>
              <w:rPr>
                <w:rFonts w:eastAsia="Arial"/>
                <w:color w:val="000000"/>
              </w:rPr>
            </w:pPr>
            <w:r w:rsidRPr="005C48DC">
              <w:rPr>
                <w:rFonts w:eastAsia="Arial"/>
                <w:color w:val="000000"/>
              </w:rPr>
              <w:t>Having given informed consent in writing.</w:t>
            </w:r>
          </w:p>
          <w:p w14:paraId="293F0D15" w14:textId="77777777" w:rsidR="0040359D" w:rsidRPr="005C48DC" w:rsidRDefault="0040359D" w:rsidP="009A759C">
            <w:pPr>
              <w:pBdr>
                <w:top w:val="nil"/>
                <w:left w:val="nil"/>
                <w:bottom w:val="nil"/>
                <w:right w:val="nil"/>
                <w:between w:val="nil"/>
              </w:pBdr>
              <w:spacing w:before="60" w:after="60" w:line="240" w:lineRule="auto"/>
              <w:ind w:left="426" w:hanging="426"/>
              <w:jc w:val="both"/>
              <w:rPr>
                <w:b/>
                <w:color w:val="000000"/>
              </w:rPr>
            </w:pPr>
            <w:r w:rsidRPr="005C48DC">
              <w:rPr>
                <w:b/>
                <w:color w:val="000000"/>
              </w:rPr>
              <w:t>Exclusion Criteria:</w:t>
            </w:r>
          </w:p>
          <w:p w14:paraId="72E5AE80" w14:textId="77777777" w:rsidR="0040359D" w:rsidRPr="005C48DC" w:rsidRDefault="0040359D" w:rsidP="009A759C">
            <w:pPr>
              <w:pBdr>
                <w:top w:val="nil"/>
                <w:left w:val="nil"/>
                <w:bottom w:val="nil"/>
                <w:right w:val="nil"/>
                <w:between w:val="nil"/>
              </w:pBdr>
              <w:spacing w:before="120" w:after="120" w:line="240" w:lineRule="auto"/>
              <w:rPr>
                <w:rFonts w:eastAsia="Arial"/>
                <w:color w:val="000000"/>
              </w:rPr>
            </w:pPr>
            <w:r w:rsidRPr="005C48DC">
              <w:rPr>
                <w:rFonts w:eastAsia="Arial"/>
                <w:color w:val="000000"/>
              </w:rPr>
              <w:t>A participant was excluded from the study if any of the following criteria applied:</w:t>
            </w:r>
          </w:p>
          <w:p w14:paraId="70645677"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Previous hormone treatment during more than 3 months.</w:t>
            </w:r>
          </w:p>
          <w:p w14:paraId="5455F7B5"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 xml:space="preserve">Previous surgical treatment, pelvic radiation therapy, or chemotherapy for </w:t>
            </w:r>
            <w:proofErr w:type="gramStart"/>
            <w:r w:rsidRPr="005C48DC">
              <w:rPr>
                <w:rFonts w:eastAsia="Arial"/>
                <w:color w:val="000000"/>
              </w:rPr>
              <w:t>the current illness</w:t>
            </w:r>
            <w:proofErr w:type="gramEnd"/>
            <w:r w:rsidRPr="005C48DC">
              <w:rPr>
                <w:rFonts w:eastAsia="Arial"/>
                <w:color w:val="000000"/>
              </w:rPr>
              <w:t>.</w:t>
            </w:r>
          </w:p>
          <w:p w14:paraId="010CCAED"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Concomitant second neoplasm or history of neoplastic disease in the last 5 years, except for cutaneous basal cell carcinoma.</w:t>
            </w:r>
          </w:p>
          <w:p w14:paraId="62D1965A"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Metabolic disease or uncontrolled systemic disease.</w:t>
            </w:r>
          </w:p>
          <w:p w14:paraId="1D81D3A4"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Previous history of grade III-IV neuropathy (NCI CTCAE v3).</w:t>
            </w:r>
          </w:p>
          <w:p w14:paraId="18A0EA76"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Psychological, social, family, or geographical conditions that may compromise compliance with or follow-up of the study.</w:t>
            </w:r>
          </w:p>
          <w:p w14:paraId="704F66F6"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Having received treatment with an investigational medicinal product during the 30 days prior to inclusion in the study.</w:t>
            </w:r>
          </w:p>
          <w:p w14:paraId="312DF11E" w14:textId="77777777" w:rsidR="0040359D" w:rsidRPr="005C48DC" w:rsidRDefault="0040359D" w:rsidP="0040359D">
            <w:pPr>
              <w:numPr>
                <w:ilvl w:val="0"/>
                <w:numId w:val="4"/>
              </w:numPr>
              <w:pBdr>
                <w:top w:val="nil"/>
                <w:left w:val="nil"/>
                <w:bottom w:val="nil"/>
                <w:right w:val="nil"/>
                <w:between w:val="nil"/>
              </w:pBdr>
              <w:spacing w:before="120" w:after="120" w:line="240" w:lineRule="auto"/>
              <w:jc w:val="both"/>
              <w:rPr>
                <w:rFonts w:eastAsia="Arial"/>
                <w:color w:val="000000"/>
              </w:rPr>
            </w:pPr>
            <w:r w:rsidRPr="005C48DC">
              <w:rPr>
                <w:rFonts w:eastAsia="Arial"/>
                <w:color w:val="000000"/>
              </w:rPr>
              <w:t>Inflammatory bowel disease.</w:t>
            </w:r>
          </w:p>
        </w:tc>
      </w:tr>
      <w:tr w:rsidR="0040359D" w14:paraId="19A3F067"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5618C849"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 xml:space="preserve">Duration of Study: </w:t>
            </w:r>
          </w:p>
          <w:p w14:paraId="0FC87E5A"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The total duration for each participating subject was up to 9 weeks of treatment and up to 5 years follow up.</w:t>
            </w:r>
          </w:p>
        </w:tc>
      </w:tr>
      <w:tr w:rsidR="0040359D" w14:paraId="26662421" w14:textId="77777777" w:rsidTr="009A759C">
        <w:trPr>
          <w:trHeight w:val="1503"/>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414A719D" w14:textId="77777777" w:rsidR="0040359D" w:rsidRDefault="0040359D" w:rsidP="009A759C">
            <w:pPr>
              <w:tabs>
                <w:tab w:val="left" w:pos="8100"/>
              </w:tabs>
              <w:spacing w:before="60" w:after="60" w:line="240" w:lineRule="auto"/>
              <w:rPr>
                <w:b/>
              </w:rPr>
            </w:pPr>
            <w:r>
              <w:rPr>
                <w:b/>
              </w:rPr>
              <w:lastRenderedPageBreak/>
              <w:t>Criteria for evaluation</w:t>
            </w:r>
          </w:p>
          <w:p w14:paraId="5FF577D7" w14:textId="77777777" w:rsidR="0040359D" w:rsidRDefault="0040359D" w:rsidP="009A759C">
            <w:pPr>
              <w:tabs>
                <w:tab w:val="left" w:pos="8100"/>
                <w:tab w:val="right" w:pos="9072"/>
              </w:tabs>
              <w:spacing w:before="60" w:after="60" w:line="240" w:lineRule="auto"/>
              <w:rPr>
                <w:b/>
              </w:rPr>
            </w:pPr>
            <w:r>
              <w:rPr>
                <w:b/>
              </w:rPr>
              <w:t>Efficacy:</w:t>
            </w:r>
          </w:p>
          <w:p w14:paraId="67034AD8" w14:textId="77777777" w:rsidR="0040359D" w:rsidRDefault="0040359D" w:rsidP="009A759C">
            <w:pPr>
              <w:tabs>
                <w:tab w:val="left" w:pos="8100"/>
                <w:tab w:val="right" w:pos="9072"/>
              </w:tabs>
              <w:spacing w:before="60" w:after="60" w:line="240" w:lineRule="auto"/>
              <w:jc w:val="both"/>
            </w:pPr>
            <w:r>
              <w:t>Percentage of patients free of biochemical progression/recurrence within 5 years of receiving a combination of radiation therapy with docetaxel associated with hormone therapy or the standard of care of radiation therapy and hormone therapy: percentage of patients free of elevation of PSA by 2 ng/mL above the minimum level reached since treatment (biochemical recurrence), calculating the at-call event, i.e., the date of last confirmatory test (Phoenix criteria) within 5 years.</w:t>
            </w:r>
          </w:p>
          <w:p w14:paraId="045B3536" w14:textId="77777777" w:rsidR="0040359D" w:rsidRDefault="0040359D" w:rsidP="009A759C">
            <w:pPr>
              <w:tabs>
                <w:tab w:val="left" w:pos="8100"/>
                <w:tab w:val="right" w:pos="9072"/>
              </w:tabs>
              <w:spacing w:before="60" w:after="60" w:line="240" w:lineRule="auto"/>
              <w:jc w:val="both"/>
            </w:pPr>
            <w:r>
              <w:t>Percentage of patients with biochemical recurrence-free survival: the duration of survival, in months, between randomization of the patient in the study and the date of recurrence by PSA. In the remaining patients, the last available follow-up is taken as the last control. Measured up to 5 years.</w:t>
            </w:r>
          </w:p>
          <w:p w14:paraId="3A150BF2" w14:textId="77777777" w:rsidR="0040359D" w:rsidRDefault="0040359D" w:rsidP="009A759C">
            <w:pPr>
              <w:tabs>
                <w:tab w:val="left" w:pos="8100"/>
                <w:tab w:val="right" w:pos="9072"/>
              </w:tabs>
              <w:spacing w:before="60" w:after="60" w:line="240" w:lineRule="auto"/>
              <w:jc w:val="both"/>
            </w:pPr>
            <w:r>
              <w:t>Percentage of patients with progression-free survival (PFS): the duration of survival, in months, between randomization of the patient in the study and the date of progression by PSA, clinical manifestations or death due to disease. In the remaining patients, the last available follow-up will be taken as the last control.</w:t>
            </w:r>
          </w:p>
          <w:p w14:paraId="547806A6" w14:textId="77777777" w:rsidR="0040359D" w:rsidRDefault="0040359D" w:rsidP="009A759C">
            <w:pPr>
              <w:tabs>
                <w:tab w:val="left" w:pos="8100"/>
                <w:tab w:val="right" w:pos="9072"/>
              </w:tabs>
              <w:spacing w:before="60" w:after="60" w:line="240" w:lineRule="auto"/>
              <w:jc w:val="both"/>
            </w:pPr>
            <w:r>
              <w:t>Overall survival (OS): time that elapses, in months, between randomization of the patient in the study and the date of death, regardless of the cause. In the remaining patients, the last available follow-up will be taken as the last control.</w:t>
            </w:r>
          </w:p>
          <w:p w14:paraId="1BA3EFF0" w14:textId="77777777" w:rsidR="0040359D" w:rsidRDefault="0040359D" w:rsidP="009A759C">
            <w:pPr>
              <w:tabs>
                <w:tab w:val="left" w:pos="8100"/>
                <w:tab w:val="right" w:pos="9072"/>
              </w:tabs>
              <w:spacing w:before="60" w:after="60" w:line="240" w:lineRule="auto"/>
              <w:jc w:val="both"/>
            </w:pPr>
            <w:r>
              <w:t>Clinical response rate: percentage of patients with partial and complete response, according to RECIST criteria.</w:t>
            </w:r>
          </w:p>
          <w:p w14:paraId="7B3897A9" w14:textId="77777777" w:rsidR="0040359D" w:rsidRDefault="0040359D" w:rsidP="009A759C">
            <w:pPr>
              <w:tabs>
                <w:tab w:val="left" w:pos="8100"/>
                <w:tab w:val="right" w:pos="9072"/>
              </w:tabs>
              <w:spacing w:before="60" w:after="60" w:line="240" w:lineRule="auto"/>
              <w:jc w:val="both"/>
            </w:pPr>
            <w:r>
              <w:t>Biochemical response rate: percentage of patients with partial and complete response, according to PSA levels.</w:t>
            </w:r>
          </w:p>
          <w:p w14:paraId="451F278E" w14:textId="77777777" w:rsidR="0040359D" w:rsidRDefault="0040359D" w:rsidP="009A759C">
            <w:pPr>
              <w:tabs>
                <w:tab w:val="left" w:pos="8100"/>
                <w:tab w:val="right" w:pos="9072"/>
              </w:tabs>
              <w:spacing w:before="60" w:after="60" w:line="240" w:lineRule="auto"/>
              <w:jc w:val="both"/>
            </w:pPr>
            <w:r>
              <w:t xml:space="preserve">Quality of life of the patients: Change from baseline in the Quality-of-Life Questionnaire C30 scale (QLQ-C30) to week 9. The QLQ-C30 has five functional scales (physical, role, cognitive, emotional, and social); three symptom scales (fatigue, pain, nausea and vomiting); and a global health and quality-of-life scale. They are assigned values between 1 and 4 (1: nothing, 2: a few, 3: enough, 4: a lot) according to the patient's responses to the item, only in items 29 and 30 are assessed with a score from 1 to 7 (1: terrible, 7: excellent). </w:t>
            </w:r>
          </w:p>
          <w:p w14:paraId="573D417C" w14:textId="77777777" w:rsidR="0040359D" w:rsidRDefault="0040359D" w:rsidP="009A759C">
            <w:pPr>
              <w:tabs>
                <w:tab w:val="left" w:pos="8100"/>
              </w:tabs>
              <w:spacing w:before="60" w:after="60" w:line="240" w:lineRule="auto"/>
              <w:jc w:val="both"/>
            </w:pPr>
            <w:r>
              <w:rPr>
                <w:b/>
              </w:rPr>
              <w:t>Safety</w:t>
            </w:r>
            <w:r>
              <w:t>:</w:t>
            </w:r>
          </w:p>
          <w:p w14:paraId="64061626" w14:textId="77777777" w:rsidR="0040359D" w:rsidRDefault="0040359D" w:rsidP="009A759C">
            <w:pPr>
              <w:tabs>
                <w:tab w:val="left" w:pos="8100"/>
              </w:tabs>
              <w:spacing w:before="60" w:after="60" w:line="240" w:lineRule="auto"/>
              <w:jc w:val="both"/>
            </w:pPr>
            <w:r>
              <w:t>Safety assessments were based on the following:</w:t>
            </w:r>
          </w:p>
          <w:p w14:paraId="588CA36B" w14:textId="77777777" w:rsidR="0040359D" w:rsidRDefault="0040359D" w:rsidP="009A759C">
            <w:pPr>
              <w:tabs>
                <w:tab w:val="left" w:pos="8100"/>
              </w:tabs>
              <w:spacing w:before="60" w:after="60" w:line="240" w:lineRule="auto"/>
              <w:jc w:val="both"/>
              <w:rPr>
                <w:highlight w:val="yellow"/>
              </w:rPr>
            </w:pPr>
            <w:r>
              <w:t>AEs and SAEs - graded according to the Common Terminology Criteria for Adverse Events (CTCAE), version 3.0.</w:t>
            </w:r>
          </w:p>
        </w:tc>
      </w:tr>
      <w:tr w:rsidR="0040359D" w14:paraId="33F4493E"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784BAD0" w14:textId="77777777" w:rsidR="0040359D" w:rsidRDefault="0040359D" w:rsidP="009A759C">
            <w:pPr>
              <w:pBdr>
                <w:top w:val="nil"/>
                <w:left w:val="nil"/>
                <w:bottom w:val="nil"/>
                <w:right w:val="nil"/>
                <w:between w:val="nil"/>
              </w:pBdr>
              <w:spacing w:before="60" w:after="60" w:line="240" w:lineRule="auto"/>
              <w:jc w:val="both"/>
              <w:rPr>
                <w:b/>
                <w:color w:val="000000"/>
              </w:rPr>
            </w:pPr>
            <w:r>
              <w:rPr>
                <w:b/>
                <w:color w:val="000000"/>
              </w:rPr>
              <w:t>Statistical Methods</w:t>
            </w:r>
          </w:p>
          <w:p w14:paraId="79FF9992"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The data cut-off for the primary analysis was scheduled when the last participant had the last study visit.</w:t>
            </w:r>
          </w:p>
          <w:p w14:paraId="5DB37856"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 xml:space="preserve">With up to 67 patients per arm, efficacy for experimental arm will be accepted (biochemical relapse &lt;50%) with a power 80% and alpha 0.05. The probability to identify the best treatment was 90%, </w:t>
            </w:r>
            <w:proofErr w:type="gramStart"/>
            <w:r>
              <w:rPr>
                <w:color w:val="000000"/>
              </w:rPr>
              <w:t>as long as</w:t>
            </w:r>
            <w:proofErr w:type="gramEnd"/>
            <w:r>
              <w:rPr>
                <w:color w:val="000000"/>
              </w:rPr>
              <w:t xml:space="preserve"> the difference between arms was no less than 15%, using </w:t>
            </w:r>
            <w:proofErr w:type="gramStart"/>
            <w:r>
              <w:rPr>
                <w:color w:val="000000"/>
              </w:rPr>
              <w:t>Fleming</w:t>
            </w:r>
            <w:proofErr w:type="gramEnd"/>
            <w:r>
              <w:rPr>
                <w:color w:val="000000"/>
              </w:rPr>
              <w:t xml:space="preserve"> method.</w:t>
            </w:r>
          </w:p>
          <w:p w14:paraId="491C76A6" w14:textId="77777777" w:rsidR="0040359D" w:rsidRDefault="0040359D" w:rsidP="009A759C">
            <w:pPr>
              <w:pBdr>
                <w:top w:val="nil"/>
                <w:left w:val="nil"/>
                <w:bottom w:val="nil"/>
                <w:right w:val="nil"/>
                <w:between w:val="nil"/>
              </w:pBdr>
              <w:spacing w:before="60" w:after="60" w:line="240" w:lineRule="auto"/>
              <w:jc w:val="both"/>
              <w:rPr>
                <w:b/>
                <w:color w:val="000000"/>
                <w:u w:val="single"/>
              </w:rPr>
            </w:pPr>
            <w:r>
              <w:rPr>
                <w:b/>
                <w:color w:val="000000"/>
                <w:u w:val="single"/>
              </w:rPr>
              <w:lastRenderedPageBreak/>
              <w:t>Analysis populations:</w:t>
            </w:r>
          </w:p>
          <w:p w14:paraId="64009E5C" w14:textId="77777777" w:rsidR="0040359D" w:rsidRDefault="0040359D" w:rsidP="0040359D">
            <w:pPr>
              <w:numPr>
                <w:ilvl w:val="0"/>
                <w:numId w:val="2"/>
              </w:numPr>
              <w:pBdr>
                <w:top w:val="nil"/>
                <w:left w:val="nil"/>
                <w:bottom w:val="nil"/>
                <w:right w:val="nil"/>
                <w:between w:val="nil"/>
              </w:pBdr>
              <w:spacing w:before="60" w:after="60" w:line="240" w:lineRule="auto"/>
              <w:jc w:val="both"/>
              <w:rPr>
                <w:color w:val="000000"/>
              </w:rPr>
            </w:pPr>
            <w:r>
              <w:rPr>
                <w:color w:val="000000"/>
              </w:rPr>
              <w:t>Intent-to-Treat (ITT): All participants enrolled into the study and who received at least one treatment dose.</w:t>
            </w:r>
          </w:p>
          <w:p w14:paraId="06C82A62" w14:textId="77777777" w:rsidR="0040359D" w:rsidRDefault="0040359D" w:rsidP="0040359D">
            <w:pPr>
              <w:numPr>
                <w:ilvl w:val="0"/>
                <w:numId w:val="2"/>
              </w:numPr>
              <w:pBdr>
                <w:top w:val="nil"/>
                <w:left w:val="nil"/>
                <w:bottom w:val="nil"/>
                <w:right w:val="nil"/>
                <w:between w:val="nil"/>
              </w:pBdr>
              <w:spacing w:before="60" w:after="60" w:line="240" w:lineRule="auto"/>
              <w:jc w:val="both"/>
              <w:rPr>
                <w:b/>
                <w:color w:val="000000"/>
                <w:u w:val="single"/>
              </w:rPr>
            </w:pPr>
            <w:r>
              <w:rPr>
                <w:color w:val="000000"/>
              </w:rPr>
              <w:t>Safety (SAF): All participants who received at least one treatment dose.</w:t>
            </w:r>
          </w:p>
          <w:p w14:paraId="480EA7D9" w14:textId="77777777" w:rsidR="0040359D" w:rsidRDefault="0040359D" w:rsidP="009A759C">
            <w:pPr>
              <w:pBdr>
                <w:top w:val="nil"/>
                <w:left w:val="nil"/>
                <w:bottom w:val="nil"/>
                <w:right w:val="nil"/>
                <w:between w:val="nil"/>
              </w:pBdr>
              <w:spacing w:before="60" w:after="60" w:line="240" w:lineRule="auto"/>
              <w:jc w:val="both"/>
              <w:rPr>
                <w:b/>
                <w:color w:val="000000"/>
                <w:u w:val="single"/>
              </w:rPr>
            </w:pPr>
            <w:r>
              <w:rPr>
                <w:b/>
                <w:color w:val="000000"/>
                <w:u w:val="single"/>
              </w:rPr>
              <w:t>Analyses</w:t>
            </w:r>
          </w:p>
          <w:p w14:paraId="754A1D26" w14:textId="77777777" w:rsidR="0040359D" w:rsidRDefault="0040359D" w:rsidP="0040359D">
            <w:pPr>
              <w:numPr>
                <w:ilvl w:val="0"/>
                <w:numId w:val="3"/>
              </w:numPr>
              <w:pBdr>
                <w:top w:val="nil"/>
                <w:left w:val="nil"/>
                <w:bottom w:val="nil"/>
                <w:right w:val="nil"/>
                <w:between w:val="nil"/>
              </w:pBdr>
              <w:spacing w:before="60" w:after="60" w:line="240" w:lineRule="auto"/>
              <w:jc w:val="both"/>
              <w:rPr>
                <w:color w:val="000000"/>
              </w:rPr>
            </w:pPr>
            <w:r>
              <w:rPr>
                <w:color w:val="000000"/>
              </w:rPr>
              <w:t>The number and percentage of patients screened, enrolled, the primary reasons for screening failure, and the primary reason for discontinuation were displayed. Demographic variables, baseline characteristics, diagnoses, and prior and concomitant therapies were summarized by treatment, either by descriptive statistics or categorical tables.</w:t>
            </w:r>
          </w:p>
          <w:p w14:paraId="374D3B88" w14:textId="77777777" w:rsidR="0040359D" w:rsidRDefault="0040359D" w:rsidP="0040359D">
            <w:pPr>
              <w:numPr>
                <w:ilvl w:val="0"/>
                <w:numId w:val="3"/>
              </w:numPr>
              <w:pBdr>
                <w:top w:val="nil"/>
                <w:left w:val="nil"/>
                <w:bottom w:val="nil"/>
                <w:right w:val="nil"/>
                <w:between w:val="nil"/>
              </w:pBdr>
              <w:spacing w:before="60" w:after="60" w:line="240" w:lineRule="auto"/>
              <w:jc w:val="both"/>
              <w:rPr>
                <w:color w:val="000000"/>
              </w:rPr>
            </w:pPr>
            <w:r>
              <w:rPr>
                <w:color w:val="000000"/>
              </w:rPr>
              <w:t>Efficacy analyses used the ITT population.</w:t>
            </w:r>
          </w:p>
          <w:p w14:paraId="28F1ACA5" w14:textId="77777777" w:rsidR="0040359D" w:rsidRDefault="0040359D" w:rsidP="0040359D">
            <w:pPr>
              <w:numPr>
                <w:ilvl w:val="0"/>
                <w:numId w:val="3"/>
              </w:numPr>
              <w:pBdr>
                <w:top w:val="nil"/>
                <w:left w:val="nil"/>
                <w:bottom w:val="nil"/>
                <w:right w:val="nil"/>
                <w:between w:val="nil"/>
              </w:pBdr>
              <w:spacing w:before="60" w:after="60" w:line="240" w:lineRule="auto"/>
              <w:jc w:val="both"/>
              <w:rPr>
                <w:color w:val="000000"/>
              </w:rPr>
            </w:pPr>
            <w:r>
              <w:rPr>
                <w:color w:val="000000"/>
              </w:rPr>
              <w:t xml:space="preserve">Safety analyses were conducted on the safety population. All safety parameters were presented overall, by arm and by relationship to study drug. </w:t>
            </w:r>
          </w:p>
          <w:p w14:paraId="5A79006B"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All relevant subject data was included in the listings. The listings were generally sorted by subject ID, and date of assessment, unless specified otherwise.</w:t>
            </w:r>
          </w:p>
          <w:p w14:paraId="6F11F7D6"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All date calculations that were required considered date of first dose of study drug date as a reference, unless otherwise specified.</w:t>
            </w:r>
          </w:p>
          <w:p w14:paraId="1F5DCD52"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All applicable data was summarized overall and by arm, unless specified otherwise. In addition, data was summarized by FU date and/or time-point when appropriate.</w:t>
            </w:r>
          </w:p>
          <w:p w14:paraId="6C9A90F0"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Continuous variables were summarized using the number of observations (n), mean, standard deviation (SD), median, Q1, Q3, minimum, and maximum, along with the total number of participants contributing values. Unscheduled or repeated assessments were not included in the summary tables but were included in listings.</w:t>
            </w:r>
          </w:p>
          <w:p w14:paraId="00B73257"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Descriptive statistics for categorical/qualitative data included frequency counts and percentages.</w:t>
            </w:r>
          </w:p>
          <w:p w14:paraId="0F12DD7E"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The absolute values of proportion the 95% confidence interval (95% CI) were calculated using a Wald estimate and exact (Clopper-Pearson) confidence limits for the binomial proportion.</w:t>
            </w:r>
          </w:p>
          <w:p w14:paraId="61C7F2DB"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Time to event distributions (e.g., PFS and OS) were estimated using the Kaplan-Meier methodology. In these analyses, in addition to the Kaplan-Meier curve, the median, Q1, Q3, and their corresponding CI 95% (if estimable), the number of events and censored cases distribution were shown.</w:t>
            </w:r>
          </w:p>
          <w:p w14:paraId="4EBC96DC"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color w:val="000000"/>
              </w:rPr>
              <w:t xml:space="preserve">Missing data was not imputed. </w:t>
            </w:r>
          </w:p>
        </w:tc>
      </w:tr>
      <w:tr w:rsidR="0040359D" w14:paraId="528781E3"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DAAA8C3" w14:textId="77777777" w:rsidR="0040359D" w:rsidRDefault="0040359D" w:rsidP="009A759C">
            <w:pPr>
              <w:pBdr>
                <w:top w:val="nil"/>
                <w:left w:val="nil"/>
                <w:bottom w:val="nil"/>
                <w:right w:val="nil"/>
                <w:between w:val="nil"/>
              </w:pBdr>
              <w:tabs>
                <w:tab w:val="left" w:pos="1276"/>
              </w:tabs>
              <w:spacing w:before="60" w:after="60" w:line="240" w:lineRule="auto"/>
              <w:rPr>
                <w:b/>
                <w:color w:val="000000"/>
              </w:rPr>
            </w:pPr>
            <w:r>
              <w:rPr>
                <w:b/>
                <w:color w:val="000000"/>
              </w:rPr>
              <w:lastRenderedPageBreak/>
              <w:t>Results</w:t>
            </w:r>
          </w:p>
          <w:p w14:paraId="5719277E" w14:textId="77777777" w:rsidR="0040359D" w:rsidRDefault="0040359D" w:rsidP="009A759C">
            <w:pPr>
              <w:spacing w:before="60" w:after="60" w:line="240" w:lineRule="auto"/>
              <w:rPr>
                <w:b/>
                <w:i/>
              </w:rPr>
            </w:pPr>
            <w:r>
              <w:rPr>
                <w:b/>
                <w:i/>
              </w:rPr>
              <w:t>Efficacy</w:t>
            </w:r>
          </w:p>
          <w:p w14:paraId="7B0CE0C4"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 xml:space="preserve">The efficacy analyses were based on the ITT set. The ITT set was defined as those participants who were enrolled into the study and received at least one dose of treatment. Participants not having received any dose were excluded from the ITT. </w:t>
            </w:r>
          </w:p>
          <w:p w14:paraId="3817B0CC"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 xml:space="preserve">Of the 129 evaluable patients, there was a higher PSA reduction in the experimental arm (median -6.66 for the control arm versus -10.32 for the experimental arm). </w:t>
            </w:r>
            <w:r>
              <w:rPr>
                <w:color w:val="000000"/>
              </w:rPr>
              <w:lastRenderedPageBreak/>
              <w:t>Furthermore, the number of patients who achieved a PSA &lt;0.2 at the three months follow up visit was higher for experimental arm (90.48 versus 81.25%), although there were no statistically significant differences (p value 0.2028). The percentage of patients with biochemical relapse was higher in experimental arm (33.85 versus 28.13%).</w:t>
            </w:r>
          </w:p>
          <w:p w14:paraId="7FE643AB"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Biochemical response rates were completely aligned between arms, with percentages of patients achieving response being 96.2% patients in the control arm and 96.6% patients in the experimental arm.</w:t>
            </w:r>
          </w:p>
          <w:p w14:paraId="3FBEF4DA"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Median follow up was 134.1 months in the control arm and 128.9 months in the experimental arm.</w:t>
            </w:r>
          </w:p>
          <w:p w14:paraId="1BC4213F"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Median time to biochemical progression had not been achieved by the time of study closure, as only 26.56% (control arm) and 33.85% (experimental arm) had developed biochemical relapse. Within the first year, no patient developed biochemical progression.</w:t>
            </w:r>
          </w:p>
          <w:p w14:paraId="4E3C1D64" w14:textId="77777777" w:rsidR="0040359D" w:rsidRDefault="0040359D" w:rsidP="009A759C">
            <w:pPr>
              <w:pBdr>
                <w:top w:val="nil"/>
                <w:left w:val="nil"/>
                <w:bottom w:val="nil"/>
                <w:right w:val="nil"/>
                <w:between w:val="nil"/>
              </w:pBdr>
              <w:spacing w:before="60" w:after="60" w:line="240" w:lineRule="auto"/>
              <w:jc w:val="both"/>
              <w:rPr>
                <w:color w:val="000000"/>
                <w:highlight w:val="yellow"/>
              </w:rPr>
            </w:pPr>
            <w:r>
              <w:rPr>
                <w:color w:val="000000"/>
              </w:rPr>
              <w:t>As for the median progression free survival (PFS), there were no statistically significant differences among the groups, although there was a slight trend to a longer PFS in the control arm. There were no statistically significant differences for OS.</w:t>
            </w:r>
          </w:p>
          <w:p w14:paraId="7340654F" w14:textId="77777777" w:rsidR="0040359D" w:rsidRDefault="0040359D" w:rsidP="009A759C">
            <w:pPr>
              <w:spacing w:before="60" w:after="60" w:line="240" w:lineRule="auto"/>
              <w:rPr>
                <w:b/>
                <w:i/>
              </w:rPr>
            </w:pPr>
            <w:r>
              <w:rPr>
                <w:b/>
                <w:i/>
              </w:rPr>
              <w:t>Safety</w:t>
            </w:r>
          </w:p>
          <w:p w14:paraId="087B7BB1" w14:textId="77777777" w:rsidR="0040359D" w:rsidRDefault="0040359D" w:rsidP="009A759C">
            <w:pPr>
              <w:spacing w:after="120" w:line="240" w:lineRule="auto"/>
              <w:jc w:val="both"/>
            </w:pPr>
            <w:r>
              <w:t>One hundred and twenty-nine patients (96.99%) received at least one cycle of treatment. The total dose of docetaxel administered in each cycle remained constant at 20 mg/m</w:t>
            </w:r>
            <w:r>
              <w:rPr>
                <w:vertAlign w:val="superscript"/>
              </w:rPr>
              <w:t>2</w:t>
            </w:r>
            <w:r>
              <w:t>. Radiotherapy was received by 127 patients (95.49%). Hormonotherapy consisted in LHRH analogs for 3 years (antiandrogen was started within 14 weeks before analogs and it was kept for a month). Radiotherapy was administered once a day, five days a week, total 41 doses, total dose 73.8 Gy, or 2 Gy per day (37 doses, total dose 74 Gy). Four patients withdrew consent and hence, were not included in the safety population.</w:t>
            </w:r>
          </w:p>
          <w:p w14:paraId="0444EFAD" w14:textId="77777777" w:rsidR="0040359D" w:rsidRDefault="0040359D" w:rsidP="009A759C">
            <w:pPr>
              <w:spacing w:after="120" w:line="240" w:lineRule="auto"/>
              <w:jc w:val="both"/>
            </w:pPr>
            <w:r>
              <w:t>Only nineteen patients (29.23%) completed nine weeks of docetaxel treatment.</w:t>
            </w:r>
          </w:p>
          <w:p w14:paraId="63AB6011" w14:textId="77777777" w:rsidR="0040359D" w:rsidRDefault="0040359D" w:rsidP="009A759C">
            <w:pPr>
              <w:spacing w:after="120" w:line="240" w:lineRule="auto"/>
              <w:jc w:val="both"/>
            </w:pPr>
            <w:r>
              <w:t>Out of 129 evaluable for safety patients, 123 (95.35%) experienced at least one treatment emergent adverse event (TEAE); per arm, it was 92.19% in control arm versus 98.46% in experimental arm (p value 0.1148). The vast majority of the TEAEs were grade 1/2. The most frequent TEAEs reported were diarrhea (58.14%), asthenia (41.09%), dysuria (31.01%), hot flashes (21.71%). Diarrhea was much more frequent in the experimental arm (79.23% versus 35.94%), with no grade 3-4 events in the control arm versus 7 grade 3-4 events in the experimental arm. Asthenia was more common in the experimental arm (58.45 versus 23.44%). Dysuria was more frequent in the control arm (25.95 versus 18.46%), and there were no differences in hot flashes incidence per arm.</w:t>
            </w:r>
          </w:p>
          <w:p w14:paraId="40914A10" w14:textId="77777777" w:rsidR="0040359D" w:rsidRDefault="0040359D" w:rsidP="009A759C">
            <w:pPr>
              <w:spacing w:after="120" w:line="240" w:lineRule="auto"/>
              <w:jc w:val="both"/>
            </w:pPr>
            <w:r w:rsidRPr="007F2A43">
              <w:t xml:space="preserve">Thirty-two patients (24.81%) participants reported CTCAE grade ≥3 TEAEs (most frequently reported were diarrhea and lymphopenia with 25 (19.38%) related to study treatment). Out of those 32 patients with grade 3-4 AEs, 27 were from the experimental arm; hence 41.54% patients in the experimental arm experienced at least </w:t>
            </w:r>
            <w:r w:rsidRPr="007F2A43">
              <w:lastRenderedPageBreak/>
              <w:t>one grade 3-4 AE, while only 5 patients (7.81%) experienced grade 3-4 AE in the control arm.</w:t>
            </w:r>
          </w:p>
          <w:p w14:paraId="20D31225" w14:textId="77777777" w:rsidR="0040359D" w:rsidRDefault="0040359D" w:rsidP="009A759C">
            <w:pPr>
              <w:spacing w:after="120" w:line="240" w:lineRule="auto"/>
              <w:jc w:val="both"/>
            </w:pPr>
            <w:r>
              <w:t>The frequency of serious adverse events (SAEs) related to the study treatment was very low – overall, 3 (2.33%) participants reported at least one SAE (only in one case it was considered as related to study treatment -docetaxel and radiotherapy-). All three patients were from the experimental arm. SAEs included pneumonia, rectal bleeding and gastric perforation.</w:t>
            </w:r>
          </w:p>
          <w:p w14:paraId="5C6BD01C" w14:textId="77777777" w:rsidR="0040359D" w:rsidRDefault="0040359D" w:rsidP="009A759C">
            <w:pPr>
              <w:spacing w:after="120" w:line="240" w:lineRule="auto"/>
              <w:jc w:val="both"/>
            </w:pPr>
            <w:r>
              <w:t>There were no additional observations in vital signs, physical examination or ECG. Shifts in ECOG PS and concomitant medications were as expected for the underlying disease, the medical conditions and the commonly reported TEAEs in the study.</w:t>
            </w:r>
          </w:p>
          <w:p w14:paraId="2F1BA4A1" w14:textId="77777777" w:rsidR="0040359D" w:rsidRDefault="0040359D" w:rsidP="009A759C">
            <w:pPr>
              <w:spacing w:before="60" w:after="60" w:line="240" w:lineRule="auto"/>
              <w:jc w:val="both"/>
              <w:rPr>
                <w:highlight w:val="yellow"/>
              </w:rPr>
            </w:pPr>
            <w:r>
              <w:t>The safety profile observed in this clinical trial was consistent with that expected from docetaxel and radiotherapy-hormonotherapy. Adverse events observed for this combination were slightly more frequent (not statistically significant) and severe compared to the control arm.</w:t>
            </w:r>
            <w:r>
              <w:rPr>
                <w:highlight w:val="yellow"/>
              </w:rPr>
              <w:t xml:space="preserve"> </w:t>
            </w:r>
          </w:p>
        </w:tc>
      </w:tr>
      <w:tr w:rsidR="0040359D" w14:paraId="54170EF3" w14:textId="77777777" w:rsidTr="009A759C">
        <w:trPr>
          <w:jc w:val="center"/>
        </w:trPr>
        <w:tc>
          <w:tcPr>
            <w:tcW w:w="8384" w:type="dxa"/>
            <w:gridSpan w:val="2"/>
            <w:tcBorders>
              <w:top w:val="single" w:sz="4" w:space="0" w:color="000000"/>
              <w:left w:val="single" w:sz="4" w:space="0" w:color="000000"/>
              <w:bottom w:val="single" w:sz="4" w:space="0" w:color="000000"/>
              <w:right w:val="single" w:sz="4" w:space="0" w:color="000000"/>
            </w:tcBorders>
          </w:tcPr>
          <w:p w14:paraId="338ED3A8" w14:textId="77777777" w:rsidR="0040359D" w:rsidRDefault="0040359D" w:rsidP="009A759C">
            <w:pPr>
              <w:keepNext/>
              <w:pBdr>
                <w:top w:val="nil"/>
                <w:left w:val="nil"/>
                <w:bottom w:val="nil"/>
                <w:right w:val="nil"/>
                <w:between w:val="nil"/>
              </w:pBdr>
              <w:tabs>
                <w:tab w:val="left" w:pos="1276"/>
              </w:tabs>
              <w:spacing w:before="60" w:after="60" w:line="240" w:lineRule="auto"/>
              <w:rPr>
                <w:b/>
                <w:color w:val="000000"/>
              </w:rPr>
            </w:pPr>
            <w:r>
              <w:rPr>
                <w:b/>
                <w:color w:val="000000"/>
              </w:rPr>
              <w:lastRenderedPageBreak/>
              <w:t xml:space="preserve">Overall conclusions </w:t>
            </w:r>
          </w:p>
          <w:p w14:paraId="095AA6FB" w14:textId="77777777" w:rsidR="0040359D" w:rsidRDefault="0040359D" w:rsidP="009A759C">
            <w:pPr>
              <w:keepNext/>
              <w:pBdr>
                <w:top w:val="nil"/>
                <w:left w:val="nil"/>
                <w:bottom w:val="nil"/>
                <w:right w:val="nil"/>
                <w:between w:val="nil"/>
              </w:pBdr>
              <w:tabs>
                <w:tab w:val="left" w:pos="1276"/>
              </w:tabs>
              <w:spacing w:before="60" w:after="60" w:line="240" w:lineRule="auto"/>
            </w:pPr>
            <w:r>
              <w:t xml:space="preserve">In this phase 2 trial, the safety profile was manageable, although the number and severity of AEs was higher for the experimental arm. </w:t>
            </w:r>
          </w:p>
          <w:p w14:paraId="75C4A194" w14:textId="77777777" w:rsidR="0040359D" w:rsidRDefault="0040359D" w:rsidP="009A759C">
            <w:pPr>
              <w:spacing w:line="240" w:lineRule="auto"/>
              <w:jc w:val="both"/>
            </w:pPr>
            <w:r>
              <w:t>There was a higher PSA reduction in the experimental arm, and the number of patients who achieved a PSA &lt;0.2 at the three months follow up visit was higher for the experimental arm, although there were no statistically significant differences. The percentage of patients with biochemical relapse was also higher in the experimental arm.</w:t>
            </w:r>
          </w:p>
          <w:p w14:paraId="1377A607"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Biochemical response rates were completely aligned between arms.</w:t>
            </w:r>
          </w:p>
          <w:p w14:paraId="70290660" w14:textId="77777777" w:rsidR="0040359D" w:rsidRDefault="0040359D" w:rsidP="009A759C">
            <w:pPr>
              <w:pBdr>
                <w:top w:val="nil"/>
                <w:left w:val="nil"/>
                <w:bottom w:val="nil"/>
                <w:right w:val="nil"/>
                <w:between w:val="nil"/>
              </w:pBdr>
              <w:spacing w:before="60" w:after="60" w:line="240" w:lineRule="auto"/>
              <w:jc w:val="both"/>
              <w:rPr>
                <w:color w:val="000000"/>
              </w:rPr>
            </w:pPr>
            <w:r>
              <w:rPr>
                <w:color w:val="000000"/>
              </w:rPr>
              <w:t>Median time to biochemical progression had not been achieved by the time of study.</w:t>
            </w:r>
          </w:p>
          <w:p w14:paraId="70E674AD" w14:textId="77777777" w:rsidR="0040359D" w:rsidRDefault="0040359D" w:rsidP="009A759C">
            <w:pPr>
              <w:spacing w:before="60" w:after="60" w:line="240" w:lineRule="auto"/>
              <w:jc w:val="both"/>
              <w:rPr>
                <w:highlight w:val="yellow"/>
              </w:rPr>
            </w:pPr>
            <w:r>
              <w:t>There were no statistically significant differences in PFS or OS due to the low number of events in both arms.</w:t>
            </w:r>
          </w:p>
        </w:tc>
      </w:tr>
      <w:tr w:rsidR="0040359D" w14:paraId="4D89D403" w14:textId="77777777" w:rsidTr="009A759C">
        <w:trPr>
          <w:jc w:val="center"/>
        </w:trPr>
        <w:tc>
          <w:tcPr>
            <w:tcW w:w="8384" w:type="dxa"/>
            <w:gridSpan w:val="2"/>
            <w:tcBorders>
              <w:top w:val="nil"/>
              <w:left w:val="single" w:sz="4" w:space="0" w:color="000000"/>
              <w:bottom w:val="single" w:sz="4" w:space="0" w:color="000000"/>
              <w:right w:val="single" w:sz="4" w:space="0" w:color="000000"/>
            </w:tcBorders>
          </w:tcPr>
          <w:p w14:paraId="13A57518" w14:textId="77777777" w:rsidR="0040359D" w:rsidRDefault="0040359D" w:rsidP="009A759C">
            <w:pPr>
              <w:keepNext/>
              <w:keepLines/>
              <w:pBdr>
                <w:top w:val="nil"/>
                <w:left w:val="nil"/>
                <w:bottom w:val="nil"/>
                <w:right w:val="nil"/>
                <w:between w:val="nil"/>
              </w:pBdr>
              <w:tabs>
                <w:tab w:val="left" w:pos="360"/>
              </w:tabs>
              <w:spacing w:before="60" w:after="60" w:line="240" w:lineRule="auto"/>
              <w:ind w:left="29"/>
              <w:rPr>
                <w:b/>
                <w:color w:val="000000"/>
                <w:highlight w:val="yellow"/>
              </w:rPr>
            </w:pPr>
            <w:r>
              <w:rPr>
                <w:b/>
                <w:color w:val="000000"/>
              </w:rPr>
              <w:t>Date of Report: 18 November 2024</w:t>
            </w:r>
          </w:p>
        </w:tc>
      </w:tr>
    </w:tbl>
    <w:p w14:paraId="5F6F38ED" w14:textId="77777777" w:rsidR="002F2799" w:rsidRDefault="002F2799"/>
    <w:sectPr w:rsidR="002F2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676275"/>
    <w:multiLevelType w:val="multilevel"/>
    <w:tmpl w:val="C4FCA212"/>
    <w:lvl w:ilvl="0">
      <w:start w:val="1"/>
      <w:numFmt w:val="decimal"/>
      <w:pStyle w:val="Numbered12pts"/>
      <w:lvlText w:val="%1."/>
      <w:lvlJc w:val="left"/>
      <w:pPr>
        <w:ind w:left="108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C346FF"/>
    <w:multiLevelType w:val="multilevel"/>
    <w:tmpl w:val="AF7EF1E6"/>
    <w:lvl w:ilvl="0">
      <w:start w:val="1"/>
      <w:numFmt w:val="decimal"/>
      <w:pStyle w:val="ListBullet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D12C2F"/>
    <w:multiLevelType w:val="multilevel"/>
    <w:tmpl w:val="998E6D42"/>
    <w:lvl w:ilvl="0">
      <w:start w:val="1"/>
      <w:numFmt w:val="bullet"/>
      <w:pStyle w:val="C-Appendix"/>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6F51D78"/>
    <w:multiLevelType w:val="multilevel"/>
    <w:tmpl w:val="7A0ECCB8"/>
    <w:lvl w:ilvl="0">
      <w:start w:val="2"/>
      <w:numFmt w:val="decimal"/>
      <w:pStyle w:val="C-BulletIndented"/>
      <w:lvlText w:val="%1."/>
      <w:lvlJc w:val="left"/>
      <w:pPr>
        <w:ind w:left="360" w:hanging="360"/>
      </w:pPr>
    </w:lvl>
    <w:lvl w:ilvl="1">
      <w:start w:val="1"/>
      <w:numFmt w:val="decimal"/>
      <w:lvlText w:val="%1.%2"/>
      <w:lvlJc w:val="left"/>
      <w:pPr>
        <w:ind w:left="1260" w:hanging="360"/>
      </w:pPr>
      <w:rPr>
        <w:i w:val="0"/>
      </w:rPr>
    </w:lvl>
    <w:lvl w:ilvl="2">
      <w:start w:val="1"/>
      <w:numFmt w:val="decimal"/>
      <w:lvlText w:val="%1.%2.%3"/>
      <w:lvlJc w:val="left"/>
      <w:pPr>
        <w:ind w:left="1080" w:hanging="720"/>
      </w:pPr>
      <w:rPr>
        <w:b/>
      </w:rPr>
    </w:lvl>
    <w:lvl w:ilvl="3">
      <w:start w:val="1"/>
      <w:numFmt w:val="decimal"/>
      <w:lvlText w:val="%1.%2.%3.%4"/>
      <w:lvlJc w:val="left"/>
      <w:pPr>
        <w:ind w:left="1004" w:hanging="720"/>
      </w:pPr>
      <w:rPr>
        <w:i/>
      </w:rPr>
    </w:lvl>
    <w:lvl w:ilvl="4">
      <w:start w:val="1"/>
      <w:numFmt w:val="decimal"/>
      <w:lvlText w:val="%1.%2.%3.%4.%5"/>
      <w:lvlJc w:val="left"/>
      <w:pPr>
        <w:ind w:left="1440" w:hanging="1080"/>
      </w:pPr>
      <w:rPr>
        <w:b/>
      </w:r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74A821DC"/>
    <w:multiLevelType w:val="multilevel"/>
    <w:tmpl w:val="4F12CD84"/>
    <w:lvl w:ilvl="0">
      <w:start w:val="1"/>
      <w:numFmt w:val="bullet"/>
      <w:pStyle w:val="C-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51881353">
    <w:abstractNumId w:val="3"/>
  </w:num>
  <w:num w:numId="2" w16cid:durableId="85614461">
    <w:abstractNumId w:val="2"/>
  </w:num>
  <w:num w:numId="3" w16cid:durableId="1292705725">
    <w:abstractNumId w:val="4"/>
  </w:num>
  <w:num w:numId="4" w16cid:durableId="383719366">
    <w:abstractNumId w:val="1"/>
  </w:num>
  <w:num w:numId="5" w16cid:durableId="923299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9D"/>
    <w:rsid w:val="002F2799"/>
    <w:rsid w:val="0040359D"/>
    <w:rsid w:val="006717E9"/>
    <w:rsid w:val="006A2458"/>
    <w:rsid w:val="009E582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C3A5D"/>
  <w15:chartTrackingRefBased/>
  <w15:docId w15:val="{D82FA382-1E39-4AEB-BE97-A59331E75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59D"/>
    <w:pPr>
      <w:spacing w:after="0" w:line="240" w:lineRule="exact"/>
    </w:pPr>
    <w:rPr>
      <w:rFonts w:ascii="Times New Roman" w:eastAsia="Times New Roman" w:hAnsi="Times New Roman" w:cs="Times New Roman"/>
      <w:kern w:val="0"/>
      <w:sz w:val="24"/>
      <w:szCs w:val="24"/>
      <w:lang w:val="en-US" w:eastAsia="en-GB" w:bidi="ar-SA"/>
      <w14:ligatures w14:val="none"/>
    </w:rPr>
  </w:style>
  <w:style w:type="paragraph" w:styleId="Heading1">
    <w:name w:val="heading 1"/>
    <w:basedOn w:val="Normal"/>
    <w:next w:val="Normal"/>
    <w:link w:val="Heading1Char"/>
    <w:uiPriority w:val="9"/>
    <w:qFormat/>
    <w:rsid w:val="00403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5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5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5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5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59D"/>
    <w:rPr>
      <w:rFonts w:eastAsiaTheme="majorEastAsia" w:cstheme="majorBidi"/>
      <w:color w:val="272727" w:themeColor="text1" w:themeTint="D8"/>
    </w:rPr>
  </w:style>
  <w:style w:type="paragraph" w:styleId="Title">
    <w:name w:val="Title"/>
    <w:basedOn w:val="Normal"/>
    <w:next w:val="Normal"/>
    <w:link w:val="TitleChar"/>
    <w:uiPriority w:val="10"/>
    <w:qFormat/>
    <w:rsid w:val="00403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59D"/>
    <w:pPr>
      <w:spacing w:before="160"/>
      <w:jc w:val="center"/>
    </w:pPr>
    <w:rPr>
      <w:i/>
      <w:iCs/>
      <w:color w:val="404040" w:themeColor="text1" w:themeTint="BF"/>
    </w:rPr>
  </w:style>
  <w:style w:type="character" w:customStyle="1" w:styleId="QuoteChar">
    <w:name w:val="Quote Char"/>
    <w:basedOn w:val="DefaultParagraphFont"/>
    <w:link w:val="Quote"/>
    <w:uiPriority w:val="29"/>
    <w:rsid w:val="0040359D"/>
    <w:rPr>
      <w:i/>
      <w:iCs/>
      <w:color w:val="404040" w:themeColor="text1" w:themeTint="BF"/>
    </w:rPr>
  </w:style>
  <w:style w:type="paragraph" w:styleId="ListParagraph">
    <w:name w:val="List Paragraph"/>
    <w:basedOn w:val="Normal"/>
    <w:uiPriority w:val="34"/>
    <w:qFormat/>
    <w:rsid w:val="0040359D"/>
    <w:pPr>
      <w:ind w:left="720"/>
      <w:contextualSpacing/>
    </w:pPr>
  </w:style>
  <w:style w:type="character" w:styleId="IntenseEmphasis">
    <w:name w:val="Intense Emphasis"/>
    <w:basedOn w:val="DefaultParagraphFont"/>
    <w:uiPriority w:val="21"/>
    <w:qFormat/>
    <w:rsid w:val="0040359D"/>
    <w:rPr>
      <w:i/>
      <w:iCs/>
      <w:color w:val="0F4761" w:themeColor="accent1" w:themeShade="BF"/>
    </w:rPr>
  </w:style>
  <w:style w:type="paragraph" w:styleId="IntenseQuote">
    <w:name w:val="Intense Quote"/>
    <w:basedOn w:val="Normal"/>
    <w:next w:val="Normal"/>
    <w:link w:val="IntenseQuoteChar"/>
    <w:uiPriority w:val="30"/>
    <w:qFormat/>
    <w:rsid w:val="00403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59D"/>
    <w:rPr>
      <w:i/>
      <w:iCs/>
      <w:color w:val="0F4761" w:themeColor="accent1" w:themeShade="BF"/>
    </w:rPr>
  </w:style>
  <w:style w:type="character" w:styleId="IntenseReference">
    <w:name w:val="Intense Reference"/>
    <w:basedOn w:val="DefaultParagraphFont"/>
    <w:uiPriority w:val="32"/>
    <w:qFormat/>
    <w:rsid w:val="0040359D"/>
    <w:rPr>
      <w:b/>
      <w:bCs/>
      <w:smallCaps/>
      <w:color w:val="0F4761" w:themeColor="accent1" w:themeShade="BF"/>
      <w:spacing w:val="5"/>
    </w:rPr>
  </w:style>
  <w:style w:type="paragraph" w:customStyle="1" w:styleId="C-Appendix">
    <w:name w:val="C-Appendix"/>
    <w:next w:val="Normal"/>
    <w:rsid w:val="0040359D"/>
    <w:pPr>
      <w:keepNext/>
      <w:pageBreakBefore/>
      <w:numPr>
        <w:numId w:val="2"/>
      </w:numPr>
      <w:spacing w:before="480" w:after="120" w:line="240" w:lineRule="auto"/>
      <w:outlineLvl w:val="0"/>
    </w:pPr>
    <w:rPr>
      <w:rFonts w:ascii="Times New Roman" w:eastAsia="Times New Roman" w:hAnsi="Times New Roman" w:cs="Times New Roman"/>
      <w:b/>
      <w:caps/>
      <w:kern w:val="0"/>
      <w:sz w:val="28"/>
      <w:szCs w:val="24"/>
      <w:lang w:val="en-US" w:eastAsia="en-GB" w:bidi="ar-SA"/>
      <w14:ligatures w14:val="none"/>
    </w:rPr>
  </w:style>
  <w:style w:type="paragraph" w:customStyle="1" w:styleId="C-Bullet">
    <w:name w:val="C-Bullet"/>
    <w:qFormat/>
    <w:rsid w:val="0040359D"/>
    <w:pPr>
      <w:numPr>
        <w:numId w:val="3"/>
      </w:numPr>
      <w:tabs>
        <w:tab w:val="left" w:pos="720"/>
      </w:tabs>
      <w:spacing w:before="120" w:after="120" w:line="280" w:lineRule="atLeast"/>
    </w:pPr>
    <w:rPr>
      <w:rFonts w:ascii="Times New Roman" w:eastAsia="Times New Roman" w:hAnsi="Times New Roman" w:cs="Times New Roman"/>
      <w:kern w:val="0"/>
      <w:sz w:val="24"/>
      <w:szCs w:val="24"/>
      <w:lang w:val="en-US" w:eastAsia="en-GB" w:bidi="ar-SA"/>
      <w14:ligatures w14:val="none"/>
    </w:rPr>
  </w:style>
  <w:style w:type="paragraph" w:customStyle="1" w:styleId="C-BulletIndented">
    <w:name w:val="C-Bullet Indented"/>
    <w:basedOn w:val="Normal"/>
    <w:rsid w:val="0040359D"/>
    <w:pPr>
      <w:numPr>
        <w:numId w:val="1"/>
      </w:numPr>
      <w:spacing w:line="300" w:lineRule="auto"/>
    </w:pPr>
  </w:style>
  <w:style w:type="paragraph" w:styleId="ListBullet2">
    <w:name w:val="List Bullet 2"/>
    <w:basedOn w:val="Normal"/>
    <w:unhideWhenUsed/>
    <w:rsid w:val="0040359D"/>
    <w:pPr>
      <w:numPr>
        <w:numId w:val="4"/>
      </w:numPr>
      <w:contextualSpacing/>
    </w:pPr>
  </w:style>
  <w:style w:type="paragraph" w:customStyle="1" w:styleId="Numbered12pts">
    <w:name w:val="Numbered 12 pts"/>
    <w:basedOn w:val="Normal"/>
    <w:qFormat/>
    <w:rsid w:val="0040359D"/>
    <w:pPr>
      <w:numPr>
        <w:numId w:val="5"/>
      </w:numPr>
      <w:tabs>
        <w:tab w:val="left" w:pos="709"/>
      </w:tabs>
      <w:spacing w:after="60" w:line="240" w:lineRule="auto"/>
      <w:ind w:right="52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2585</Words>
  <Characters>14739</Characters>
  <Application>Microsoft Office Word</Application>
  <DocSecurity>0</DocSecurity>
  <Lines>122</Lines>
  <Paragraphs>34</Paragraphs>
  <ScaleCrop>false</ScaleCrop>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Maciá</dc:creator>
  <cp:keywords/>
  <dc:description/>
  <cp:lastModifiedBy>Sonia Maciá</cp:lastModifiedBy>
  <cp:revision>1</cp:revision>
  <dcterms:created xsi:type="dcterms:W3CDTF">2024-12-09T07:28:00Z</dcterms:created>
  <dcterms:modified xsi:type="dcterms:W3CDTF">2024-12-09T07:29:00Z</dcterms:modified>
</cp:coreProperties>
</file>