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508"/>
        <w:gridCol w:w="4508"/>
      </w:tblGrid>
      <w:tr w:rsidR="00E259E6" w:rsidTr="00E259E6">
        <w:tc>
          <w:tcPr>
            <w:tcW w:w="9016" w:type="dxa"/>
            <w:gridSpan w:val="2"/>
          </w:tcPr>
          <w:p w:rsidR="00E259E6" w:rsidRPr="00C70F5B" w:rsidRDefault="00E259E6">
            <w:pPr>
              <w:rPr>
                <w:b/>
              </w:rPr>
            </w:pPr>
            <w:r w:rsidRPr="00C70F5B">
              <w:rPr>
                <w:b/>
              </w:rPr>
              <w:t>Investigators</w:t>
            </w:r>
          </w:p>
          <w:p w:rsidR="00FD1269" w:rsidRDefault="00FD1269">
            <w:r>
              <w:t>Dr Miles D Witham, Prof Peter T Donnan, Prof Marion E T McMurdo, Prof Ian Ford, Prof Allan D Struthers</w:t>
            </w:r>
          </w:p>
          <w:p w:rsidR="00C70F5B" w:rsidRDefault="00C70F5B"/>
        </w:tc>
      </w:tr>
      <w:tr w:rsidR="00E259E6" w:rsidTr="00E259E6">
        <w:tc>
          <w:tcPr>
            <w:tcW w:w="9016" w:type="dxa"/>
            <w:gridSpan w:val="2"/>
          </w:tcPr>
          <w:p w:rsidR="00C70F5B" w:rsidRPr="00C70F5B" w:rsidRDefault="00E259E6">
            <w:pPr>
              <w:rPr>
                <w:b/>
              </w:rPr>
            </w:pPr>
            <w:r w:rsidRPr="00C70F5B">
              <w:rPr>
                <w:b/>
              </w:rPr>
              <w:t>Study Centres</w:t>
            </w:r>
            <w:r w:rsidR="00C70F5B">
              <w:rPr>
                <w:b/>
              </w:rPr>
              <w:t>:</w:t>
            </w:r>
          </w:p>
          <w:p w:rsidR="00E259E6" w:rsidRDefault="00FD1269">
            <w:r>
              <w:t>Tayside, UK</w:t>
            </w:r>
          </w:p>
          <w:p w:rsidR="00C70F5B" w:rsidRDefault="00C70F5B"/>
        </w:tc>
      </w:tr>
      <w:tr w:rsidR="00E259E6" w:rsidTr="00E259E6">
        <w:tc>
          <w:tcPr>
            <w:tcW w:w="9016" w:type="dxa"/>
            <w:gridSpan w:val="2"/>
          </w:tcPr>
          <w:p w:rsidR="00C70F5B" w:rsidRPr="00C70F5B" w:rsidRDefault="00E259E6" w:rsidP="00FD1269">
            <w:pPr>
              <w:rPr>
                <w:b/>
              </w:rPr>
            </w:pPr>
            <w:r w:rsidRPr="00C70F5B">
              <w:rPr>
                <w:b/>
              </w:rPr>
              <w:t>Publication (reference)</w:t>
            </w:r>
            <w:r w:rsidR="00C70F5B">
              <w:rPr>
                <w:b/>
              </w:rPr>
              <w:t>:</w:t>
            </w:r>
          </w:p>
          <w:p w:rsidR="00E259E6" w:rsidRDefault="00FD1269" w:rsidP="00FD1269">
            <w:r>
              <w:t xml:space="preserve">Witham MD, Price RJ, Struthers AD, Donnan PT, </w:t>
            </w:r>
            <w:proofErr w:type="spellStart"/>
            <w:r>
              <w:t>Messow</w:t>
            </w:r>
            <w:proofErr w:type="spellEnd"/>
            <w:r>
              <w:t xml:space="preserve"> CM, Ford I, McMurdo ME. Cholecalciferol treatment to reduce blood pressure in older adults with isolated systolic hypertension: the </w:t>
            </w:r>
            <w:proofErr w:type="spellStart"/>
            <w:r>
              <w:t>VitDISH</w:t>
            </w:r>
            <w:proofErr w:type="spellEnd"/>
            <w:r>
              <w:t xml:space="preserve"> randomised controlled trial. JAMA Intern Med. 2013</w:t>
            </w:r>
            <w:proofErr w:type="gramStart"/>
            <w:r>
              <w:t>;173</w:t>
            </w:r>
            <w:proofErr w:type="gramEnd"/>
            <w:r>
              <w:t>(18):1672-9.</w:t>
            </w:r>
          </w:p>
          <w:p w:rsidR="00C70F5B" w:rsidRDefault="00C70F5B" w:rsidP="00FD1269"/>
        </w:tc>
      </w:tr>
      <w:tr w:rsidR="00E259E6" w:rsidTr="00E9499C">
        <w:tc>
          <w:tcPr>
            <w:tcW w:w="4508" w:type="dxa"/>
          </w:tcPr>
          <w:p w:rsidR="00AB0FD7" w:rsidRDefault="00E259E6">
            <w:pPr>
              <w:rPr>
                <w:b/>
              </w:rPr>
            </w:pPr>
            <w:r w:rsidRPr="00C70F5B">
              <w:rPr>
                <w:b/>
              </w:rPr>
              <w:t>Date of first enrolment</w:t>
            </w:r>
            <w:r w:rsidR="00AB0FD7">
              <w:rPr>
                <w:b/>
              </w:rPr>
              <w:t xml:space="preserve">: </w:t>
            </w:r>
          </w:p>
          <w:p w:rsidR="00E259E6" w:rsidRPr="00AB0FD7" w:rsidRDefault="00AB0FD7">
            <w:r w:rsidRPr="00AB0FD7">
              <w:t>1</w:t>
            </w:r>
            <w:r w:rsidRPr="00AB0FD7">
              <w:rPr>
                <w:vertAlign w:val="superscript"/>
              </w:rPr>
              <w:t>st</w:t>
            </w:r>
            <w:r w:rsidRPr="00AB0FD7">
              <w:t xml:space="preserve"> June 2009</w:t>
            </w:r>
          </w:p>
          <w:p w:rsidR="00E259E6" w:rsidRDefault="00E259E6"/>
          <w:p w:rsidR="00AB0FD7" w:rsidRDefault="00E259E6">
            <w:pPr>
              <w:rPr>
                <w:b/>
              </w:rPr>
            </w:pPr>
            <w:r w:rsidRPr="00C70F5B">
              <w:rPr>
                <w:b/>
              </w:rPr>
              <w:t>Date of last participant visit</w:t>
            </w:r>
            <w:r w:rsidR="00AB0FD7">
              <w:rPr>
                <w:b/>
              </w:rPr>
              <w:t xml:space="preserve">: </w:t>
            </w:r>
          </w:p>
          <w:p w:rsidR="00E259E6" w:rsidRPr="00AB0FD7" w:rsidRDefault="00AB0FD7">
            <w:r w:rsidRPr="00AB0FD7">
              <w:t>8</w:t>
            </w:r>
            <w:r w:rsidRPr="00AB0FD7">
              <w:rPr>
                <w:vertAlign w:val="superscript"/>
              </w:rPr>
              <w:t>th</w:t>
            </w:r>
            <w:r w:rsidRPr="00AB0FD7">
              <w:t xml:space="preserve"> May 2012</w:t>
            </w:r>
          </w:p>
          <w:p w:rsidR="00C70F5B" w:rsidRPr="00C70F5B" w:rsidRDefault="00C70F5B">
            <w:pPr>
              <w:rPr>
                <w:b/>
              </w:rPr>
            </w:pPr>
          </w:p>
        </w:tc>
        <w:tc>
          <w:tcPr>
            <w:tcW w:w="4508" w:type="dxa"/>
          </w:tcPr>
          <w:p w:rsidR="00C70F5B" w:rsidRPr="00C70F5B" w:rsidRDefault="00E259E6">
            <w:pPr>
              <w:rPr>
                <w:b/>
              </w:rPr>
            </w:pPr>
            <w:r w:rsidRPr="00C70F5B">
              <w:rPr>
                <w:b/>
              </w:rPr>
              <w:t>Phase of development</w:t>
            </w:r>
          </w:p>
          <w:p w:rsidR="00E259E6" w:rsidRDefault="00FD1269">
            <w:r>
              <w:t>Phase 4</w:t>
            </w:r>
          </w:p>
        </w:tc>
      </w:tr>
      <w:tr w:rsidR="00E259E6" w:rsidTr="00E259E6">
        <w:tc>
          <w:tcPr>
            <w:tcW w:w="9016" w:type="dxa"/>
            <w:gridSpan w:val="2"/>
          </w:tcPr>
          <w:p w:rsidR="00FD1269" w:rsidRPr="00647C7F" w:rsidRDefault="00E259E6">
            <w:pPr>
              <w:rPr>
                <w:b/>
              </w:rPr>
            </w:pPr>
            <w:r w:rsidRPr="00647C7F">
              <w:rPr>
                <w:b/>
              </w:rPr>
              <w:t>Objectives</w:t>
            </w:r>
          </w:p>
          <w:p w:rsidR="00E259E6" w:rsidRDefault="00FD1269">
            <w:r>
              <w:t>T</w:t>
            </w:r>
            <w:r w:rsidRPr="00FD1269">
              <w:t>o investigate whether oral vitamin D supplementation can improve blood pressure and markers of vascular risk in older people with isolated systolic hypertension and suboptimal vitamin D levels.</w:t>
            </w:r>
          </w:p>
        </w:tc>
      </w:tr>
      <w:tr w:rsidR="00E259E6" w:rsidTr="00E259E6">
        <w:tc>
          <w:tcPr>
            <w:tcW w:w="9016" w:type="dxa"/>
            <w:gridSpan w:val="2"/>
          </w:tcPr>
          <w:p w:rsidR="00E259E6" w:rsidRPr="00647C7F" w:rsidRDefault="00E259E6">
            <w:pPr>
              <w:rPr>
                <w:b/>
              </w:rPr>
            </w:pPr>
            <w:r w:rsidRPr="00647C7F">
              <w:rPr>
                <w:b/>
              </w:rPr>
              <w:t>Methods</w:t>
            </w:r>
            <w:r w:rsidR="008C569D" w:rsidRPr="00647C7F">
              <w:rPr>
                <w:b/>
              </w:rPr>
              <w:t>:</w:t>
            </w:r>
          </w:p>
          <w:p w:rsidR="008C569D" w:rsidRDefault="008C569D" w:rsidP="008C569D">
            <w:r>
              <w:t>R</w:t>
            </w:r>
            <w:r w:rsidRPr="008C569D">
              <w:t xml:space="preserve">andomised placebo controlled, parallel group, double blinded </w:t>
            </w:r>
            <w:r>
              <w:t>trial</w:t>
            </w:r>
            <w:r w:rsidRPr="008C569D">
              <w:t>.</w:t>
            </w:r>
          </w:p>
          <w:p w:rsidR="00647C7F" w:rsidRDefault="00647C7F" w:rsidP="008C569D"/>
          <w:p w:rsidR="00647C7F" w:rsidRPr="00C70F5B" w:rsidRDefault="00647C7F" w:rsidP="008C569D">
            <w:pPr>
              <w:rPr>
                <w:i/>
              </w:rPr>
            </w:pPr>
            <w:r w:rsidRPr="00C70F5B">
              <w:rPr>
                <w:i/>
              </w:rPr>
              <w:t>Study population</w:t>
            </w:r>
          </w:p>
          <w:p w:rsidR="00C70F5B" w:rsidRDefault="00C70F5B" w:rsidP="008C569D">
            <w:r>
              <w:t xml:space="preserve">Patients aged 70 </w:t>
            </w:r>
            <w:proofErr w:type="spellStart"/>
            <w:r>
              <w:t>yrs</w:t>
            </w:r>
            <w:proofErr w:type="spellEnd"/>
            <w:r>
              <w:t xml:space="preserve"> and over, with isolated systolic hypertension (SBP&gt;140mmHg and DBP&lt;90mmHg) and baseline 25OHD levels of &lt;75nmol/L</w:t>
            </w:r>
          </w:p>
          <w:p w:rsidR="00C70F5B" w:rsidRDefault="00C70F5B" w:rsidP="008C569D"/>
          <w:p w:rsidR="00C70F5B" w:rsidRDefault="00C70F5B" w:rsidP="008C569D">
            <w:r>
              <w:t xml:space="preserve">Oral vitamin D3 (100,000 units) or placebo administered at baseline, 3,6,9 months; outcome visits at baseline, 3,6,9 and 12 months </w:t>
            </w:r>
          </w:p>
          <w:p w:rsidR="00647C7F" w:rsidRDefault="00647C7F" w:rsidP="008C569D"/>
        </w:tc>
      </w:tr>
      <w:tr w:rsidR="00E259E6" w:rsidTr="00E259E6">
        <w:tc>
          <w:tcPr>
            <w:tcW w:w="9016" w:type="dxa"/>
            <w:gridSpan w:val="2"/>
          </w:tcPr>
          <w:p w:rsidR="00E259E6" w:rsidRPr="00647C7F" w:rsidRDefault="00E259E6">
            <w:pPr>
              <w:rPr>
                <w:b/>
              </w:rPr>
            </w:pPr>
            <w:r w:rsidRPr="00647C7F">
              <w:rPr>
                <w:b/>
              </w:rPr>
              <w:t>Number of patients planned</w:t>
            </w:r>
          </w:p>
          <w:p w:rsidR="00647C7F" w:rsidRDefault="00647C7F">
            <w:r>
              <w:t>180</w:t>
            </w:r>
          </w:p>
          <w:p w:rsidR="00E259E6" w:rsidRDefault="00E259E6"/>
          <w:p w:rsidR="00E259E6" w:rsidRPr="00647C7F" w:rsidRDefault="00E259E6">
            <w:pPr>
              <w:rPr>
                <w:b/>
              </w:rPr>
            </w:pPr>
            <w:r w:rsidRPr="00647C7F">
              <w:rPr>
                <w:b/>
              </w:rPr>
              <w:t>Number of patients analysed</w:t>
            </w:r>
          </w:p>
          <w:p w:rsidR="00647C7F" w:rsidRDefault="00647C7F">
            <w:r>
              <w:t>159</w:t>
            </w:r>
          </w:p>
          <w:p w:rsidR="00C70F5B" w:rsidRDefault="00C70F5B"/>
        </w:tc>
      </w:tr>
      <w:tr w:rsidR="00E259E6" w:rsidTr="00E259E6">
        <w:tc>
          <w:tcPr>
            <w:tcW w:w="9016" w:type="dxa"/>
            <w:gridSpan w:val="2"/>
          </w:tcPr>
          <w:p w:rsidR="00E259E6" w:rsidRPr="00647C7F" w:rsidRDefault="00E259E6">
            <w:pPr>
              <w:rPr>
                <w:b/>
              </w:rPr>
            </w:pPr>
            <w:r w:rsidRPr="00647C7F">
              <w:rPr>
                <w:b/>
              </w:rPr>
              <w:t>Test product dose</w:t>
            </w:r>
          </w:p>
          <w:p w:rsidR="00647C7F" w:rsidRDefault="00647C7F">
            <w:r>
              <w:t>100,000 units vitamin D3 taken orally at baseline, 3, 6 and 9 months</w:t>
            </w:r>
          </w:p>
          <w:p w:rsidR="00C70F5B" w:rsidRDefault="00C70F5B"/>
        </w:tc>
      </w:tr>
      <w:tr w:rsidR="00E259E6" w:rsidTr="00E259E6">
        <w:tc>
          <w:tcPr>
            <w:tcW w:w="9016" w:type="dxa"/>
            <w:gridSpan w:val="2"/>
          </w:tcPr>
          <w:p w:rsidR="00E259E6" w:rsidRPr="00C70F5B" w:rsidRDefault="00E259E6">
            <w:pPr>
              <w:rPr>
                <w:b/>
              </w:rPr>
            </w:pPr>
            <w:r w:rsidRPr="00C70F5B">
              <w:rPr>
                <w:b/>
              </w:rPr>
              <w:t>Duration of treatment</w:t>
            </w:r>
          </w:p>
          <w:p w:rsidR="00647C7F" w:rsidRDefault="00647C7F">
            <w:r>
              <w:t>1 year (last dose at 9 months)</w:t>
            </w:r>
          </w:p>
          <w:p w:rsidR="00C70F5B" w:rsidRDefault="00C70F5B"/>
        </w:tc>
      </w:tr>
      <w:tr w:rsidR="00E259E6" w:rsidTr="00E259E6">
        <w:tc>
          <w:tcPr>
            <w:tcW w:w="9016" w:type="dxa"/>
            <w:gridSpan w:val="2"/>
          </w:tcPr>
          <w:p w:rsidR="00E259E6" w:rsidRPr="00647C7F" w:rsidRDefault="00E259E6">
            <w:pPr>
              <w:rPr>
                <w:b/>
              </w:rPr>
            </w:pPr>
            <w:r w:rsidRPr="00647C7F">
              <w:rPr>
                <w:b/>
              </w:rPr>
              <w:t>Reference therapy</w:t>
            </w:r>
          </w:p>
          <w:p w:rsidR="00647C7F" w:rsidRDefault="00647C7F">
            <w:r>
              <w:t>Placebo</w:t>
            </w:r>
          </w:p>
          <w:p w:rsidR="00C70F5B" w:rsidRDefault="00C70F5B"/>
        </w:tc>
      </w:tr>
    </w:tbl>
    <w:p w:rsidR="008D2356" w:rsidRDefault="008D2356"/>
    <w:p w:rsidR="005259F8" w:rsidRDefault="005259F8"/>
    <w:p w:rsidR="005259F8" w:rsidRDefault="005259F8"/>
    <w:tbl>
      <w:tblPr>
        <w:tblStyle w:val="TableGrid"/>
        <w:tblW w:w="0" w:type="auto"/>
        <w:tblLook w:val="04A0" w:firstRow="1" w:lastRow="0" w:firstColumn="1" w:lastColumn="0" w:noHBand="0" w:noVBand="1"/>
      </w:tblPr>
      <w:tblGrid>
        <w:gridCol w:w="9016"/>
      </w:tblGrid>
      <w:tr w:rsidR="005259F8" w:rsidTr="005259F8">
        <w:tc>
          <w:tcPr>
            <w:tcW w:w="9016" w:type="dxa"/>
          </w:tcPr>
          <w:p w:rsidR="005259F8" w:rsidRPr="00647C7F" w:rsidRDefault="005259F8">
            <w:pPr>
              <w:rPr>
                <w:b/>
              </w:rPr>
            </w:pPr>
            <w:r w:rsidRPr="00647C7F">
              <w:rPr>
                <w:b/>
              </w:rPr>
              <w:t>Criteria for evaluation</w:t>
            </w:r>
          </w:p>
          <w:p w:rsidR="005259F8" w:rsidRDefault="005259F8"/>
          <w:p w:rsidR="005259F8" w:rsidRPr="00C70F5B" w:rsidRDefault="005259F8">
            <w:pPr>
              <w:rPr>
                <w:i/>
              </w:rPr>
            </w:pPr>
            <w:r w:rsidRPr="00C70F5B">
              <w:rPr>
                <w:i/>
              </w:rPr>
              <w:t>Primary endpoint</w:t>
            </w:r>
          </w:p>
          <w:p w:rsidR="00647C7F" w:rsidRDefault="00647C7F">
            <w:r w:rsidRPr="00647C7F">
              <w:t>Difference in office blood pressure between treatment groups at 3 months analysed by intention to treat</w:t>
            </w:r>
          </w:p>
          <w:p w:rsidR="005259F8" w:rsidRDefault="005259F8"/>
          <w:p w:rsidR="005259F8" w:rsidRPr="00C70F5B" w:rsidRDefault="005259F8">
            <w:pPr>
              <w:rPr>
                <w:i/>
              </w:rPr>
            </w:pPr>
            <w:r w:rsidRPr="00C70F5B">
              <w:rPr>
                <w:i/>
              </w:rPr>
              <w:t>Secondary endpoints</w:t>
            </w:r>
          </w:p>
          <w:p w:rsidR="00647C7F" w:rsidRDefault="00647C7F" w:rsidP="00647C7F">
            <w:r>
              <w:t>Difference in office blood pressure at 6,9 and 12 months; 24 hour blood pressure</w:t>
            </w:r>
          </w:p>
          <w:p w:rsidR="00647C7F" w:rsidRDefault="00647C7F" w:rsidP="00647C7F">
            <w:r>
              <w:t>B-type natriuretic peptide; High sensitivity C-reactive protein; HOMA-IR; 25OHD levels</w:t>
            </w:r>
          </w:p>
          <w:p w:rsidR="00647C7F" w:rsidRDefault="00647C7F" w:rsidP="00647C7F">
            <w:r>
              <w:t>Endothelial function by brachial artery flow-mediated dilatation; Pulse wave velocity</w:t>
            </w:r>
          </w:p>
          <w:p w:rsidR="00647C7F" w:rsidRDefault="00647C7F" w:rsidP="00647C7F">
            <w:r>
              <w:t>Exercise capacity (6 min walk test); falls</w:t>
            </w:r>
          </w:p>
          <w:p w:rsidR="00647C7F" w:rsidRDefault="00647C7F" w:rsidP="00647C7F"/>
        </w:tc>
      </w:tr>
      <w:tr w:rsidR="005259F8" w:rsidTr="005259F8">
        <w:tc>
          <w:tcPr>
            <w:tcW w:w="9016" w:type="dxa"/>
          </w:tcPr>
          <w:p w:rsidR="005259F8" w:rsidRPr="00647C7F" w:rsidRDefault="005259F8">
            <w:pPr>
              <w:rPr>
                <w:b/>
              </w:rPr>
            </w:pPr>
            <w:r w:rsidRPr="00647C7F">
              <w:rPr>
                <w:b/>
              </w:rPr>
              <w:t>Statistical methods</w:t>
            </w:r>
          </w:p>
          <w:p w:rsidR="008C569D" w:rsidRDefault="008C569D"/>
          <w:p w:rsidR="008C569D" w:rsidRDefault="008C569D" w:rsidP="008C569D">
            <w:r>
              <w:t>Intention to treat analysis was used for the major outcomes. A 2 sided p value of &lt;0.05 was taken as significant for all analyses.</w:t>
            </w:r>
          </w:p>
          <w:p w:rsidR="008C569D" w:rsidRDefault="008C569D" w:rsidP="008C569D"/>
          <w:p w:rsidR="008C569D" w:rsidRDefault="008C569D" w:rsidP="008C569D">
            <w:r>
              <w:t xml:space="preserve">For </w:t>
            </w:r>
            <w:r w:rsidR="00AB0FD7">
              <w:t>each</w:t>
            </w:r>
            <w:r>
              <w:t xml:space="preserve"> outcome, the </w:t>
            </w:r>
            <w:r w:rsidR="00AB0FD7">
              <w:t>difference</w:t>
            </w:r>
            <w:r>
              <w:t xml:space="preserve"> </w:t>
            </w:r>
            <w:r w:rsidR="00AB0FD7">
              <w:t xml:space="preserve">between groups each </w:t>
            </w:r>
            <w:proofErr w:type="spellStart"/>
            <w:r w:rsidR="00AB0FD7">
              <w:t>timepoint</w:t>
            </w:r>
            <w:proofErr w:type="spellEnd"/>
            <w:r w:rsidR="00AB0FD7">
              <w:t xml:space="preserve"> was compared adjusting for baseline</w:t>
            </w:r>
            <w:r>
              <w:t>. In addition, repeated measures ANOVA was undertaken to give an estimate of overall treatment effect across time.</w:t>
            </w:r>
          </w:p>
          <w:p w:rsidR="008C569D" w:rsidRDefault="008C569D" w:rsidP="008C569D"/>
          <w:p w:rsidR="008C569D" w:rsidRDefault="008C569D" w:rsidP="008C569D">
            <w:proofErr w:type="spellStart"/>
            <w:r>
              <w:t>Preplanned</w:t>
            </w:r>
            <w:proofErr w:type="spellEnd"/>
            <w:r>
              <w:t xml:space="preserve"> adjustment for covariates (ANCOVA) was undertaken for all outcomes. Adjustment was made for baseline values of the outcome under study, along with baseline vitamin D, baseline blood pressure, diabetes and age. We also adjusted for use of thiazide diuretics given the know</w:t>
            </w:r>
            <w:r w:rsidR="00AB0FD7">
              <w:t>n</w:t>
            </w:r>
            <w:bookmarkStart w:id="0" w:name="_GoBack"/>
            <w:bookmarkEnd w:id="0"/>
            <w:r>
              <w:t xml:space="preserve"> effects of these medications on calcium metabolism. Similarly, use of statins was included as a covariate. Sensitivity analyses were conducted using multiple imputation to account for missing data, and excluding patients with changes in antihypertensive medication for blood pressure analyses.</w:t>
            </w:r>
          </w:p>
          <w:p w:rsidR="008C569D" w:rsidRDefault="008C569D"/>
        </w:tc>
      </w:tr>
      <w:tr w:rsidR="005259F8" w:rsidTr="005259F8">
        <w:tc>
          <w:tcPr>
            <w:tcW w:w="9016" w:type="dxa"/>
          </w:tcPr>
          <w:p w:rsidR="005259F8" w:rsidRPr="00647C7F" w:rsidRDefault="005259F8">
            <w:pPr>
              <w:rPr>
                <w:b/>
              </w:rPr>
            </w:pPr>
            <w:r w:rsidRPr="00647C7F">
              <w:rPr>
                <w:b/>
              </w:rPr>
              <w:t>Summary conclusions</w:t>
            </w:r>
          </w:p>
          <w:p w:rsidR="005259F8" w:rsidRDefault="005259F8"/>
          <w:p w:rsidR="005259F8" w:rsidRPr="00C70F5B" w:rsidRDefault="005259F8">
            <w:pPr>
              <w:rPr>
                <w:i/>
              </w:rPr>
            </w:pPr>
            <w:r w:rsidRPr="00C70F5B">
              <w:rPr>
                <w:i/>
              </w:rPr>
              <w:t>Results</w:t>
            </w:r>
          </w:p>
          <w:p w:rsidR="008C569D" w:rsidRPr="008C569D" w:rsidRDefault="008C569D" w:rsidP="008C569D">
            <w:r w:rsidRPr="008C569D">
              <w:t>25-hydroxyvitamin D levels rose in the treatment group compared to the placebo group (+20nmol/L at 1 year, p&lt;0.001). No significant effect was evident on the primary outcome of change in office blood pressure (-0.7 / -1.6 mmHg at 3 months; 1.1 / 0.3 mmHg overall treatment effect). No effect was evident on any of the secondary outcomes (24 hour blood pressure, arterial stiffness, endothelial function, cholesterol, glucose, walk distance). There was no excess of adverse events in the treatment group, and the total number of falls was non-significantly lower in the group receiving vitamin D (36 vs 46, p=0.24).</w:t>
            </w:r>
          </w:p>
          <w:p w:rsidR="005259F8" w:rsidRDefault="005259F8"/>
          <w:p w:rsidR="005259F8" w:rsidRPr="00C70F5B" w:rsidRDefault="005259F8">
            <w:pPr>
              <w:rPr>
                <w:i/>
              </w:rPr>
            </w:pPr>
            <w:r w:rsidRPr="00C70F5B">
              <w:rPr>
                <w:i/>
              </w:rPr>
              <w:t>Conclusion</w:t>
            </w:r>
          </w:p>
          <w:p w:rsidR="008C569D" w:rsidRDefault="008C569D">
            <w:r w:rsidRPr="008C569D">
              <w:t>Vitamin D supplementation was not effective at improving blood pressure or markers of vascular health in this group of older patients with isolated systolic hypertension.</w:t>
            </w:r>
          </w:p>
          <w:p w:rsidR="00C70F5B" w:rsidRDefault="00C70F5B"/>
        </w:tc>
      </w:tr>
      <w:tr w:rsidR="005259F8" w:rsidTr="005259F8">
        <w:tc>
          <w:tcPr>
            <w:tcW w:w="9016" w:type="dxa"/>
          </w:tcPr>
          <w:p w:rsidR="008C569D" w:rsidRPr="00647C7F" w:rsidRDefault="005259F8">
            <w:pPr>
              <w:rPr>
                <w:b/>
              </w:rPr>
            </w:pPr>
            <w:r w:rsidRPr="00647C7F">
              <w:rPr>
                <w:b/>
              </w:rPr>
              <w:t>Date of report upload to EUDRACT system:</w:t>
            </w:r>
            <w:r w:rsidR="008C569D" w:rsidRPr="00647C7F">
              <w:rPr>
                <w:b/>
              </w:rPr>
              <w:t xml:space="preserve"> </w:t>
            </w:r>
          </w:p>
          <w:p w:rsidR="005259F8" w:rsidRDefault="008C569D">
            <w:r>
              <w:t>22</w:t>
            </w:r>
            <w:r w:rsidRPr="008C569D">
              <w:rPr>
                <w:vertAlign w:val="superscript"/>
              </w:rPr>
              <w:t>nd</w:t>
            </w:r>
            <w:r>
              <w:t xml:space="preserve"> April 2016</w:t>
            </w:r>
          </w:p>
        </w:tc>
      </w:tr>
    </w:tbl>
    <w:p w:rsidR="005259F8" w:rsidRDefault="005259F8"/>
    <w:sectPr w:rsidR="005259F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B05" w:rsidRDefault="002C0B05" w:rsidP="00933BCB">
      <w:pPr>
        <w:spacing w:after="0" w:line="240" w:lineRule="auto"/>
      </w:pPr>
      <w:r>
        <w:separator/>
      </w:r>
    </w:p>
  </w:endnote>
  <w:endnote w:type="continuationSeparator" w:id="0">
    <w:p w:rsidR="002C0B05" w:rsidRDefault="002C0B05" w:rsidP="0093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B05" w:rsidRDefault="002C0B05" w:rsidP="00933BCB">
      <w:pPr>
        <w:spacing w:after="0" w:line="240" w:lineRule="auto"/>
      </w:pPr>
      <w:r>
        <w:separator/>
      </w:r>
    </w:p>
  </w:footnote>
  <w:footnote w:type="continuationSeparator" w:id="0">
    <w:p w:rsidR="002C0B05" w:rsidRDefault="002C0B05" w:rsidP="0093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BCB" w:rsidRDefault="00933BCB">
    <w:pPr>
      <w:pStyle w:val="Header"/>
    </w:pPr>
    <w:r w:rsidRPr="00C70F5B">
      <w:rPr>
        <w:b/>
      </w:rPr>
      <w:t>Name of Sponsor:</w:t>
    </w:r>
    <w:r w:rsidR="005232A6">
      <w:t xml:space="preserve"> University of Dundee</w:t>
    </w:r>
    <w:r w:rsidR="005232A6">
      <w:tab/>
    </w:r>
    <w:r w:rsidR="005232A6">
      <w:tab/>
    </w:r>
    <w:r w:rsidR="005232A6" w:rsidRPr="00C70F5B">
      <w:rPr>
        <w:b/>
      </w:rPr>
      <w:t>Eudra</w:t>
    </w:r>
    <w:r w:rsidRPr="00C70F5B">
      <w:rPr>
        <w:b/>
      </w:rPr>
      <w:t>CT</w:t>
    </w:r>
    <w:r w:rsidR="005232A6" w:rsidRPr="00C70F5B">
      <w:rPr>
        <w:b/>
      </w:rPr>
      <w:t xml:space="preserve"> number</w:t>
    </w:r>
    <w:r w:rsidRPr="00C70F5B">
      <w:rPr>
        <w:b/>
      </w:rPr>
      <w:t>:</w:t>
    </w:r>
    <w:r w:rsidR="005232A6" w:rsidRPr="00C70F5B">
      <w:rPr>
        <w:b/>
      </w:rPr>
      <w:t xml:space="preserve"> </w:t>
    </w:r>
    <w:r w:rsidR="005232A6">
      <w:t>2008-004534-24</w:t>
    </w:r>
    <w:r>
      <w:t xml:space="preserve"> </w:t>
    </w:r>
  </w:p>
  <w:p w:rsidR="00933BCB" w:rsidRDefault="00933BCB">
    <w:pPr>
      <w:pStyle w:val="Header"/>
    </w:pPr>
    <w:r w:rsidRPr="00C70F5B">
      <w:rPr>
        <w:b/>
      </w:rPr>
      <w:t>Title of study:</w:t>
    </w:r>
    <w:r w:rsidR="005A4C00" w:rsidRPr="005A4C00">
      <w:t xml:space="preserve"> Can high-dose vitamin D supplementation reduce blood pressure and markers of cardiovascular risk in older people with isolated systolic hypertension?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9E6"/>
    <w:rsid w:val="002C0B05"/>
    <w:rsid w:val="00327E57"/>
    <w:rsid w:val="005232A6"/>
    <w:rsid w:val="005259F8"/>
    <w:rsid w:val="005A4C00"/>
    <w:rsid w:val="00647C7F"/>
    <w:rsid w:val="008C569D"/>
    <w:rsid w:val="008D2356"/>
    <w:rsid w:val="00933BCB"/>
    <w:rsid w:val="00AB0FD7"/>
    <w:rsid w:val="00C70F5B"/>
    <w:rsid w:val="00E259E6"/>
    <w:rsid w:val="00F465BC"/>
    <w:rsid w:val="00FD1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828E005D-ACEC-4978-B612-88DBA82BF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5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3B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BCB"/>
  </w:style>
  <w:style w:type="paragraph" w:styleId="Footer">
    <w:name w:val="footer"/>
    <w:basedOn w:val="Normal"/>
    <w:link w:val="FooterChar"/>
    <w:uiPriority w:val="99"/>
    <w:unhideWhenUsed/>
    <w:rsid w:val="00933B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Miles Witham</dc:creator>
  <cp:keywords/>
  <dc:description/>
  <cp:lastModifiedBy>Miles Witham</cp:lastModifiedBy>
  <cp:revision>2</cp:revision>
  <dcterms:created xsi:type="dcterms:W3CDTF">2016-04-22T10:50:00Z</dcterms:created>
  <dcterms:modified xsi:type="dcterms:W3CDTF">2016-04-22T10:50:00Z</dcterms:modified>
</cp:coreProperties>
</file>