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2294" w:rsidRDefault="004B2294" w:rsidP="004B2294">
      <w:pPr>
        <w:pStyle w:val="KeinLeerraum"/>
        <w:rPr>
          <w:b/>
        </w:rPr>
      </w:pPr>
      <w:r w:rsidRPr="004B2294">
        <w:rPr>
          <w:b/>
        </w:rPr>
        <w:t>EudraCT-No.:</w:t>
      </w:r>
      <w:r w:rsidRPr="004B2294">
        <w:rPr>
          <w:b/>
        </w:rPr>
        <w:tab/>
      </w:r>
      <w:r w:rsidRPr="004B2294">
        <w:rPr>
          <w:b/>
        </w:rPr>
        <w:tab/>
        <w:t>200</w:t>
      </w:r>
      <w:r>
        <w:rPr>
          <w:b/>
        </w:rPr>
        <w:t>8</w:t>
      </w:r>
      <w:r w:rsidRPr="004B2294">
        <w:rPr>
          <w:b/>
        </w:rPr>
        <w:t>-</w:t>
      </w:r>
      <w:r>
        <w:rPr>
          <w:b/>
        </w:rPr>
        <w:t>004625-42</w:t>
      </w:r>
    </w:p>
    <w:p w:rsidR="004B2294" w:rsidRPr="004B2294" w:rsidRDefault="004B2294" w:rsidP="004B2294">
      <w:pPr>
        <w:pStyle w:val="KeinLeerraum"/>
        <w:rPr>
          <w:b/>
        </w:rPr>
      </w:pPr>
      <w:r w:rsidRPr="004B2294">
        <w:rPr>
          <w:b/>
        </w:rPr>
        <w:t>PEI</w:t>
      </w:r>
      <w:r>
        <w:rPr>
          <w:b/>
        </w:rPr>
        <w:t xml:space="preserve"> </w:t>
      </w:r>
      <w:r w:rsidRPr="004B2294">
        <w:rPr>
          <w:b/>
        </w:rPr>
        <w:t>Vorlage-Nr.</w:t>
      </w:r>
      <w:r>
        <w:rPr>
          <w:b/>
        </w:rPr>
        <w:tab/>
      </w:r>
      <w:r>
        <w:rPr>
          <w:b/>
        </w:rPr>
        <w:tab/>
        <w:t>697/01</w:t>
      </w:r>
    </w:p>
    <w:p w:rsidR="004B2294" w:rsidRPr="004B2294" w:rsidRDefault="004B2294" w:rsidP="004B2294">
      <w:pPr>
        <w:pStyle w:val="KeinLeerraum"/>
        <w:rPr>
          <w:b/>
        </w:rPr>
      </w:pPr>
      <w:r>
        <w:rPr>
          <w:b/>
        </w:rPr>
        <w:t>Test material:</w:t>
      </w:r>
      <w:r>
        <w:rPr>
          <w:b/>
        </w:rPr>
        <w:tab/>
      </w:r>
      <w:r>
        <w:rPr>
          <w:b/>
        </w:rPr>
        <w:tab/>
        <w:t>„Bone marrow mononuclear cells (BMNC)“</w:t>
      </w:r>
    </w:p>
    <w:p w:rsidR="004B2294" w:rsidRPr="004B2294" w:rsidRDefault="004B2294" w:rsidP="004B2294">
      <w:pPr>
        <w:pStyle w:val="KeinLeerraum"/>
        <w:rPr>
          <w:b/>
        </w:rPr>
      </w:pPr>
      <w:r w:rsidRPr="004B2294">
        <w:rPr>
          <w:b/>
        </w:rPr>
        <w:t xml:space="preserve">Short title: </w:t>
      </w:r>
      <w:r w:rsidRPr="004B2294">
        <w:rPr>
          <w:b/>
        </w:rPr>
        <w:tab/>
      </w:r>
      <w:r w:rsidRPr="004B2294">
        <w:rPr>
          <w:b/>
        </w:rPr>
        <w:tab/>
        <w:t>Alster</w:t>
      </w:r>
      <w:r>
        <w:rPr>
          <w:b/>
        </w:rPr>
        <w:t>StemCells</w:t>
      </w:r>
    </w:p>
    <w:p w:rsidR="004B2294" w:rsidRPr="004B2294" w:rsidRDefault="004B2294" w:rsidP="004B2294">
      <w:pPr>
        <w:pStyle w:val="KeinLeerraum"/>
      </w:pPr>
    </w:p>
    <w:p w:rsidR="004B2294" w:rsidRPr="004B2294" w:rsidRDefault="004B2294" w:rsidP="004B2294">
      <w:pPr>
        <w:pStyle w:val="KeinLeerraum"/>
      </w:pPr>
    </w:p>
    <w:p w:rsidR="004B2294" w:rsidRDefault="004B2294" w:rsidP="004B2294">
      <w:pPr>
        <w:pStyle w:val="KeinLeerraum"/>
      </w:pPr>
    </w:p>
    <w:p w:rsidR="00E73142" w:rsidRPr="004B2294" w:rsidRDefault="00E73142" w:rsidP="004B2294">
      <w:pPr>
        <w:pStyle w:val="KeinLeerraum"/>
      </w:pPr>
    </w:p>
    <w:p w:rsidR="004B2294" w:rsidRDefault="004B2294" w:rsidP="00E73142">
      <w:pPr>
        <w:pStyle w:val="KeinLeerraum"/>
        <w:jc w:val="center"/>
        <w:rPr>
          <w:b/>
          <w:sz w:val="32"/>
          <w:szCs w:val="32"/>
        </w:rPr>
      </w:pPr>
      <w:r w:rsidRPr="00E73142">
        <w:rPr>
          <w:b/>
          <w:sz w:val="32"/>
          <w:szCs w:val="32"/>
        </w:rPr>
        <w:t>F i n a l  R e p o r t</w:t>
      </w:r>
    </w:p>
    <w:p w:rsidR="000052E1" w:rsidRPr="000052E1" w:rsidRDefault="000052E1" w:rsidP="00E73142">
      <w:pPr>
        <w:pStyle w:val="KeinLeerraum"/>
        <w:jc w:val="center"/>
        <w:rPr>
          <w:b/>
          <w:sz w:val="24"/>
          <w:szCs w:val="24"/>
        </w:rPr>
      </w:pPr>
      <w:r w:rsidRPr="000052E1">
        <w:rPr>
          <w:b/>
          <w:sz w:val="24"/>
          <w:szCs w:val="24"/>
        </w:rPr>
        <w:t>(Summary)</w:t>
      </w:r>
    </w:p>
    <w:p w:rsidR="004B2294" w:rsidRDefault="004B2294" w:rsidP="004B2294">
      <w:pPr>
        <w:pStyle w:val="KeinLeerraum"/>
      </w:pPr>
    </w:p>
    <w:p w:rsidR="00E73142" w:rsidRPr="004B2294" w:rsidRDefault="00E73142" w:rsidP="004B2294">
      <w:pPr>
        <w:pStyle w:val="KeinLeerraum"/>
      </w:pPr>
    </w:p>
    <w:p w:rsidR="004B2294" w:rsidRPr="004B2294" w:rsidRDefault="004B2294" w:rsidP="004B2294">
      <w:pPr>
        <w:pStyle w:val="KeinLeerraum"/>
      </w:pPr>
      <w:r w:rsidRPr="004B2294">
        <w:t>Study title:</w:t>
      </w:r>
    </w:p>
    <w:p w:rsidR="004B2294" w:rsidRPr="004B2294" w:rsidRDefault="004B2294" w:rsidP="004B2294">
      <w:pPr>
        <w:pStyle w:val="KeinLeerraum"/>
      </w:pPr>
    </w:p>
    <w:p w:rsidR="004B2294" w:rsidRPr="004B2294" w:rsidRDefault="00BF34EB" w:rsidP="004B2294">
      <w:pPr>
        <w:pStyle w:val="KeinLeerraum"/>
      </w:pPr>
      <w:r w:rsidRPr="00BF34EB">
        <w:rPr>
          <w:b/>
          <w:bCs/>
        </w:rPr>
        <w:t>Bone Marrow Derived Mononuclear Cells for Myocardial Regeneration in Early Left Ventricular Dysfunction after Acute Myocardial Infarction and Succsessful Percutaneous Coronary Intervention</w:t>
      </w:r>
      <w:r w:rsidR="00DE00E9">
        <w:rPr>
          <w:b/>
          <w:bCs/>
        </w:rPr>
        <w:t xml:space="preserve"> – The AlsterStemCell trial</w:t>
      </w:r>
    </w:p>
    <w:p w:rsidR="00C27F13" w:rsidRDefault="00C27F13" w:rsidP="004B2294">
      <w:pPr>
        <w:pStyle w:val="KeinLeerraum"/>
      </w:pPr>
    </w:p>
    <w:p w:rsidR="000052E1" w:rsidRDefault="000052E1" w:rsidP="000052E1">
      <w:pPr>
        <w:pStyle w:val="KeinLeerraum"/>
      </w:pPr>
      <w:r w:rsidRPr="000052E1">
        <w:rPr>
          <w:b/>
        </w:rPr>
        <w:t>Aims:</w:t>
      </w:r>
      <w:r>
        <w:t xml:space="preserve"> Patients with symptomatic heart failure following acute ST-elevation myocardial infarction (STEMI) received transendocardial application of bone marrow-derived mononuclear cells (BMC) to improve left ventricular (LV) function and clinical outcome.</w:t>
      </w:r>
    </w:p>
    <w:p w:rsidR="000052E1" w:rsidRDefault="000052E1" w:rsidP="000052E1">
      <w:pPr>
        <w:pStyle w:val="KeinLeerraum"/>
      </w:pPr>
      <w:r w:rsidRPr="000052E1">
        <w:rPr>
          <w:b/>
        </w:rPr>
        <w:t>Methods and results:</w:t>
      </w:r>
      <w:r>
        <w:t xml:space="preserve"> Patients (n=12) with LV ejection fraction (EF) &lt;45% and NYHA Class ≥II received NOGA-guided transendocardial injection of BMC into the infarction border zone 17.5±0.8 days following successful interventional revascularisation after STEMI. A matched control group (n=11) was generated from the source data of the previously published LIPSIAbciximab-STEMI trial. Primary and secondary endpoints were derived from comparisons of baseline vs. six-month follow-up cardiac magnetic resonance imaging (CMR) measurements and clinical assessments. Following cell therapy we observed a significant increase of EF (+7.9±1.5%, p=0.001) while the control group showed no change. This effect was driven by a reduction of LV end-systolic volume (ESV) by –27.5±6.5 ml (p=0.001); LV end-diastolic volume (EDV) and scar volume remained unchanged. A significant decrease of NYHA Class was found only in the cell therapy group (–0.75 vs. –0.18, p=0.04). Findings were also translated into enhancement of clinical assessments (rehospitalisation for decompensated heart failure, six-minute walk test, NT-proBNP levels).</w:t>
      </w:r>
    </w:p>
    <w:p w:rsidR="004B2294" w:rsidRDefault="000052E1" w:rsidP="000052E1">
      <w:pPr>
        <w:pStyle w:val="KeinLeerraum"/>
      </w:pPr>
      <w:r w:rsidRPr="000052E1">
        <w:rPr>
          <w:b/>
        </w:rPr>
        <w:t>Conclusion:</w:t>
      </w:r>
      <w:r>
        <w:t xml:space="preserve"> The data suggest transendocardial injection of BMC can be used safely in patients with symptomatic heart failure following acute STEMI. These prospective, preliminary data of a well-characterised, small cohort suggest efficiency compared to routine treatment.</w:t>
      </w:r>
    </w:p>
    <w:p w:rsidR="000052E1" w:rsidRDefault="000052E1" w:rsidP="004B2294">
      <w:pPr>
        <w:pStyle w:val="KeinLeerraum"/>
      </w:pPr>
    </w:p>
    <w:p w:rsidR="004B2294" w:rsidRDefault="000052E1" w:rsidP="004B2294">
      <w:pPr>
        <w:pStyle w:val="KeinLeerraum"/>
      </w:pPr>
      <w:r>
        <w:t>Taken together</w:t>
      </w:r>
      <w:r w:rsidR="004B2294" w:rsidRPr="004B2294">
        <w:t>, our data support the hypothesis that NOGA-based transendocardial delivery of BM</w:t>
      </w:r>
      <w:r w:rsidR="00DE00E9">
        <w:t>N</w:t>
      </w:r>
      <w:r w:rsidR="004B2294" w:rsidRPr="004B2294">
        <w:t>C in patients with symptomatic heart failure after acute STEMI is sa</w:t>
      </w:r>
      <w:r w:rsidR="00DE00E9">
        <w:t>fe, feasible and possibly effec</w:t>
      </w:r>
      <w:r w:rsidR="004B2294" w:rsidRPr="004B2294">
        <w:t>tive regarding improvement of EF. In relation to the discrepant findings of the latest publications, the effectiveness of this sophisticated approach needs to be proven in larger, randomised phase III studies or registries.</w:t>
      </w:r>
    </w:p>
    <w:p w:rsidR="004B2294" w:rsidRDefault="004B2294" w:rsidP="004B2294">
      <w:pPr>
        <w:pStyle w:val="KeinLeerraum"/>
      </w:pPr>
    </w:p>
    <w:p w:rsidR="004B2294" w:rsidRDefault="00520011" w:rsidP="004B2294">
      <w:pPr>
        <w:pStyle w:val="KeinLeerraum"/>
      </w:pPr>
      <w:r>
        <w:t>References:</w:t>
      </w:r>
    </w:p>
    <w:p w:rsidR="00520011" w:rsidRDefault="00520011" w:rsidP="004B2294">
      <w:pPr>
        <w:pStyle w:val="KeinLeerraum"/>
      </w:pPr>
    </w:p>
    <w:p w:rsidR="00520011" w:rsidRDefault="006D628D" w:rsidP="00CB27EE">
      <w:pPr>
        <w:pStyle w:val="KeinLeerraum"/>
        <w:numPr>
          <w:ilvl w:val="0"/>
          <w:numId w:val="2"/>
        </w:numPr>
      </w:pPr>
      <w:r>
        <w:t>Christian-H Heeger</w:t>
      </w:r>
      <w:r w:rsidR="00520011">
        <w:t xml:space="preserve">, Kai Jaquet, Holger Thiele, Yanuar Zulkarnaen, Alessandro Cuneo, Dirk Haller, Dietmar Kivelitz, Tobias Schmidt, Korff Krause, Andreas Metzner, Carsten Schneider, Karl-Heinz Kuck, Martin W Bergmann; Percutaneous, transendocardial injection of bone marrow-derived mononuclear cells in heart failure patients following acute ST-elevation myocardial infarction: ALSTER-Stem Cell trial; EuroIntervention 2012 Oct;8(6):732-42. doi: 10.4244; </w:t>
      </w:r>
      <w:r w:rsidR="00520011" w:rsidRPr="00520011">
        <w:t>PMID:  23086792</w:t>
      </w:r>
    </w:p>
    <w:p w:rsidR="00520011" w:rsidRDefault="006D628D" w:rsidP="006D628D">
      <w:pPr>
        <w:pStyle w:val="KeinLeerraum"/>
        <w:numPr>
          <w:ilvl w:val="0"/>
          <w:numId w:val="2"/>
        </w:numPr>
      </w:pPr>
      <w:r>
        <w:lastRenderedPageBreak/>
        <w:t xml:space="preserve">Christian-H Heeger, </w:t>
      </w:r>
      <w:r w:rsidRPr="006D628D">
        <w:t>Kai Jaquet</w:t>
      </w:r>
      <w:r>
        <w:t xml:space="preserve">, </w:t>
      </w:r>
      <w:r w:rsidRPr="006D628D">
        <w:t>Karl-Heinz Kuck, Martin W Bergmann</w:t>
      </w:r>
      <w:r>
        <w:t xml:space="preserve">; </w:t>
      </w:r>
      <w:r w:rsidRPr="006D628D">
        <w:t>Cell-based therapy for ischaemic</w:t>
      </w:r>
      <w:r>
        <w:t xml:space="preserve"> </w:t>
      </w:r>
      <w:r w:rsidRPr="006D628D">
        <w:t>cardiomyopathy: recent therapeutic</w:t>
      </w:r>
      <w:r>
        <w:t xml:space="preserve"> </w:t>
      </w:r>
      <w:r w:rsidRPr="006D628D">
        <w:t>strategies and clinical applications</w:t>
      </w:r>
      <w:r>
        <w:t>; Cardiology International,</w:t>
      </w:r>
      <w:r w:rsidRPr="006D628D">
        <w:t xml:space="preserve"> A</w:t>
      </w:r>
      <w:r>
        <w:t xml:space="preserve">utumn </w:t>
      </w:r>
      <w:r w:rsidRPr="006D628D">
        <w:t>2012</w:t>
      </w:r>
      <w:r w:rsidR="00706BDB">
        <w:t>,</w:t>
      </w:r>
      <w:bookmarkStart w:id="0" w:name="_GoBack"/>
      <w:bookmarkEnd w:id="0"/>
      <w:r w:rsidR="00706BDB">
        <w:t xml:space="preserve"> pp60-65</w:t>
      </w:r>
    </w:p>
    <w:sectPr w:rsidR="0052001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315E7"/>
    <w:multiLevelType w:val="hybridMultilevel"/>
    <w:tmpl w:val="3184E26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40C20BE5"/>
    <w:multiLevelType w:val="hybridMultilevel"/>
    <w:tmpl w:val="3184E26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6EBD1B89"/>
    <w:multiLevelType w:val="hybridMultilevel"/>
    <w:tmpl w:val="3184E26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294"/>
    <w:rsid w:val="000052E1"/>
    <w:rsid w:val="004B2294"/>
    <w:rsid w:val="00520011"/>
    <w:rsid w:val="006D628D"/>
    <w:rsid w:val="00706BDB"/>
    <w:rsid w:val="00BF34EB"/>
    <w:rsid w:val="00C27F13"/>
    <w:rsid w:val="00DE00E9"/>
    <w:rsid w:val="00E7314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264F0"/>
  <w15:chartTrackingRefBased/>
  <w15:docId w15:val="{8E96E2D2-1EBB-4178-B982-441A79AB1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4B22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435</Words>
  <Characters>2744</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Asklepios</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Jaquet, Dr. Kai</dc:creator>
  <cp:keywords/>
  <dc:description/>
  <cp:lastModifiedBy>Jaquet, Dr. Kai</cp:lastModifiedBy>
  <cp:revision>8</cp:revision>
  <dcterms:created xsi:type="dcterms:W3CDTF">2020-09-09T10:10:00Z</dcterms:created>
  <dcterms:modified xsi:type="dcterms:W3CDTF">2020-09-10T07:05:00Z</dcterms:modified>
</cp:coreProperties>
</file>