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C19" w:rsidRPr="002B6D0A" w:rsidRDefault="007A4C19" w:rsidP="007A4C19">
      <w:pPr>
        <w:spacing w:line="48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  <w:r w:rsidRPr="002B6D0A">
        <w:rPr>
          <w:rStyle w:val="Enfasigrassetto"/>
          <w:rFonts w:ascii="Arial" w:hAnsi="Arial" w:cs="Arial"/>
          <w:sz w:val="20"/>
          <w:szCs w:val="20"/>
          <w:lang w:val="en-GB"/>
        </w:rPr>
        <w:t>FOLFIRI AS SECOND LINE CHEMOTHERAPY FOR ADVANCED PANCREATIC CANCER:</w:t>
      </w:r>
    </w:p>
    <w:p w:rsidR="00836157" w:rsidRDefault="007A4C19" w:rsidP="007A4C19">
      <w:pPr>
        <w:rPr>
          <w:rStyle w:val="Enfasigrassetto"/>
          <w:rFonts w:ascii="Arial" w:hAnsi="Arial" w:cs="Arial"/>
          <w:sz w:val="20"/>
          <w:szCs w:val="20"/>
          <w:lang w:val="en-GB"/>
        </w:rPr>
      </w:pPr>
      <w:r w:rsidRPr="002B6D0A">
        <w:rPr>
          <w:rStyle w:val="Enfasigrassetto"/>
          <w:rFonts w:ascii="Arial" w:hAnsi="Arial" w:cs="Arial"/>
          <w:sz w:val="20"/>
          <w:szCs w:val="20"/>
          <w:lang w:val="en-GB"/>
        </w:rPr>
        <w:t>A GISCAD MULTICENTER  PHASE II STUDY</w:t>
      </w:r>
    </w:p>
    <w:p w:rsidR="007A4C19" w:rsidRDefault="007A4C19" w:rsidP="007A4C19">
      <w:pPr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Pr="00C30E4E" w:rsidRDefault="007A4C19" w:rsidP="007A4C19">
      <w:pPr>
        <w:spacing w:line="360" w:lineRule="auto"/>
        <w:ind w:right="641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  <w:r w:rsidRPr="00C30E4E">
        <w:rPr>
          <w:rStyle w:val="Enfasigrassetto"/>
          <w:rFonts w:ascii="Arial" w:hAnsi="Arial" w:cs="Arial"/>
          <w:sz w:val="20"/>
          <w:szCs w:val="20"/>
          <w:lang w:val="en-GB"/>
        </w:rPr>
        <w:t>Purpose</w:t>
      </w:r>
    </w:p>
    <w:p w:rsidR="007A4C19" w:rsidRPr="001859A9" w:rsidRDefault="007A4C19" w:rsidP="007A4C19">
      <w:pPr>
        <w:spacing w:line="360" w:lineRule="auto"/>
        <w:ind w:right="641"/>
        <w:jc w:val="both"/>
        <w:rPr>
          <w:rStyle w:val="Enfasigrassetto"/>
          <w:rFonts w:ascii="Arial" w:hAnsi="Arial" w:cs="Arial"/>
          <w:b w:val="0"/>
          <w:sz w:val="20"/>
          <w:szCs w:val="20"/>
          <w:lang w:val="en-GB"/>
        </w:rPr>
      </w:pPr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 xml:space="preserve">The purpose of the present study was to evaluate the activity and the tolerability of the </w:t>
      </w:r>
      <w:proofErr w:type="spellStart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Folfiri</w:t>
      </w:r>
      <w:proofErr w:type="spellEnd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 xml:space="preserve"> regimen, administered as second-line chemotherapy in patients with locally advanced or metastatic pancreatic cancer after the failure of a </w:t>
      </w:r>
      <w:proofErr w:type="spellStart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gemcitabine</w:t>
      </w:r>
      <w:proofErr w:type="spellEnd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-based regimen.</w:t>
      </w:r>
    </w:p>
    <w:p w:rsidR="007A4C19" w:rsidRPr="00C30E4E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  <w:r w:rsidRPr="00C30E4E">
        <w:rPr>
          <w:rStyle w:val="Enfasigrassetto"/>
          <w:rFonts w:ascii="Arial" w:hAnsi="Arial" w:cs="Arial"/>
          <w:sz w:val="20"/>
          <w:szCs w:val="20"/>
          <w:lang w:val="en-GB"/>
        </w:rPr>
        <w:t>Methods</w:t>
      </w:r>
    </w:p>
    <w:p w:rsidR="007A4C19" w:rsidRPr="001859A9" w:rsidRDefault="007A4C19" w:rsidP="007A4C19">
      <w:pPr>
        <w:spacing w:line="360" w:lineRule="auto"/>
        <w:ind w:right="641"/>
        <w:jc w:val="both"/>
        <w:rPr>
          <w:rStyle w:val="Enfasigrassetto"/>
          <w:rFonts w:ascii="Arial" w:hAnsi="Arial" w:cs="Arial"/>
          <w:b w:val="0"/>
          <w:sz w:val="20"/>
          <w:szCs w:val="20"/>
          <w:lang w:val="en-GB"/>
        </w:rPr>
      </w:pPr>
      <w:proofErr w:type="spellStart"/>
      <w:r w:rsidRPr="001859A9">
        <w:rPr>
          <w:rFonts w:ascii="Arial" w:hAnsi="Arial" w:cs="Arial"/>
          <w:bCs/>
          <w:sz w:val="20"/>
          <w:szCs w:val="20"/>
          <w:lang w:val="en-US"/>
        </w:rPr>
        <w:t>Folfiri</w:t>
      </w:r>
      <w:proofErr w:type="spellEnd"/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consists of </w:t>
      </w:r>
      <w:proofErr w:type="spellStart"/>
      <w:r w:rsidRPr="001859A9">
        <w:rPr>
          <w:rFonts w:ascii="Arial" w:hAnsi="Arial" w:cs="Arial"/>
          <w:bCs/>
          <w:sz w:val="20"/>
          <w:szCs w:val="20"/>
          <w:lang w:val="en-US"/>
        </w:rPr>
        <w:t>Irinotecan</w:t>
      </w:r>
      <w:proofErr w:type="spellEnd"/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180 mg/m</w:t>
      </w:r>
      <w:r w:rsidRPr="001859A9">
        <w:rPr>
          <w:rFonts w:ascii="Arial" w:hAnsi="Arial" w:cs="Arial"/>
          <w:bCs/>
          <w:sz w:val="20"/>
          <w:szCs w:val="20"/>
          <w:vertAlign w:val="superscript"/>
          <w:lang w:val="en-US"/>
        </w:rPr>
        <w:t>2</w:t>
      </w:r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iv on day 1, </w:t>
      </w:r>
      <w:proofErr w:type="spellStart"/>
      <w:r w:rsidRPr="001859A9">
        <w:rPr>
          <w:rFonts w:ascii="Arial" w:hAnsi="Arial" w:cs="Arial"/>
          <w:bCs/>
          <w:sz w:val="20"/>
          <w:szCs w:val="20"/>
          <w:lang w:val="en-US"/>
        </w:rPr>
        <w:t>Leucovorin</w:t>
      </w:r>
      <w:proofErr w:type="spellEnd"/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(l-form) 200 mg/m</w:t>
      </w:r>
      <w:r w:rsidRPr="001859A9">
        <w:rPr>
          <w:rFonts w:ascii="Arial" w:hAnsi="Arial" w:cs="Arial"/>
          <w:bCs/>
          <w:sz w:val="20"/>
          <w:szCs w:val="20"/>
          <w:vertAlign w:val="superscript"/>
          <w:lang w:val="en-US"/>
        </w:rPr>
        <w:t>2</w:t>
      </w:r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iv on day 1and 2, 5-FU 400 mg/m</w:t>
      </w:r>
      <w:r w:rsidRPr="001859A9">
        <w:rPr>
          <w:rFonts w:ascii="Arial" w:hAnsi="Arial" w:cs="Arial"/>
          <w:bCs/>
          <w:sz w:val="20"/>
          <w:szCs w:val="20"/>
          <w:vertAlign w:val="superscript"/>
          <w:lang w:val="en-US"/>
        </w:rPr>
        <w:t>2</w:t>
      </w:r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iv bolus on day 1 and 2, 5-FU 600 mg/m</w:t>
      </w:r>
      <w:r w:rsidRPr="001859A9">
        <w:rPr>
          <w:rFonts w:ascii="Arial" w:hAnsi="Arial" w:cs="Arial"/>
          <w:bCs/>
          <w:sz w:val="20"/>
          <w:szCs w:val="20"/>
          <w:vertAlign w:val="superscript"/>
          <w:lang w:val="en-US"/>
        </w:rPr>
        <w:t>2</w:t>
      </w:r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iv by </w:t>
      </w:r>
      <w:proofErr w:type="spellStart"/>
      <w:r w:rsidRPr="001859A9">
        <w:rPr>
          <w:rFonts w:ascii="Arial" w:hAnsi="Arial" w:cs="Arial"/>
          <w:bCs/>
          <w:sz w:val="20"/>
          <w:szCs w:val="20"/>
          <w:lang w:val="en-US"/>
        </w:rPr>
        <w:t>ci</w:t>
      </w:r>
      <w:proofErr w:type="spellEnd"/>
      <w:r w:rsidRPr="001859A9">
        <w:rPr>
          <w:rFonts w:ascii="Arial" w:hAnsi="Arial" w:cs="Arial"/>
          <w:bCs/>
          <w:sz w:val="20"/>
          <w:szCs w:val="20"/>
          <w:lang w:val="en-US"/>
        </w:rPr>
        <w:t xml:space="preserve"> for 22 hours on day 1 and 2, repeated every 2 wks. The primary end point was the response rate.</w:t>
      </w:r>
    </w:p>
    <w:p w:rsidR="007A4C19" w:rsidRPr="008A4ACD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  <w:r w:rsidRPr="008A4ACD">
        <w:rPr>
          <w:rStyle w:val="Enfasigrassetto"/>
          <w:rFonts w:ascii="Arial" w:hAnsi="Arial" w:cs="Arial"/>
          <w:sz w:val="20"/>
          <w:szCs w:val="20"/>
          <w:lang w:val="en-GB"/>
        </w:rPr>
        <w:t>Results</w:t>
      </w:r>
    </w:p>
    <w:p w:rsidR="007A4C19" w:rsidRPr="002B6D0A" w:rsidRDefault="007A4C19" w:rsidP="007A4C19">
      <w:pPr>
        <w:spacing w:line="360" w:lineRule="auto"/>
        <w:ind w:right="641"/>
        <w:rPr>
          <w:rFonts w:ascii="Arial" w:hAnsi="Arial" w:cs="Arial"/>
          <w:sz w:val="20"/>
          <w:szCs w:val="20"/>
          <w:lang w:val="en-GB"/>
        </w:rPr>
      </w:pPr>
      <w:r w:rsidRPr="002B6D0A">
        <w:rPr>
          <w:rFonts w:ascii="Arial" w:hAnsi="Arial" w:cs="Arial"/>
          <w:sz w:val="20"/>
          <w:szCs w:val="20"/>
          <w:lang w:val="en-GB"/>
        </w:rPr>
        <w:t>Between January 2010 to August 2011, 50 patients were included into the study. They were 24 male and 26 female patients (female/male ratio 1,08). Median age was 63 years (range 47-80). Baseline performance status, according to ECOG, was 0 for 29 patients and 1 for 21 pts.</w:t>
      </w:r>
    </w:p>
    <w:p w:rsidR="007A4C19" w:rsidRPr="002B6D0A" w:rsidRDefault="007A4C19" w:rsidP="007A4C19">
      <w:pPr>
        <w:spacing w:line="360" w:lineRule="auto"/>
        <w:ind w:right="641"/>
        <w:rPr>
          <w:rFonts w:ascii="Arial" w:hAnsi="Arial" w:cs="Arial"/>
          <w:sz w:val="20"/>
          <w:szCs w:val="20"/>
          <w:lang w:val="en-GB"/>
        </w:rPr>
      </w:pPr>
      <w:r w:rsidRPr="002B6D0A">
        <w:rPr>
          <w:rFonts w:ascii="Arial" w:hAnsi="Arial" w:cs="Arial"/>
          <w:sz w:val="20"/>
          <w:szCs w:val="20"/>
          <w:lang w:val="en-GB"/>
        </w:rPr>
        <w:t>Level of disease accounted for locally advanced cases in 13 pts (26%) and metastatic disease in 37 (74%).</w:t>
      </w:r>
      <w:r>
        <w:rPr>
          <w:rFonts w:ascii="Arial" w:hAnsi="Arial" w:cs="Arial"/>
          <w:sz w:val="20"/>
          <w:szCs w:val="20"/>
          <w:lang w:val="en-GB"/>
        </w:rPr>
        <w:t>Thirty-two out of 37 (86%)patients with metastatic disease had liver metastases.</w:t>
      </w:r>
      <w:r w:rsidRPr="002B6D0A">
        <w:rPr>
          <w:rFonts w:ascii="Arial" w:hAnsi="Arial" w:cs="Arial"/>
          <w:sz w:val="20"/>
          <w:szCs w:val="20"/>
          <w:lang w:val="en-GB"/>
        </w:rPr>
        <w:t xml:space="preserve"> Primary tumour site was pancreatic head in 34 pts (68%), body in 13 pts (26%) and tail in the remaining 3 pts (6%).</w:t>
      </w:r>
    </w:p>
    <w:p w:rsidR="007A4C19" w:rsidRPr="002B6D0A" w:rsidRDefault="007A4C19" w:rsidP="007A4C19">
      <w:pPr>
        <w:spacing w:line="360" w:lineRule="auto"/>
        <w:ind w:right="641"/>
        <w:rPr>
          <w:rFonts w:ascii="Arial" w:hAnsi="Arial" w:cs="Arial"/>
          <w:sz w:val="20"/>
          <w:szCs w:val="20"/>
          <w:lang w:val="en-GB"/>
        </w:rPr>
      </w:pPr>
      <w:r w:rsidRPr="002B6D0A">
        <w:rPr>
          <w:rFonts w:ascii="Arial" w:hAnsi="Arial" w:cs="Arial"/>
          <w:sz w:val="20"/>
          <w:szCs w:val="20"/>
          <w:lang w:val="en-GB"/>
        </w:rPr>
        <w:t>First line chemotherapy previously administered was GEMOX in 32 pts, CDDP/GEM in 9 pts, GEM alone in 8 pts and GEM/CAPE in 1 pts.</w:t>
      </w:r>
    </w:p>
    <w:p w:rsidR="007A4C19" w:rsidRPr="002B6D0A" w:rsidRDefault="007A4C19" w:rsidP="007A4C19">
      <w:pPr>
        <w:spacing w:line="360" w:lineRule="auto"/>
        <w:ind w:right="641"/>
        <w:rPr>
          <w:rFonts w:ascii="Arial" w:hAnsi="Arial" w:cs="Arial"/>
          <w:sz w:val="20"/>
          <w:szCs w:val="20"/>
          <w:lang w:val="en-GB"/>
        </w:rPr>
      </w:pPr>
      <w:r w:rsidRPr="002B6D0A">
        <w:rPr>
          <w:rFonts w:ascii="Arial" w:hAnsi="Arial" w:cs="Arial"/>
          <w:sz w:val="20"/>
          <w:szCs w:val="20"/>
          <w:lang w:val="en-GB"/>
        </w:rPr>
        <w:t>Chemotherapy regimen was administered for a median of 4 cycles (range 1-16).</w:t>
      </w:r>
    </w:p>
    <w:p w:rsidR="007A4C19" w:rsidRPr="002B6D0A" w:rsidRDefault="007A4C19" w:rsidP="007A4C19">
      <w:pPr>
        <w:spacing w:line="360" w:lineRule="auto"/>
        <w:ind w:right="641"/>
        <w:rPr>
          <w:rFonts w:ascii="Arial" w:hAnsi="Arial" w:cs="Arial"/>
          <w:sz w:val="20"/>
          <w:szCs w:val="20"/>
          <w:lang w:val="en-GB"/>
        </w:rPr>
      </w:pPr>
      <w:r w:rsidRPr="002B6D0A">
        <w:rPr>
          <w:rFonts w:ascii="Arial" w:hAnsi="Arial" w:cs="Arial"/>
          <w:sz w:val="20"/>
          <w:szCs w:val="20"/>
          <w:lang w:val="en-GB"/>
        </w:rPr>
        <w:t>Six months survival was 32%. Forty-nine patients were available for toxicity assessment.</w:t>
      </w:r>
    </w:p>
    <w:p w:rsidR="007A4C19" w:rsidRDefault="007A4C19" w:rsidP="007A4C19">
      <w:pPr>
        <w:spacing w:line="360" w:lineRule="auto"/>
        <w:ind w:right="638"/>
        <w:jc w:val="both"/>
        <w:rPr>
          <w:rFonts w:ascii="Arial" w:hAnsi="Arial" w:cs="Arial"/>
          <w:sz w:val="20"/>
          <w:szCs w:val="20"/>
          <w:lang w:val="en-GB"/>
        </w:rPr>
      </w:pPr>
      <w:r w:rsidRPr="002B6D0A">
        <w:rPr>
          <w:rFonts w:ascii="Arial" w:hAnsi="Arial" w:cs="Arial"/>
          <w:sz w:val="20"/>
          <w:szCs w:val="20"/>
          <w:lang w:val="en-GB"/>
        </w:rPr>
        <w:t xml:space="preserve">Toxicity was manageable with a total of 21 patients experiencing at least one episode of grade3 side effects and 6 patients a grade 4 episode, respectively. One case of febrile </w:t>
      </w:r>
      <w:proofErr w:type="spellStart"/>
      <w:r w:rsidRPr="002B6D0A">
        <w:rPr>
          <w:rFonts w:ascii="Arial" w:hAnsi="Arial" w:cs="Arial"/>
          <w:sz w:val="20"/>
          <w:szCs w:val="20"/>
          <w:lang w:val="en-GB"/>
        </w:rPr>
        <w:t>neutropenia</w:t>
      </w:r>
      <w:proofErr w:type="spellEnd"/>
      <w:r w:rsidRPr="002B6D0A">
        <w:rPr>
          <w:rFonts w:ascii="Arial" w:hAnsi="Arial" w:cs="Arial"/>
          <w:sz w:val="20"/>
          <w:szCs w:val="20"/>
          <w:lang w:val="en-GB"/>
        </w:rPr>
        <w:t xml:space="preserve"> occurred; no toxic death was reported. </w:t>
      </w:r>
    </w:p>
    <w:p w:rsidR="007A4C19" w:rsidRPr="008A4ACD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  <w:r w:rsidRPr="008A4ACD">
        <w:rPr>
          <w:rStyle w:val="Enfasigrassetto"/>
          <w:rFonts w:ascii="Arial" w:hAnsi="Arial" w:cs="Arial"/>
          <w:sz w:val="20"/>
          <w:szCs w:val="20"/>
          <w:lang w:val="en-GB"/>
        </w:rPr>
        <w:t>Conclusion</w:t>
      </w:r>
    </w:p>
    <w:p w:rsidR="007A4C19" w:rsidRPr="007A4C19" w:rsidRDefault="007A4C19" w:rsidP="007A4C19">
      <w:pPr>
        <w:spacing w:line="360" w:lineRule="auto"/>
        <w:ind w:right="638"/>
        <w:rPr>
          <w:rFonts w:ascii="Arial" w:eastAsia="Calibri" w:hAnsi="Arial" w:cs="Arial"/>
          <w:bCs/>
          <w:sz w:val="20"/>
          <w:szCs w:val="20"/>
          <w:lang w:val="en-US"/>
        </w:rPr>
      </w:pPr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A limited amount of drugs  has shown clinical activity and measurable benefits for patients with advanced pancreatic cancer after the failure of a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-based first-line chemotherapy. In this setting,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Irinotecan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monotherapy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was studied by Yi et al. Among 33 eligible patients, 3PR and 13 SD were achieved for a DCR of 48% with manageable toxicity.</w:t>
      </w:r>
    </w:p>
    <w:p w:rsidR="007A4C19" w:rsidRPr="007A4C19" w:rsidRDefault="007A4C19" w:rsidP="007A4C19">
      <w:pPr>
        <w:spacing w:line="360" w:lineRule="auto"/>
        <w:ind w:right="638"/>
        <w:rPr>
          <w:rFonts w:ascii="Arial" w:eastAsia="Calibri" w:hAnsi="Arial" w:cs="Arial"/>
          <w:bCs/>
          <w:sz w:val="20"/>
          <w:szCs w:val="20"/>
          <w:lang w:val="en-US"/>
        </w:rPr>
      </w:pP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Gebbia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et al  performed a retrospective analysis in 40 pts with refractory disease recording 6 PR and 14 SD (DCR 50%) with grade 3-4 diarrhea and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mucositis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experienced by 15 and 10% of patients respectively[14]. A modified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Folfiri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regimen (Folfiri.3) was studied by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Yoo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et al in a randomized phase II study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vs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a modified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Folfox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regimen. Among the 31 pts treated with the Folfiri.3 regimen, a DCR of 23% and a six-month survival of 27% were achieved. Similar encouraging results was reported with a little more intensive version of Folfiri.3 by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Taieb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et al. On the contrary,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Cereda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et al reported substantially negative results with the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Folfiri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or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xeliri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regimens in 34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-resistant patients, with 4 SD only and a median survival of 4 months. Finally, a large retrospective French study was recently presented, involving 70 patients previously treated with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and platinum-based chemotherapies, 60 received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FolfiriI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and 10 Folfiri.3. A DCR of 44% was obtained with mild toxicity. One year survival was 17%.</w:t>
      </w:r>
    </w:p>
    <w:p w:rsidR="007A4C19" w:rsidRPr="007A4C19" w:rsidRDefault="007A4C19" w:rsidP="007A4C19">
      <w:pPr>
        <w:spacing w:line="360" w:lineRule="auto"/>
        <w:ind w:right="638"/>
        <w:rPr>
          <w:rFonts w:ascii="Arial" w:eastAsia="Calibri" w:hAnsi="Arial" w:cs="Arial"/>
          <w:bCs/>
          <w:sz w:val="20"/>
          <w:szCs w:val="20"/>
          <w:lang w:val="en-US"/>
        </w:rPr>
      </w:pPr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lastRenderedPageBreak/>
        <w:t xml:space="preserve">Our results, obtained in a multicenter community setting, seem to further support the role of the combination of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irinotecan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and fluorouracil as a second line option for previously treated pancreatic cancer. Toxicity was manageable with no toxic death reported. Our results seem in line with other similar experience with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irinotecan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</w:t>
      </w:r>
      <w:r>
        <w:rPr>
          <w:rFonts w:ascii="Arial" w:eastAsia="Calibri" w:hAnsi="Arial" w:cs="Arial"/>
          <w:bCs/>
          <w:sz w:val="20"/>
          <w:szCs w:val="20"/>
          <w:lang w:val="en-US"/>
        </w:rPr>
        <w:t>and fluorouracil-based regimens</w:t>
      </w:r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. Even if we have not reached our planned goal of a response rate of at least 10%,it should be outlined that 41 out of 50 patients(82%) in our study was pretreated with a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gemcitabine+platinoids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regimen and only a minority received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alone,as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allowed in our entry criteria .The lack of cross-resistance between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/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platinoids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combinations and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Folfiri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further  outlines its potential role as preferred second-line treatment in this patient population.</w:t>
      </w:r>
    </w:p>
    <w:p w:rsidR="007A4C19" w:rsidRPr="007A4C19" w:rsidRDefault="007A4C19" w:rsidP="007A4C19">
      <w:pPr>
        <w:spacing w:line="360" w:lineRule="auto"/>
        <w:ind w:right="638"/>
        <w:rPr>
          <w:rFonts w:ascii="Arial" w:eastAsia="Calibri" w:hAnsi="Arial" w:cs="Arial"/>
          <w:bCs/>
          <w:sz w:val="20"/>
          <w:szCs w:val="20"/>
          <w:lang w:val="en-US"/>
        </w:rPr>
      </w:pPr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In our study, one out three patients benefitted from the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Folfiri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treatment with mild toxicity.</w:t>
      </w:r>
    </w:p>
    <w:p w:rsidR="007A4C19" w:rsidRP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US"/>
        </w:rPr>
      </w:pPr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However, for patients pretreated with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gemcitabine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only, combinations of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oxaliplatin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and </w:t>
      </w:r>
      <w:proofErr w:type="spellStart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>Fluoropyrimidine</w:t>
      </w:r>
      <w:proofErr w:type="spellEnd"/>
      <w:r w:rsidRPr="007A4C19">
        <w:rPr>
          <w:rFonts w:ascii="Arial" w:eastAsia="Calibri" w:hAnsi="Arial" w:cs="Arial"/>
          <w:bCs/>
          <w:sz w:val="20"/>
          <w:szCs w:val="20"/>
          <w:lang w:val="en-US"/>
        </w:rPr>
        <w:t xml:space="preserve"> still represent an equally reasonable option</w:t>
      </w:r>
    </w:p>
    <w:p w:rsid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sz w:val="20"/>
          <w:szCs w:val="20"/>
          <w:lang w:val="en-GB"/>
        </w:rPr>
      </w:pPr>
    </w:p>
    <w:p w:rsidR="007A4C19" w:rsidRPr="001859A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b w:val="0"/>
          <w:sz w:val="20"/>
          <w:szCs w:val="20"/>
          <w:lang w:val="en-GB"/>
        </w:rPr>
      </w:pPr>
      <w:r w:rsidRPr="00805723">
        <w:rPr>
          <w:rStyle w:val="Enfasigrassetto"/>
          <w:rFonts w:ascii="Arial" w:hAnsi="Arial" w:cs="Arial"/>
          <w:sz w:val="20"/>
          <w:szCs w:val="20"/>
          <w:lang w:val="en-GB"/>
        </w:rPr>
        <w:t>Keywords</w:t>
      </w:r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 xml:space="preserve">: Pancreatic cancer, </w:t>
      </w:r>
      <w:proofErr w:type="spellStart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Folfiri</w:t>
      </w:r>
      <w:proofErr w:type="spellEnd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, chemotherapy,</w:t>
      </w:r>
      <w:r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 xml:space="preserve"> </w:t>
      </w:r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second-line,</w:t>
      </w:r>
      <w:r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 xml:space="preserve"> </w:t>
      </w:r>
      <w:proofErr w:type="spellStart"/>
      <w:r w:rsidRPr="001859A9">
        <w:rPr>
          <w:rStyle w:val="Enfasigrassetto"/>
          <w:rFonts w:ascii="Arial" w:hAnsi="Arial" w:cs="Arial"/>
          <w:b w:val="0"/>
          <w:sz w:val="20"/>
          <w:szCs w:val="20"/>
          <w:lang w:val="en-GB"/>
        </w:rPr>
        <w:t>irinotecan</w:t>
      </w:r>
      <w:proofErr w:type="spellEnd"/>
    </w:p>
    <w:p w:rsidR="007A4C19" w:rsidRPr="001859A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b w:val="0"/>
          <w:sz w:val="20"/>
          <w:szCs w:val="20"/>
          <w:lang w:val="en-GB"/>
        </w:rPr>
      </w:pPr>
    </w:p>
    <w:p w:rsidR="007A4C19" w:rsidRPr="007A4C19" w:rsidRDefault="007A4C19" w:rsidP="007A4C19">
      <w:pPr>
        <w:spacing w:line="360" w:lineRule="auto"/>
        <w:ind w:right="638"/>
        <w:jc w:val="both"/>
        <w:rPr>
          <w:rFonts w:ascii="Arial" w:hAnsi="Arial" w:cs="Arial"/>
          <w:bCs/>
          <w:sz w:val="20"/>
          <w:szCs w:val="20"/>
          <w:lang w:val="en-US"/>
        </w:rPr>
      </w:pPr>
      <w:r w:rsidRPr="007A4C19">
        <w:rPr>
          <w:rFonts w:ascii="Arial" w:hAnsi="Arial" w:cs="Arial"/>
          <w:bCs/>
          <w:sz w:val="20"/>
          <w:szCs w:val="20"/>
          <w:lang w:val="en-US"/>
        </w:rPr>
        <w:t xml:space="preserve">The study is sponsored by </w:t>
      </w:r>
      <w:proofErr w:type="spellStart"/>
      <w:r w:rsidRPr="007A4C19">
        <w:rPr>
          <w:rFonts w:ascii="Arial" w:hAnsi="Arial" w:cs="Arial"/>
          <w:bCs/>
          <w:sz w:val="20"/>
          <w:szCs w:val="20"/>
          <w:lang w:val="en-US"/>
        </w:rPr>
        <w:t>Fondazione</w:t>
      </w:r>
      <w:proofErr w:type="spellEnd"/>
      <w:r w:rsidRPr="007A4C19">
        <w:rPr>
          <w:rFonts w:ascii="Arial" w:hAnsi="Arial" w:cs="Arial"/>
          <w:bCs/>
          <w:sz w:val="20"/>
          <w:szCs w:val="20"/>
          <w:lang w:val="en-US"/>
        </w:rPr>
        <w:t xml:space="preserve"> GISCAD who provided the economical support for insurance and costs related to data management, statistical analysis and the other activities of central and group coordinating </w:t>
      </w:r>
      <w:proofErr w:type="spellStart"/>
      <w:r w:rsidRPr="007A4C19">
        <w:rPr>
          <w:rFonts w:ascii="Arial" w:hAnsi="Arial" w:cs="Arial"/>
          <w:bCs/>
          <w:sz w:val="20"/>
          <w:szCs w:val="20"/>
          <w:lang w:val="en-US"/>
        </w:rPr>
        <w:t>centres</w:t>
      </w:r>
      <w:proofErr w:type="spellEnd"/>
      <w:r w:rsidRPr="007A4C19">
        <w:rPr>
          <w:rFonts w:ascii="Arial" w:hAnsi="Arial" w:cs="Arial"/>
          <w:bCs/>
          <w:sz w:val="20"/>
          <w:szCs w:val="20"/>
          <w:lang w:val="en-US"/>
        </w:rPr>
        <w:t>.</w:t>
      </w:r>
    </w:p>
    <w:p w:rsidR="007A4C19" w:rsidRPr="001859A9" w:rsidRDefault="007A4C19" w:rsidP="007A4C19">
      <w:pPr>
        <w:spacing w:line="360" w:lineRule="auto"/>
        <w:ind w:right="638"/>
        <w:jc w:val="both"/>
        <w:rPr>
          <w:rStyle w:val="Enfasigrassetto"/>
          <w:rFonts w:ascii="Arial" w:hAnsi="Arial" w:cs="Arial"/>
          <w:b w:val="0"/>
          <w:sz w:val="20"/>
          <w:szCs w:val="20"/>
          <w:lang w:val="en-GB"/>
        </w:rPr>
      </w:pPr>
      <w:proofErr w:type="spellStart"/>
      <w:r w:rsidRPr="007A4C19">
        <w:rPr>
          <w:rFonts w:ascii="Arial" w:hAnsi="Arial" w:cs="Arial"/>
          <w:bCs/>
          <w:sz w:val="20"/>
          <w:szCs w:val="20"/>
          <w:lang w:val="en-US"/>
        </w:rPr>
        <w:t>Hospira</w:t>
      </w:r>
      <w:proofErr w:type="spellEnd"/>
      <w:r w:rsidRPr="007A4C19">
        <w:rPr>
          <w:rFonts w:ascii="Arial" w:hAnsi="Arial" w:cs="Arial"/>
          <w:bCs/>
          <w:sz w:val="20"/>
          <w:szCs w:val="20"/>
          <w:lang w:val="en-US"/>
        </w:rPr>
        <w:t xml:space="preserve">-Italia </w:t>
      </w:r>
      <w:proofErr w:type="spellStart"/>
      <w:r w:rsidRPr="007A4C19">
        <w:rPr>
          <w:rFonts w:ascii="Arial" w:hAnsi="Arial" w:cs="Arial"/>
          <w:bCs/>
          <w:sz w:val="20"/>
          <w:szCs w:val="20"/>
          <w:lang w:val="en-US"/>
        </w:rPr>
        <w:t>srl</w:t>
      </w:r>
      <w:proofErr w:type="spellEnd"/>
      <w:r w:rsidRPr="007A4C19">
        <w:rPr>
          <w:rFonts w:ascii="Arial" w:hAnsi="Arial" w:cs="Arial"/>
          <w:bCs/>
          <w:sz w:val="20"/>
          <w:szCs w:val="20"/>
          <w:lang w:val="en-US"/>
        </w:rPr>
        <w:t xml:space="preserve"> supports the study providing and managing the drug (</w:t>
      </w:r>
      <w:proofErr w:type="spellStart"/>
      <w:r w:rsidRPr="007A4C19">
        <w:rPr>
          <w:rFonts w:ascii="Arial" w:hAnsi="Arial" w:cs="Arial"/>
          <w:bCs/>
          <w:sz w:val="20"/>
          <w:szCs w:val="20"/>
          <w:lang w:val="en-US"/>
        </w:rPr>
        <w:t>Irinotecan</w:t>
      </w:r>
      <w:proofErr w:type="spellEnd"/>
      <w:r w:rsidRPr="007A4C19">
        <w:rPr>
          <w:rFonts w:ascii="Arial" w:hAnsi="Arial" w:cs="Arial"/>
          <w:bCs/>
          <w:sz w:val="20"/>
          <w:szCs w:val="20"/>
          <w:lang w:val="en-US"/>
        </w:rPr>
        <w:t>) required for the treatment.</w:t>
      </w:r>
    </w:p>
    <w:p w:rsidR="007A4C19" w:rsidRPr="007A4C19" w:rsidRDefault="007A4C19" w:rsidP="007A4C19">
      <w:pPr>
        <w:rPr>
          <w:lang w:val="en-GB"/>
        </w:rPr>
      </w:pPr>
    </w:p>
    <w:sectPr w:rsidR="007A4C19" w:rsidRPr="007A4C19" w:rsidSect="008361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283"/>
  <w:characterSpacingControl w:val="doNotCompress"/>
  <w:compat/>
  <w:rsids>
    <w:rsidRoot w:val="00BC7A80"/>
    <w:rsid w:val="0017776B"/>
    <w:rsid w:val="0056401F"/>
    <w:rsid w:val="00624053"/>
    <w:rsid w:val="007A25C1"/>
    <w:rsid w:val="007A4C19"/>
    <w:rsid w:val="00836157"/>
    <w:rsid w:val="00BC7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4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7A4C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Rota</dc:creator>
  <cp:lastModifiedBy>Silvia Rota</cp:lastModifiedBy>
  <cp:revision>1</cp:revision>
  <dcterms:created xsi:type="dcterms:W3CDTF">2022-05-19T06:57:00Z</dcterms:created>
  <dcterms:modified xsi:type="dcterms:W3CDTF">2022-05-19T08:29:00Z</dcterms:modified>
</cp:coreProperties>
</file>