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CB34C" w14:textId="77777777" w:rsidR="00965DEC" w:rsidRDefault="00965DEC"/>
    <w:p w14:paraId="62B76185" w14:textId="77777777" w:rsidR="00D15ED1" w:rsidRDefault="00D15ED1"/>
    <w:p w14:paraId="30250F59" w14:textId="77777777" w:rsidR="00D15ED1" w:rsidRDefault="00D15ED1"/>
    <w:p w14:paraId="1E964DF9" w14:textId="77777777" w:rsidR="00E93BCC" w:rsidRPr="00E93BCC" w:rsidRDefault="00E93BCC" w:rsidP="00E93BCC">
      <w:pPr>
        <w:shd w:val="clear" w:color="auto" w:fill="FFFFFF"/>
        <w:ind w:right="60"/>
        <w:outlineLvl w:val="3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</w:pPr>
      <w:r w:rsidRPr="00E93BCC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  <w:t>BACKGROUND:</w:t>
      </w:r>
    </w:p>
    <w:p w14:paraId="073A0D45" w14:textId="754DDD03" w:rsidR="00E93BCC" w:rsidRPr="00E93BCC" w:rsidRDefault="00E93BCC" w:rsidP="00E93BCC">
      <w:pPr>
        <w:shd w:val="clear" w:color="auto" w:fill="FFFFFF"/>
        <w:spacing w:after="120" w:line="369" w:lineRule="atLeast"/>
        <w:rPr>
          <w:rFonts w:ascii="Arial" w:eastAsia="Times New Roman" w:hAnsi="Arial" w:cs="Arial"/>
          <w:color w:val="000000"/>
          <w:sz w:val="25"/>
          <w:szCs w:val="25"/>
          <w:lang w:eastAsia="en-GB"/>
        </w:rPr>
      </w:pPr>
      <w:r>
        <w:rPr>
          <w:rFonts w:ascii="Arial" w:eastAsia="Times New Roman" w:hAnsi="Arial" w:cs="Arial"/>
          <w:color w:val="000000"/>
          <w:sz w:val="25"/>
          <w:szCs w:val="25"/>
          <w:lang w:eastAsia="en-GB"/>
        </w:rPr>
        <w:t>The aim of the study</w:t>
      </w:r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was to estimate the ED95 of </w:t>
      </w:r>
      <w:proofErr w:type="spellStart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>prilocaine</w:t>
      </w:r>
      <w:proofErr w:type="spellEnd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1% w/v for femoral nerve block.</w:t>
      </w:r>
    </w:p>
    <w:p w14:paraId="591BD24D" w14:textId="77777777" w:rsidR="00E93BCC" w:rsidRPr="00E93BCC" w:rsidRDefault="00E93BCC" w:rsidP="00E93BCC">
      <w:pPr>
        <w:shd w:val="clear" w:color="auto" w:fill="FFFFFF"/>
        <w:ind w:right="60"/>
        <w:outlineLvl w:val="3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</w:pPr>
      <w:r w:rsidRPr="00E93BCC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  <w:t>METHODS:</w:t>
      </w:r>
    </w:p>
    <w:p w14:paraId="1B5FC3B1" w14:textId="77777777" w:rsidR="00E93BCC" w:rsidRPr="00E93BCC" w:rsidRDefault="00E93BCC" w:rsidP="00E93BCC">
      <w:pPr>
        <w:shd w:val="clear" w:color="auto" w:fill="FFFFFF"/>
        <w:spacing w:after="120" w:line="369" w:lineRule="atLeast"/>
        <w:rPr>
          <w:rFonts w:ascii="Arial" w:eastAsia="Times New Roman" w:hAnsi="Arial" w:cs="Arial"/>
          <w:color w:val="000000"/>
          <w:sz w:val="25"/>
          <w:szCs w:val="25"/>
          <w:lang w:eastAsia="en-GB"/>
        </w:rPr>
      </w:pPr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This two-stage dose-finding sequential clinical trial followed an adaptive design based on the continual reassessment method (CRM). Adult patients undergoing Vastus </w:t>
      </w:r>
      <w:proofErr w:type="spellStart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>medialis</w:t>
      </w:r>
      <w:proofErr w:type="spellEnd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muscle biopsy under ultrasound-guided femoral nerve block were recruited. Data from previously published studies and our own previous experience were used to set the dose levels and their guesstimate probabilities of response.</w:t>
      </w:r>
    </w:p>
    <w:p w14:paraId="43E33079" w14:textId="77777777" w:rsidR="00E93BCC" w:rsidRPr="00E93BCC" w:rsidRDefault="00E93BCC" w:rsidP="00E93BCC">
      <w:pPr>
        <w:shd w:val="clear" w:color="auto" w:fill="FFFFFF"/>
        <w:ind w:right="60"/>
        <w:outlineLvl w:val="3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</w:pPr>
      <w:r w:rsidRPr="00E93BCC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  <w:t>RESULTS:</w:t>
      </w:r>
    </w:p>
    <w:p w14:paraId="7DC75D42" w14:textId="77777777" w:rsidR="00E93BCC" w:rsidRPr="00E93BCC" w:rsidRDefault="00E93BCC" w:rsidP="00E93BCC">
      <w:pPr>
        <w:shd w:val="clear" w:color="auto" w:fill="FFFFFF"/>
        <w:spacing w:after="120" w:line="369" w:lineRule="atLeast"/>
        <w:rPr>
          <w:rFonts w:ascii="Arial" w:eastAsia="Times New Roman" w:hAnsi="Arial" w:cs="Arial"/>
          <w:color w:val="000000"/>
          <w:sz w:val="25"/>
          <w:szCs w:val="25"/>
          <w:lang w:eastAsia="en-GB"/>
        </w:rPr>
      </w:pPr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Forty patients were recruited in the trial (n=26 in the first stage and n=14 in the second stage). Using the CRM, the estimated response probabilities with 13 and 17 ml </w:t>
      </w:r>
      <w:proofErr w:type="spellStart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>prilocaine</w:t>
      </w:r>
      <w:proofErr w:type="spellEnd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1% w/v were 90.4% (95% credibility interval: 68-98%) and 99.1% (95% credibility interval: 89-100%), respectively.</w:t>
      </w:r>
    </w:p>
    <w:p w14:paraId="64519BDE" w14:textId="77777777" w:rsidR="00E93BCC" w:rsidRPr="00E93BCC" w:rsidRDefault="00E93BCC" w:rsidP="00E93BCC">
      <w:pPr>
        <w:shd w:val="clear" w:color="auto" w:fill="FFFFFF"/>
        <w:ind w:right="60"/>
        <w:outlineLvl w:val="3"/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</w:pPr>
      <w:r w:rsidRPr="00E93BCC">
        <w:rPr>
          <w:rFonts w:ascii="Arial" w:eastAsia="Times New Roman" w:hAnsi="Arial" w:cs="Arial"/>
          <w:b/>
          <w:bCs/>
          <w:caps/>
          <w:color w:val="000000"/>
          <w:sz w:val="20"/>
          <w:szCs w:val="20"/>
          <w:lang w:eastAsia="en-GB"/>
        </w:rPr>
        <w:t>CONCLUSION:</w:t>
      </w:r>
    </w:p>
    <w:p w14:paraId="29D58D42" w14:textId="7AA46839" w:rsidR="00E93BCC" w:rsidRPr="00E93BCC" w:rsidRDefault="00E93BCC" w:rsidP="00E93BCC">
      <w:pPr>
        <w:shd w:val="clear" w:color="auto" w:fill="FFFFFF"/>
        <w:spacing w:after="120" w:line="369" w:lineRule="atLeast"/>
        <w:rPr>
          <w:rFonts w:ascii="Arial" w:eastAsia="Times New Roman" w:hAnsi="Arial" w:cs="Arial"/>
          <w:color w:val="000000"/>
          <w:sz w:val="25"/>
          <w:szCs w:val="25"/>
          <w:lang w:eastAsia="en-GB"/>
        </w:rPr>
      </w:pPr>
      <w:r>
        <w:rPr>
          <w:rFonts w:ascii="Arial" w:eastAsia="Times New Roman" w:hAnsi="Arial" w:cs="Arial"/>
          <w:color w:val="000000"/>
          <w:sz w:val="25"/>
          <w:szCs w:val="25"/>
          <w:lang w:eastAsia="en-GB"/>
        </w:rPr>
        <w:t>The study</w:t>
      </w:r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demonstrate</w:t>
      </w:r>
      <w:r>
        <w:rPr>
          <w:rFonts w:ascii="Arial" w:eastAsia="Times New Roman" w:hAnsi="Arial" w:cs="Arial"/>
          <w:color w:val="000000"/>
          <w:sz w:val="25"/>
          <w:szCs w:val="25"/>
          <w:lang w:eastAsia="en-GB"/>
        </w:rPr>
        <w:t>d</w:t>
      </w:r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that the dose closest to the </w:t>
      </w:r>
      <w:proofErr w:type="gramStart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>ED(</w:t>
      </w:r>
      <w:proofErr w:type="gramEnd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95) of </w:t>
      </w:r>
      <w:proofErr w:type="spellStart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>prilocaine</w:t>
      </w:r>
      <w:proofErr w:type="spellEnd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1% w/v for ultrasound-guided femoral nerve block is 1</w:t>
      </w:r>
      <w:r>
        <w:rPr>
          <w:rFonts w:ascii="Arial" w:eastAsia="Times New Roman" w:hAnsi="Arial" w:cs="Arial"/>
          <w:color w:val="000000"/>
          <w:sz w:val="25"/>
          <w:szCs w:val="25"/>
          <w:lang w:eastAsia="en-GB"/>
        </w:rPr>
        <w:t>7 ml. The study also illustrated</w:t>
      </w:r>
      <w:bookmarkStart w:id="0" w:name="_GoBack"/>
      <w:bookmarkEnd w:id="0"/>
      <w:r w:rsidRPr="00E93BCC">
        <w:rPr>
          <w:rFonts w:ascii="Arial" w:eastAsia="Times New Roman" w:hAnsi="Arial" w:cs="Arial"/>
          <w:color w:val="000000"/>
          <w:sz w:val="25"/>
          <w:szCs w:val="25"/>
          <w:lang w:eastAsia="en-GB"/>
        </w:rPr>
        <w:t xml:space="preserve"> the value of CRM in dose-finding experiments.</w:t>
      </w:r>
    </w:p>
    <w:p w14:paraId="3F693D48" w14:textId="3A6061D7" w:rsidR="00D15ED1" w:rsidRPr="001C7D50" w:rsidRDefault="00D15ED1" w:rsidP="00E93BCC">
      <w:pPr>
        <w:rPr>
          <w:rFonts w:ascii="Arial" w:hAnsi="Arial" w:cs="Arial"/>
        </w:rPr>
      </w:pPr>
    </w:p>
    <w:sectPr w:rsidR="00D15ED1" w:rsidRPr="001C7D50" w:rsidSect="000E46DA">
      <w:pgSz w:w="11900" w:h="16840"/>
      <w:pgMar w:top="425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UxMDY3MTIxMDQ3NzFX0lEKTi0uzszPAykwqgUA0Mok+CwAAAA="/>
  </w:docVars>
  <w:rsids>
    <w:rsidRoot w:val="00D15ED1"/>
    <w:rsid w:val="00057766"/>
    <w:rsid w:val="000E46DA"/>
    <w:rsid w:val="001C7D50"/>
    <w:rsid w:val="0031029A"/>
    <w:rsid w:val="00965DEC"/>
    <w:rsid w:val="00AF495B"/>
    <w:rsid w:val="00C903B2"/>
    <w:rsid w:val="00D15ED1"/>
    <w:rsid w:val="00E93BCC"/>
    <w:rsid w:val="00E9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6EB246"/>
  <w15:docId w15:val="{D0F0A1AA-D77B-4F6E-85E7-6D07AFAE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93BCC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545F"/>
    <w:pPr>
      <w:widowControl w:val="0"/>
      <w:autoSpaceDE w:val="0"/>
      <w:autoSpaceDN w:val="0"/>
      <w:adjustRightInd w:val="0"/>
    </w:pPr>
    <w:rPr>
      <w:rFonts w:ascii="Arial" w:eastAsia="Cambria" w:hAnsi="Arial" w:cs="Arial"/>
      <w:color w:val="000000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E93BCC"/>
    <w:rPr>
      <w:rFonts w:ascii="Times New Roman" w:eastAsia="Times New Roman" w:hAnsi="Times New Roman" w:cs="Times New Roman"/>
      <w:b/>
      <w:bCs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93BC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6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Hopkins</dc:creator>
  <cp:keywords/>
  <dc:description/>
  <cp:lastModifiedBy>Pawan Gupta</cp:lastModifiedBy>
  <cp:revision>2</cp:revision>
  <dcterms:created xsi:type="dcterms:W3CDTF">2016-12-05T13:59:00Z</dcterms:created>
  <dcterms:modified xsi:type="dcterms:W3CDTF">2016-12-05T13:59:00Z</dcterms:modified>
</cp:coreProperties>
</file>