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D5AC29" w14:textId="30AFD516" w:rsidR="00EE6920" w:rsidRPr="00EE6920" w:rsidRDefault="00EE6920" w:rsidP="00EE6920">
      <w:pPr>
        <w:autoSpaceDE w:val="0"/>
        <w:autoSpaceDN w:val="0"/>
        <w:adjustRightInd w:val="0"/>
        <w:rPr>
          <w:rFonts w:cstheme="minorHAnsi"/>
          <w:b/>
          <w:color w:val="000000" w:themeColor="text1"/>
          <w:sz w:val="20"/>
          <w:szCs w:val="20"/>
          <w:lang w:val="en-US"/>
        </w:rPr>
      </w:pPr>
      <w:r w:rsidRPr="00EE6920">
        <w:rPr>
          <w:rFonts w:cstheme="minorHAnsi"/>
          <w:b/>
          <w:color w:val="000000" w:themeColor="text1"/>
          <w:sz w:val="20"/>
          <w:szCs w:val="20"/>
          <w:lang w:val="en-US"/>
        </w:rPr>
        <w:t>Effects of vitamin D2 or D3 suppl</w:t>
      </w:r>
      <w:r w:rsidRPr="00EE6920">
        <w:rPr>
          <w:rFonts w:cstheme="minorHAnsi"/>
          <w:b/>
          <w:color w:val="000000" w:themeColor="text1"/>
          <w:sz w:val="20"/>
          <w:szCs w:val="20"/>
          <w:lang w:val="en-US"/>
        </w:rPr>
        <w:t xml:space="preserve">ementation on </w:t>
      </w:r>
      <w:proofErr w:type="spellStart"/>
      <w:r w:rsidRPr="00EE6920">
        <w:rPr>
          <w:rFonts w:cstheme="minorHAnsi"/>
          <w:b/>
          <w:color w:val="000000" w:themeColor="text1"/>
          <w:sz w:val="20"/>
          <w:szCs w:val="20"/>
          <w:lang w:val="en-US"/>
        </w:rPr>
        <w:t>glycaemic</w:t>
      </w:r>
      <w:proofErr w:type="spellEnd"/>
      <w:r w:rsidRPr="00EE6920">
        <w:rPr>
          <w:rFonts w:cstheme="minorHAnsi"/>
          <w:b/>
          <w:color w:val="000000" w:themeColor="text1"/>
          <w:sz w:val="20"/>
          <w:szCs w:val="20"/>
          <w:lang w:val="en-US"/>
        </w:rPr>
        <w:t xml:space="preserve"> control </w:t>
      </w:r>
      <w:r w:rsidRPr="00EE6920">
        <w:rPr>
          <w:rFonts w:cstheme="minorHAnsi"/>
          <w:b/>
          <w:color w:val="000000" w:themeColor="text1"/>
          <w:sz w:val="20"/>
          <w:szCs w:val="20"/>
          <w:lang w:val="en-US"/>
        </w:rPr>
        <w:t>and cardiometabolic risk among people at risk of type 2 diabetes:</w:t>
      </w:r>
      <w:r w:rsidRPr="00EE6920">
        <w:rPr>
          <w:rFonts w:cstheme="minorHAnsi"/>
          <w:b/>
          <w:color w:val="000000" w:themeColor="text1"/>
          <w:sz w:val="20"/>
          <w:szCs w:val="20"/>
          <w:lang w:val="en-US"/>
        </w:rPr>
        <w:t xml:space="preserve"> </w:t>
      </w:r>
      <w:r w:rsidRPr="00EE6920">
        <w:rPr>
          <w:rFonts w:cstheme="minorHAnsi"/>
          <w:b/>
          <w:color w:val="000000" w:themeColor="text1"/>
          <w:sz w:val="20"/>
          <w:szCs w:val="20"/>
          <w:lang w:val="en-US"/>
        </w:rPr>
        <w:t>results of a rando</w:t>
      </w:r>
      <w:r w:rsidRPr="00EE6920">
        <w:rPr>
          <w:rFonts w:cstheme="minorHAnsi"/>
          <w:b/>
          <w:color w:val="000000" w:themeColor="text1"/>
          <w:sz w:val="20"/>
          <w:szCs w:val="20"/>
          <w:lang w:val="en-US"/>
        </w:rPr>
        <w:t xml:space="preserve">mized double-blind placebo </w:t>
      </w:r>
      <w:r w:rsidRPr="00EE6920">
        <w:rPr>
          <w:rFonts w:cstheme="minorHAnsi"/>
          <w:b/>
          <w:color w:val="000000" w:themeColor="text1"/>
          <w:sz w:val="20"/>
          <w:szCs w:val="20"/>
          <w:lang w:val="en-US"/>
        </w:rPr>
        <w:t>controlled trial</w:t>
      </w:r>
    </w:p>
    <w:p w14:paraId="7A3A66CD" w14:textId="77777777" w:rsidR="00EE6920" w:rsidRDefault="00EE6920" w:rsidP="00EE6920">
      <w:pPr>
        <w:autoSpaceDE w:val="0"/>
        <w:autoSpaceDN w:val="0"/>
        <w:adjustRightInd w:val="0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69D0EF0E" w14:textId="2368D131" w:rsidR="00EE6920" w:rsidRPr="00EE6920" w:rsidRDefault="00EE6920" w:rsidP="00EE6920">
      <w:pPr>
        <w:rPr>
          <w:sz w:val="20"/>
          <w:szCs w:val="20"/>
        </w:rPr>
      </w:pPr>
      <w:r w:rsidRPr="00EE6920">
        <w:rPr>
          <w:sz w:val="20"/>
          <w:szCs w:val="20"/>
        </w:rPr>
        <w:t xml:space="preserve">N.G. </w:t>
      </w:r>
      <w:proofErr w:type="spellStart"/>
      <w:r w:rsidRPr="00EE6920">
        <w:rPr>
          <w:sz w:val="20"/>
          <w:szCs w:val="20"/>
        </w:rPr>
        <w:t>Forouhi</w:t>
      </w:r>
      <w:proofErr w:type="spellEnd"/>
      <w:r w:rsidRPr="00EE6920">
        <w:rPr>
          <w:sz w:val="20"/>
          <w:szCs w:val="20"/>
        </w:rPr>
        <w:t xml:space="preserve">, R.K. Menon, S.J. Sharp, N. Mannan, </w:t>
      </w:r>
      <w:proofErr w:type="spellStart"/>
      <w:r w:rsidRPr="00EE6920">
        <w:rPr>
          <w:sz w:val="20"/>
          <w:szCs w:val="20"/>
        </w:rPr>
        <w:t>P.M.Timms</w:t>
      </w:r>
      <w:proofErr w:type="spellEnd"/>
      <w:r w:rsidRPr="00EE6920">
        <w:rPr>
          <w:sz w:val="20"/>
          <w:szCs w:val="20"/>
        </w:rPr>
        <w:t>, A.R. Martineau, A.P. Rickard,</w:t>
      </w:r>
      <w:r w:rsidRPr="00EE6920">
        <w:rPr>
          <w:sz w:val="20"/>
          <w:szCs w:val="20"/>
          <w:vertAlign w:val="superscript"/>
        </w:rPr>
        <w:t xml:space="preserve">  </w:t>
      </w:r>
      <w:r w:rsidRPr="00EE6920">
        <w:rPr>
          <w:sz w:val="20"/>
          <w:szCs w:val="20"/>
        </w:rPr>
        <w:t xml:space="preserve">B.J. Boucher, T.A. Chowdhury, C.J. Griffiths, </w:t>
      </w:r>
      <w:r w:rsidRPr="00EE6920">
        <w:rPr>
          <w:sz w:val="20"/>
          <w:szCs w:val="20"/>
          <w:vertAlign w:val="superscript"/>
        </w:rPr>
        <w:t xml:space="preserve"> </w:t>
      </w:r>
      <w:r w:rsidRPr="00EE6920">
        <w:rPr>
          <w:sz w:val="20"/>
          <w:szCs w:val="20"/>
        </w:rPr>
        <w:t>S.E. Greenwald, S.J. Griffin, G.A. Hitman</w:t>
      </w:r>
    </w:p>
    <w:p w14:paraId="648E7CA4" w14:textId="77777777" w:rsidR="00EE6920" w:rsidRPr="00EE6920" w:rsidRDefault="00EE6920" w:rsidP="00EE6920">
      <w:pPr>
        <w:autoSpaceDE w:val="0"/>
        <w:autoSpaceDN w:val="0"/>
        <w:adjustRightInd w:val="0"/>
        <w:rPr>
          <w:rFonts w:ascii="Times New Roman" w:hAnsi="Times New Roman" w:cs="Times New Roman"/>
          <w:b/>
          <w:sz w:val="20"/>
          <w:szCs w:val="20"/>
          <w:lang w:val="en-US"/>
        </w:rPr>
      </w:pPr>
      <w:bookmarkStart w:id="0" w:name="_GoBack"/>
      <w:bookmarkEnd w:id="0"/>
    </w:p>
    <w:p w14:paraId="760F1A0B" w14:textId="77777777" w:rsidR="00EE6920" w:rsidRPr="00EE6920" w:rsidRDefault="00EE6920" w:rsidP="00EE6920">
      <w:pPr>
        <w:autoSpaceDE w:val="0"/>
        <w:autoSpaceDN w:val="0"/>
        <w:adjustRightInd w:val="0"/>
        <w:rPr>
          <w:rFonts w:cstheme="minorHAnsi"/>
          <w:b/>
          <w:sz w:val="20"/>
          <w:szCs w:val="20"/>
          <w:lang w:val="en-US"/>
        </w:rPr>
      </w:pPr>
      <w:r w:rsidRPr="00EE6920">
        <w:rPr>
          <w:rFonts w:cstheme="minorHAnsi"/>
          <w:b/>
          <w:sz w:val="20"/>
          <w:szCs w:val="20"/>
          <w:lang w:val="en-US"/>
        </w:rPr>
        <w:t xml:space="preserve">Aims: </w:t>
      </w:r>
    </w:p>
    <w:p w14:paraId="0AF0F222" w14:textId="3C670385" w:rsidR="00EE6920" w:rsidRPr="00EE6920" w:rsidRDefault="00EE6920" w:rsidP="00EE6920">
      <w:pPr>
        <w:autoSpaceDE w:val="0"/>
        <w:autoSpaceDN w:val="0"/>
        <w:adjustRightInd w:val="0"/>
        <w:rPr>
          <w:rFonts w:cstheme="minorHAnsi"/>
          <w:sz w:val="20"/>
          <w:szCs w:val="20"/>
          <w:lang w:val="en-US"/>
        </w:rPr>
      </w:pPr>
      <w:r w:rsidRPr="00EE6920">
        <w:rPr>
          <w:rFonts w:cstheme="minorHAnsi"/>
          <w:sz w:val="20"/>
          <w:szCs w:val="20"/>
          <w:lang w:val="en-US"/>
        </w:rPr>
        <w:t>To investigate the effect of short-term vitamin D supplementation on cardiometabolic outcomes among individuals with an elevated risk of</w:t>
      </w:r>
      <w:r w:rsidRPr="00EE6920">
        <w:rPr>
          <w:rFonts w:cstheme="minorHAnsi"/>
          <w:sz w:val="20"/>
          <w:szCs w:val="20"/>
          <w:lang w:val="en-US"/>
        </w:rPr>
        <w:t xml:space="preserve"> </w:t>
      </w:r>
      <w:r w:rsidRPr="00EE6920">
        <w:rPr>
          <w:rFonts w:cstheme="minorHAnsi"/>
          <w:sz w:val="20"/>
          <w:szCs w:val="20"/>
          <w:lang w:val="en-US"/>
        </w:rPr>
        <w:t>diabetes.</w:t>
      </w:r>
    </w:p>
    <w:p w14:paraId="56FED1F8" w14:textId="77777777" w:rsidR="00EE6920" w:rsidRPr="00EE6920" w:rsidRDefault="00EE6920" w:rsidP="00EE6920">
      <w:pPr>
        <w:autoSpaceDE w:val="0"/>
        <w:autoSpaceDN w:val="0"/>
        <w:adjustRightInd w:val="0"/>
        <w:rPr>
          <w:rFonts w:cstheme="minorHAnsi"/>
          <w:b/>
          <w:sz w:val="20"/>
          <w:szCs w:val="20"/>
          <w:lang w:val="en-US"/>
        </w:rPr>
      </w:pPr>
      <w:r w:rsidRPr="00EE6920">
        <w:rPr>
          <w:rFonts w:cstheme="minorHAnsi"/>
          <w:b/>
          <w:sz w:val="20"/>
          <w:szCs w:val="20"/>
          <w:lang w:val="en-US"/>
        </w:rPr>
        <w:t xml:space="preserve">Methods: </w:t>
      </w:r>
    </w:p>
    <w:p w14:paraId="667CA23B" w14:textId="40A1C152" w:rsidR="00EE6920" w:rsidRPr="00EE6920" w:rsidRDefault="00EE6920" w:rsidP="00EE6920">
      <w:pPr>
        <w:autoSpaceDE w:val="0"/>
        <w:autoSpaceDN w:val="0"/>
        <w:adjustRightInd w:val="0"/>
        <w:rPr>
          <w:rFonts w:cstheme="minorHAnsi"/>
          <w:sz w:val="20"/>
          <w:szCs w:val="20"/>
          <w:lang w:val="en-US"/>
        </w:rPr>
      </w:pPr>
      <w:r w:rsidRPr="00EE6920">
        <w:rPr>
          <w:rFonts w:cstheme="minorHAnsi"/>
          <w:sz w:val="20"/>
          <w:szCs w:val="20"/>
          <w:lang w:val="en-US"/>
        </w:rPr>
        <w:t xml:space="preserve">In a double-blind placebo-controlled randomized trial, 340 adults who had an elevated risk of type 2 diabetes (non-diabetic </w:t>
      </w:r>
      <w:proofErr w:type="spellStart"/>
      <w:r w:rsidRPr="00EE6920">
        <w:rPr>
          <w:rFonts w:cstheme="minorHAnsi"/>
          <w:sz w:val="20"/>
          <w:szCs w:val="20"/>
          <w:lang w:val="en-US"/>
        </w:rPr>
        <w:t>hyperglycaemia</w:t>
      </w:r>
      <w:proofErr w:type="spellEnd"/>
      <w:r w:rsidRPr="00EE6920">
        <w:rPr>
          <w:rFonts w:cstheme="minorHAnsi"/>
          <w:sz w:val="20"/>
          <w:szCs w:val="20"/>
          <w:lang w:val="en-US"/>
        </w:rPr>
        <w:t xml:space="preserve"> </w:t>
      </w:r>
      <w:r w:rsidRPr="00EE6920">
        <w:rPr>
          <w:rFonts w:cstheme="minorHAnsi"/>
          <w:sz w:val="20"/>
          <w:szCs w:val="20"/>
          <w:lang w:val="en-US"/>
        </w:rPr>
        <w:t>or positive diabetes risk score) were randomized to either placebo, 100 000 IU vitamin D2 (ergocalciferol) or 100 000 IU vitamin D3 (cholecalciferol),</w:t>
      </w:r>
      <w:r w:rsidRPr="00EE6920">
        <w:rPr>
          <w:rFonts w:cstheme="minorHAnsi"/>
          <w:sz w:val="20"/>
          <w:szCs w:val="20"/>
          <w:lang w:val="en-US"/>
        </w:rPr>
        <w:t xml:space="preserve"> </w:t>
      </w:r>
      <w:r w:rsidRPr="00EE6920">
        <w:rPr>
          <w:rFonts w:cstheme="minorHAnsi"/>
          <w:sz w:val="20"/>
          <w:szCs w:val="20"/>
          <w:lang w:val="en-US"/>
        </w:rPr>
        <w:t>orally administered monthly for 4months. The primary</w:t>
      </w:r>
      <w:r w:rsidRPr="00EE6920">
        <w:rPr>
          <w:rFonts w:cstheme="minorHAnsi"/>
          <w:sz w:val="20"/>
          <w:szCs w:val="20"/>
          <w:lang w:val="en-US"/>
        </w:rPr>
        <w:t xml:space="preserve"> outcome was change in glycated </w:t>
      </w:r>
      <w:proofErr w:type="spellStart"/>
      <w:r w:rsidRPr="00EE6920">
        <w:rPr>
          <w:rFonts w:cstheme="minorHAnsi"/>
          <w:sz w:val="20"/>
          <w:szCs w:val="20"/>
          <w:lang w:val="en-US"/>
        </w:rPr>
        <w:t>haemoglobin</w:t>
      </w:r>
      <w:proofErr w:type="spellEnd"/>
      <w:r w:rsidRPr="00EE6920">
        <w:rPr>
          <w:rFonts w:cstheme="minorHAnsi"/>
          <w:sz w:val="20"/>
          <w:szCs w:val="20"/>
          <w:lang w:val="en-US"/>
        </w:rPr>
        <w:t xml:space="preserve"> (HbA1c) between baseline and 4months, adjusted</w:t>
      </w:r>
      <w:r w:rsidRPr="00EE6920">
        <w:rPr>
          <w:rFonts w:cstheme="minorHAnsi"/>
          <w:sz w:val="20"/>
          <w:szCs w:val="20"/>
          <w:lang w:val="en-US"/>
        </w:rPr>
        <w:t xml:space="preserve"> </w:t>
      </w:r>
      <w:r w:rsidRPr="00EE6920">
        <w:rPr>
          <w:rFonts w:cstheme="minorHAnsi"/>
          <w:sz w:val="20"/>
          <w:szCs w:val="20"/>
          <w:lang w:val="en-US"/>
        </w:rPr>
        <w:t xml:space="preserve">for baseline. Secondary outcomes </w:t>
      </w:r>
      <w:r w:rsidRPr="00EE6920">
        <w:rPr>
          <w:rFonts w:cstheme="minorHAnsi"/>
          <w:sz w:val="20"/>
          <w:szCs w:val="20"/>
          <w:lang w:val="en-US"/>
        </w:rPr>
        <w:t xml:space="preserve">included: blood pressure; lipid </w:t>
      </w:r>
      <w:r w:rsidRPr="00EE6920">
        <w:rPr>
          <w:rFonts w:cstheme="minorHAnsi"/>
          <w:sz w:val="20"/>
          <w:szCs w:val="20"/>
          <w:lang w:val="en-US"/>
        </w:rPr>
        <w:t>levels; apolipoprotein levels; C-reactive protein levels; pulse wave velocity (PWV);</w:t>
      </w:r>
    </w:p>
    <w:p w14:paraId="5668AAD1" w14:textId="77777777" w:rsidR="00EE6920" w:rsidRPr="00EE6920" w:rsidRDefault="00EE6920" w:rsidP="00EE6920">
      <w:pPr>
        <w:autoSpaceDE w:val="0"/>
        <w:autoSpaceDN w:val="0"/>
        <w:adjustRightInd w:val="0"/>
        <w:rPr>
          <w:rFonts w:cstheme="minorHAnsi"/>
          <w:sz w:val="20"/>
          <w:szCs w:val="20"/>
          <w:lang w:val="en-US"/>
        </w:rPr>
      </w:pPr>
      <w:r w:rsidRPr="00EE6920">
        <w:rPr>
          <w:rFonts w:cstheme="minorHAnsi"/>
          <w:sz w:val="20"/>
          <w:szCs w:val="20"/>
          <w:lang w:val="en-US"/>
        </w:rPr>
        <w:t>anthropometric measures; and safety of the supplementation.</w:t>
      </w:r>
    </w:p>
    <w:p w14:paraId="18823B16" w14:textId="77777777" w:rsidR="00EE6920" w:rsidRPr="00EE6920" w:rsidRDefault="00EE6920" w:rsidP="00EE6920">
      <w:pPr>
        <w:autoSpaceDE w:val="0"/>
        <w:autoSpaceDN w:val="0"/>
        <w:adjustRightInd w:val="0"/>
        <w:rPr>
          <w:rFonts w:cstheme="minorHAnsi"/>
          <w:b/>
          <w:sz w:val="20"/>
          <w:szCs w:val="20"/>
          <w:lang w:val="en-US"/>
        </w:rPr>
      </w:pPr>
      <w:r w:rsidRPr="00EE6920">
        <w:rPr>
          <w:rFonts w:cstheme="minorHAnsi"/>
          <w:b/>
          <w:sz w:val="20"/>
          <w:szCs w:val="20"/>
          <w:lang w:val="en-US"/>
        </w:rPr>
        <w:t xml:space="preserve">Results: </w:t>
      </w:r>
    </w:p>
    <w:p w14:paraId="07F5ED01" w14:textId="70B32137" w:rsidR="00EE6920" w:rsidRPr="00EE6920" w:rsidRDefault="00EE6920" w:rsidP="00EE6920">
      <w:pPr>
        <w:autoSpaceDE w:val="0"/>
        <w:autoSpaceDN w:val="0"/>
        <w:adjustRightInd w:val="0"/>
        <w:rPr>
          <w:rFonts w:cstheme="minorHAnsi"/>
          <w:sz w:val="20"/>
          <w:szCs w:val="20"/>
          <w:lang w:val="en-US"/>
        </w:rPr>
      </w:pPr>
      <w:r w:rsidRPr="00EE6920">
        <w:rPr>
          <w:rFonts w:cstheme="minorHAnsi"/>
          <w:sz w:val="20"/>
          <w:szCs w:val="20"/>
          <w:lang w:val="en-US"/>
        </w:rPr>
        <w:t>The mean [standard deviation (</w:t>
      </w:r>
      <w:proofErr w:type="spellStart"/>
      <w:r w:rsidRPr="00EE6920">
        <w:rPr>
          <w:rFonts w:cstheme="minorHAnsi"/>
          <w:sz w:val="20"/>
          <w:szCs w:val="20"/>
          <w:lang w:val="en-US"/>
        </w:rPr>
        <w:t>s.d.</w:t>
      </w:r>
      <w:proofErr w:type="spellEnd"/>
      <w:r w:rsidRPr="00EE6920">
        <w:rPr>
          <w:rFonts w:cstheme="minorHAnsi"/>
          <w:sz w:val="20"/>
          <w:szCs w:val="20"/>
          <w:lang w:val="en-US"/>
        </w:rPr>
        <w:t>)] 25-hydroxyvitamin D [25(OH)D]2 concentration increased from 5.2 (4.1) to 53.9 (18.5) nmol/l in the D2</w:t>
      </w:r>
      <w:r w:rsidRPr="00EE6920">
        <w:rPr>
          <w:rFonts w:cstheme="minorHAnsi"/>
          <w:sz w:val="20"/>
          <w:szCs w:val="20"/>
          <w:lang w:val="en-US"/>
        </w:rPr>
        <w:t xml:space="preserve"> </w:t>
      </w:r>
      <w:r w:rsidRPr="00EE6920">
        <w:rPr>
          <w:rFonts w:cstheme="minorHAnsi"/>
          <w:sz w:val="20"/>
          <w:szCs w:val="20"/>
          <w:lang w:val="en-US"/>
        </w:rPr>
        <w:t>group, and the mean (</w:t>
      </w:r>
      <w:proofErr w:type="spellStart"/>
      <w:r w:rsidRPr="00EE6920">
        <w:rPr>
          <w:rFonts w:cstheme="minorHAnsi"/>
          <w:sz w:val="20"/>
          <w:szCs w:val="20"/>
          <w:lang w:val="en-US"/>
        </w:rPr>
        <w:t>s.d.</w:t>
      </w:r>
      <w:proofErr w:type="spellEnd"/>
      <w:r w:rsidRPr="00EE6920">
        <w:rPr>
          <w:rFonts w:cstheme="minorHAnsi"/>
          <w:sz w:val="20"/>
          <w:szCs w:val="20"/>
          <w:lang w:val="en-US"/>
        </w:rPr>
        <w:t>) 25(OH)D3 concentration increased from 45.8 (22.6) to 83.8 (22.7) nmol/l in the D3 group. There was no effect of vitamin D</w:t>
      </w:r>
      <w:r w:rsidRPr="00EE6920">
        <w:rPr>
          <w:rFonts w:cstheme="minorHAnsi"/>
          <w:sz w:val="20"/>
          <w:szCs w:val="20"/>
          <w:lang w:val="en-US"/>
        </w:rPr>
        <w:t xml:space="preserve"> </w:t>
      </w:r>
      <w:r w:rsidRPr="00EE6920">
        <w:rPr>
          <w:rFonts w:cstheme="minorHAnsi"/>
          <w:sz w:val="20"/>
          <w:szCs w:val="20"/>
          <w:lang w:val="en-US"/>
        </w:rPr>
        <w:t>supplementation on HbA1c: D2 versus placebo: −0.05% [95% confidence interval (CI) −0</w:t>
      </w:r>
      <w:r w:rsidRPr="00EE6920">
        <w:rPr>
          <w:rFonts w:cstheme="minorHAnsi"/>
          <w:sz w:val="20"/>
          <w:szCs w:val="20"/>
          <w:lang w:val="en-US"/>
        </w:rPr>
        <w:t xml:space="preserve">.11, 0.02] or </w:t>
      </w:r>
      <w:r w:rsidRPr="00EE6920">
        <w:rPr>
          <w:rFonts w:cstheme="minorHAnsi"/>
          <w:sz w:val="20"/>
          <w:szCs w:val="20"/>
          <w:lang w:val="en-US"/>
        </w:rPr>
        <w:t>−0.51 mmol/</w:t>
      </w:r>
      <w:proofErr w:type="spellStart"/>
      <w:r w:rsidRPr="00EE6920">
        <w:rPr>
          <w:rFonts w:cstheme="minorHAnsi"/>
          <w:sz w:val="20"/>
          <w:szCs w:val="20"/>
          <w:lang w:val="en-US"/>
        </w:rPr>
        <w:t>mol</w:t>
      </w:r>
      <w:proofErr w:type="spellEnd"/>
      <w:r w:rsidRPr="00EE6920">
        <w:rPr>
          <w:rFonts w:cstheme="minorHAnsi"/>
          <w:sz w:val="20"/>
          <w:szCs w:val="20"/>
          <w:lang w:val="en-US"/>
        </w:rPr>
        <w:t xml:space="preserve"> (95% CI −1.16, 0.14; p=0.13); D3</w:t>
      </w:r>
      <w:r w:rsidRPr="00EE6920">
        <w:rPr>
          <w:rFonts w:cstheme="minorHAnsi"/>
          <w:sz w:val="20"/>
          <w:szCs w:val="20"/>
          <w:lang w:val="en-US"/>
        </w:rPr>
        <w:t xml:space="preserve"> </w:t>
      </w:r>
      <w:r w:rsidRPr="00EE6920">
        <w:rPr>
          <w:rFonts w:cstheme="minorHAnsi"/>
          <w:sz w:val="20"/>
          <w:szCs w:val="20"/>
          <w:lang w:val="en-US"/>
        </w:rPr>
        <w:t>versus placebo: 0.02% (95% CI −0.04, 0.08) or 0.19 mmol/</w:t>
      </w:r>
      <w:proofErr w:type="spellStart"/>
      <w:r w:rsidRPr="00EE6920">
        <w:rPr>
          <w:rFonts w:cstheme="minorHAnsi"/>
          <w:sz w:val="20"/>
          <w:szCs w:val="20"/>
          <w:lang w:val="en-US"/>
        </w:rPr>
        <w:t>mol</w:t>
      </w:r>
      <w:proofErr w:type="spellEnd"/>
      <w:r w:rsidRPr="00EE6920">
        <w:rPr>
          <w:rFonts w:cstheme="minorHAnsi"/>
          <w:sz w:val="20"/>
          <w:szCs w:val="20"/>
          <w:lang w:val="en-US"/>
        </w:rPr>
        <w:t xml:space="preserve"> (95% CI −0.46, 0.83; p=0.57). There were no clinically meaningful effects on secondary</w:t>
      </w:r>
      <w:r w:rsidRPr="00EE6920">
        <w:rPr>
          <w:rFonts w:cstheme="minorHAnsi"/>
          <w:sz w:val="20"/>
          <w:szCs w:val="20"/>
          <w:lang w:val="en-US"/>
        </w:rPr>
        <w:t xml:space="preserve"> </w:t>
      </w:r>
      <w:r w:rsidRPr="00EE6920">
        <w:rPr>
          <w:rFonts w:cstheme="minorHAnsi"/>
          <w:sz w:val="20"/>
          <w:szCs w:val="20"/>
          <w:lang w:val="en-US"/>
        </w:rPr>
        <w:t xml:space="preserve">outcomes, except PWV [D2 versus placebo: −0.68 </w:t>
      </w:r>
      <w:r w:rsidRPr="00EE6920">
        <w:rPr>
          <w:rFonts w:cstheme="minorHAnsi"/>
          <w:sz w:val="20"/>
          <w:szCs w:val="20"/>
          <w:lang w:val="en-US"/>
        </w:rPr>
        <w:t xml:space="preserve">m/s </w:t>
      </w:r>
      <w:r w:rsidRPr="00EE6920">
        <w:rPr>
          <w:rFonts w:cstheme="minorHAnsi"/>
          <w:sz w:val="20"/>
          <w:szCs w:val="20"/>
          <w:lang w:val="en-US"/>
        </w:rPr>
        <w:t>(95% CI −1.31, −0.05); D3 versus placebo −0.73 m/s (95% CI −1.42, −0.03)]. No important safety</w:t>
      </w:r>
      <w:r w:rsidRPr="00EE6920">
        <w:rPr>
          <w:rFonts w:cstheme="minorHAnsi"/>
          <w:sz w:val="20"/>
          <w:szCs w:val="20"/>
          <w:lang w:val="en-US"/>
        </w:rPr>
        <w:t xml:space="preserve"> </w:t>
      </w:r>
      <w:r w:rsidRPr="00EE6920">
        <w:rPr>
          <w:rFonts w:cstheme="minorHAnsi"/>
          <w:sz w:val="20"/>
          <w:szCs w:val="20"/>
          <w:lang w:val="en-US"/>
        </w:rPr>
        <w:t>issues were identified.</w:t>
      </w:r>
    </w:p>
    <w:p w14:paraId="230E333E" w14:textId="77777777" w:rsidR="00EE6920" w:rsidRPr="00EE6920" w:rsidRDefault="00EE6920" w:rsidP="00EE6920">
      <w:pPr>
        <w:autoSpaceDE w:val="0"/>
        <w:autoSpaceDN w:val="0"/>
        <w:adjustRightInd w:val="0"/>
        <w:rPr>
          <w:rFonts w:cstheme="minorHAnsi"/>
          <w:b/>
          <w:sz w:val="20"/>
          <w:szCs w:val="20"/>
          <w:lang w:val="en-US"/>
        </w:rPr>
      </w:pPr>
      <w:r w:rsidRPr="00EE6920">
        <w:rPr>
          <w:rFonts w:cstheme="minorHAnsi"/>
          <w:b/>
          <w:sz w:val="20"/>
          <w:szCs w:val="20"/>
          <w:lang w:val="en-US"/>
        </w:rPr>
        <w:t xml:space="preserve">Conclusions: </w:t>
      </w:r>
    </w:p>
    <w:p w14:paraId="6B5D5880" w14:textId="301B4FEB" w:rsidR="003503F1" w:rsidRPr="00EE6920" w:rsidRDefault="00EE6920" w:rsidP="00EE6920">
      <w:pPr>
        <w:autoSpaceDE w:val="0"/>
        <w:autoSpaceDN w:val="0"/>
        <w:adjustRightInd w:val="0"/>
        <w:rPr>
          <w:rFonts w:cstheme="minorHAnsi"/>
          <w:sz w:val="20"/>
          <w:szCs w:val="20"/>
          <w:lang w:val="en-US"/>
        </w:rPr>
      </w:pPr>
      <w:r w:rsidRPr="00EE6920">
        <w:rPr>
          <w:rFonts w:cstheme="minorHAnsi"/>
          <w:sz w:val="20"/>
          <w:szCs w:val="20"/>
          <w:lang w:val="en-US"/>
        </w:rPr>
        <w:t>Short-term supplementation with vitamin D2 or D3 had no effect on HbA1c. The modest reduction in PWV with both D2 and D3 relative</w:t>
      </w:r>
      <w:r w:rsidRPr="00EE6920">
        <w:rPr>
          <w:rFonts w:cstheme="minorHAnsi"/>
          <w:sz w:val="20"/>
          <w:szCs w:val="20"/>
          <w:lang w:val="en-US"/>
        </w:rPr>
        <w:t xml:space="preserve"> </w:t>
      </w:r>
      <w:r w:rsidRPr="00EE6920">
        <w:rPr>
          <w:rFonts w:cstheme="minorHAnsi"/>
          <w:sz w:val="20"/>
          <w:szCs w:val="20"/>
          <w:lang w:val="en-US"/>
        </w:rPr>
        <w:t>to placebo suggests that vitamin D supplementation has a beneficial effect on arterial stiffness.</w:t>
      </w:r>
    </w:p>
    <w:sectPr w:rsidR="003503F1" w:rsidRPr="00EE6920" w:rsidSect="004540B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920"/>
    <w:rsid w:val="000314DD"/>
    <w:rsid w:val="000513B5"/>
    <w:rsid w:val="0007584F"/>
    <w:rsid w:val="000A5B41"/>
    <w:rsid w:val="000B2B91"/>
    <w:rsid w:val="000D79EA"/>
    <w:rsid w:val="00102B50"/>
    <w:rsid w:val="00106BA5"/>
    <w:rsid w:val="00120A7D"/>
    <w:rsid w:val="00126E0C"/>
    <w:rsid w:val="00130EA4"/>
    <w:rsid w:val="001657DE"/>
    <w:rsid w:val="0016686B"/>
    <w:rsid w:val="001752D3"/>
    <w:rsid w:val="00186443"/>
    <w:rsid w:val="001A04DB"/>
    <w:rsid w:val="001A1E7B"/>
    <w:rsid w:val="001E271C"/>
    <w:rsid w:val="00220D6E"/>
    <w:rsid w:val="00265BE0"/>
    <w:rsid w:val="00285522"/>
    <w:rsid w:val="002B4BAA"/>
    <w:rsid w:val="00316FE0"/>
    <w:rsid w:val="003503F1"/>
    <w:rsid w:val="003F2A72"/>
    <w:rsid w:val="00407972"/>
    <w:rsid w:val="004540B1"/>
    <w:rsid w:val="00482454"/>
    <w:rsid w:val="004B4FA4"/>
    <w:rsid w:val="005229BC"/>
    <w:rsid w:val="0054694F"/>
    <w:rsid w:val="00563CDC"/>
    <w:rsid w:val="00582324"/>
    <w:rsid w:val="005E4912"/>
    <w:rsid w:val="00600AB1"/>
    <w:rsid w:val="006314F0"/>
    <w:rsid w:val="00660E67"/>
    <w:rsid w:val="00661F2B"/>
    <w:rsid w:val="00672FF7"/>
    <w:rsid w:val="006B6C32"/>
    <w:rsid w:val="006C5CF8"/>
    <w:rsid w:val="006D012A"/>
    <w:rsid w:val="007000F3"/>
    <w:rsid w:val="00707380"/>
    <w:rsid w:val="00745352"/>
    <w:rsid w:val="00745D60"/>
    <w:rsid w:val="00783064"/>
    <w:rsid w:val="00791B86"/>
    <w:rsid w:val="007F146C"/>
    <w:rsid w:val="00800417"/>
    <w:rsid w:val="008151B3"/>
    <w:rsid w:val="00845FA3"/>
    <w:rsid w:val="00864F2E"/>
    <w:rsid w:val="008764C9"/>
    <w:rsid w:val="0088129A"/>
    <w:rsid w:val="008F725E"/>
    <w:rsid w:val="009274F7"/>
    <w:rsid w:val="0094473F"/>
    <w:rsid w:val="009A13E8"/>
    <w:rsid w:val="009A4889"/>
    <w:rsid w:val="009B6EB2"/>
    <w:rsid w:val="009D0CA2"/>
    <w:rsid w:val="00A16AEE"/>
    <w:rsid w:val="00A663B1"/>
    <w:rsid w:val="00A8311A"/>
    <w:rsid w:val="00AC35D3"/>
    <w:rsid w:val="00AD0836"/>
    <w:rsid w:val="00B068BD"/>
    <w:rsid w:val="00B11458"/>
    <w:rsid w:val="00B2288A"/>
    <w:rsid w:val="00B27A58"/>
    <w:rsid w:val="00B32ED8"/>
    <w:rsid w:val="00B807F4"/>
    <w:rsid w:val="00B946F9"/>
    <w:rsid w:val="00BA6FAB"/>
    <w:rsid w:val="00BE4509"/>
    <w:rsid w:val="00BF0A87"/>
    <w:rsid w:val="00CF33D6"/>
    <w:rsid w:val="00DA037B"/>
    <w:rsid w:val="00DA39FD"/>
    <w:rsid w:val="00E038F2"/>
    <w:rsid w:val="00E274FD"/>
    <w:rsid w:val="00E30586"/>
    <w:rsid w:val="00E60E90"/>
    <w:rsid w:val="00EA07E6"/>
    <w:rsid w:val="00EA7C6B"/>
    <w:rsid w:val="00EB00D5"/>
    <w:rsid w:val="00EC1B16"/>
    <w:rsid w:val="00EC5242"/>
    <w:rsid w:val="00ED0B68"/>
    <w:rsid w:val="00EE6920"/>
    <w:rsid w:val="00F24176"/>
    <w:rsid w:val="00F24680"/>
    <w:rsid w:val="00F53775"/>
    <w:rsid w:val="00F935B4"/>
    <w:rsid w:val="00FB1410"/>
    <w:rsid w:val="00FD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14A56D"/>
  <w15:chartTrackingRefBased/>
  <w15:docId w15:val="{1EA135ED-5D53-B849-AF54-456FD7E5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5B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5B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 Hitman</dc:creator>
  <cp:keywords/>
  <dc:description/>
  <cp:lastModifiedBy>GA Hitman</cp:lastModifiedBy>
  <cp:revision>1</cp:revision>
  <dcterms:created xsi:type="dcterms:W3CDTF">2018-08-28T11:24:00Z</dcterms:created>
  <dcterms:modified xsi:type="dcterms:W3CDTF">2018-08-28T11:31:00Z</dcterms:modified>
</cp:coreProperties>
</file>