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1E0" w:rsidRPr="009A1FB8" w:rsidRDefault="00FA51E0" w:rsidP="007056AA">
      <w:pPr>
        <w:jc w:val="both"/>
        <w:rPr>
          <w:rFonts w:ascii="Times New Roman" w:hAnsi="Times New Roman" w:cs="Times New Roman"/>
          <w:color w:val="333333"/>
          <w:sz w:val="24"/>
          <w:szCs w:val="24"/>
          <w:u w:val="single"/>
          <w:lang w:val="en-US"/>
        </w:rPr>
      </w:pPr>
      <w:r w:rsidRPr="00F00266">
        <w:rPr>
          <w:rFonts w:ascii="Times New Roman" w:hAnsi="Times New Roman" w:cs="Times New Roman"/>
          <w:color w:val="333333"/>
          <w:sz w:val="24"/>
          <w:szCs w:val="24"/>
          <w:u w:val="single"/>
          <w:lang w:val="en-US"/>
        </w:rPr>
        <w:t>Cytokines</w:t>
      </w:r>
      <w:r w:rsidRPr="009A1FB8">
        <w:rPr>
          <w:rFonts w:ascii="Times New Roman" w:hAnsi="Times New Roman" w:cs="Times New Roman"/>
          <w:color w:val="333333"/>
          <w:sz w:val="24"/>
          <w:szCs w:val="24"/>
          <w:u w:val="single"/>
          <w:lang w:val="en-US"/>
        </w:rPr>
        <w:t xml:space="preserve"> and Inflammatory Marker during Therapy in Major Depression with Celecoxib</w:t>
      </w:r>
    </w:p>
    <w:p w:rsidR="00FA51E0" w:rsidRPr="009A1FB8" w:rsidRDefault="00FA51E0" w:rsidP="007056A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A1FB8">
        <w:rPr>
          <w:rStyle w:val="label1"/>
          <w:rFonts w:ascii="Times New Roman" w:hAnsi="Times New Roman" w:cs="Times New Roman"/>
          <w:color w:val="333333"/>
          <w:sz w:val="24"/>
          <w:szCs w:val="24"/>
          <w:lang w:val="en-US"/>
        </w:rPr>
        <w:t>EudraCT</w:t>
      </w:r>
      <w:proofErr w:type="spellEnd"/>
      <w:r w:rsidRPr="009A1FB8">
        <w:rPr>
          <w:rStyle w:val="label1"/>
          <w:rFonts w:ascii="Times New Roman" w:hAnsi="Times New Roman" w:cs="Times New Roman"/>
          <w:color w:val="333333"/>
          <w:sz w:val="24"/>
          <w:szCs w:val="24"/>
          <w:lang w:val="en-US"/>
        </w:rPr>
        <w:t xml:space="preserve"> Number:</w:t>
      </w:r>
      <w:r w:rsidRPr="009A1FB8">
        <w:rPr>
          <w:rFonts w:ascii="Times New Roman" w:hAnsi="Times New Roman" w:cs="Times New Roman"/>
          <w:color w:val="333333"/>
          <w:sz w:val="24"/>
          <w:szCs w:val="24"/>
          <w:lang w:val="en-US"/>
        </w:rPr>
        <w:t xml:space="preserve"> 2009-011990-34</w:t>
      </w:r>
    </w:p>
    <w:p w:rsidR="00983561" w:rsidRDefault="00FA51E0" w:rsidP="007056A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FB8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C148F6" w:rsidRPr="009A1FB8">
        <w:rPr>
          <w:rFonts w:ascii="Times New Roman" w:hAnsi="Times New Roman" w:cs="Times New Roman"/>
          <w:sz w:val="24"/>
          <w:szCs w:val="24"/>
          <w:lang w:val="en-US"/>
        </w:rPr>
        <w:t>bjective:</w:t>
      </w:r>
      <w:r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148F6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D0AE2" w:rsidRPr="009A1FB8">
        <w:rPr>
          <w:rFonts w:ascii="Times New Roman" w:hAnsi="Times New Roman" w:cs="Times New Roman"/>
          <w:sz w:val="24"/>
          <w:szCs w:val="24"/>
          <w:lang w:val="en-US"/>
        </w:rPr>
        <w:t>Prior r</w:t>
      </w:r>
      <w:bookmarkStart w:id="0" w:name="_GoBack"/>
      <w:bookmarkEnd w:id="0"/>
      <w:r w:rsidR="00BD0AE2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esearch has investigated the effectiveness of anti-inflammatory treatment options in patients with mood disorders showing </w:t>
      </w:r>
      <w:r w:rsidR="00C00B47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overall </w:t>
      </w:r>
      <w:r w:rsidR="00BD0AE2" w:rsidRPr="009A1FB8">
        <w:rPr>
          <w:rFonts w:ascii="Times New Roman" w:hAnsi="Times New Roman" w:cs="Times New Roman"/>
          <w:sz w:val="24"/>
          <w:szCs w:val="24"/>
          <w:lang w:val="en-US"/>
        </w:rPr>
        <w:t>limited benefi</w:t>
      </w:r>
      <w:r w:rsidR="00C00B47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cial effects. Most studies have </w:t>
      </w:r>
      <w:r w:rsidR="00BD0AE2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neglected </w:t>
      </w:r>
      <w:r w:rsidR="00C00B47" w:rsidRPr="009A1FB8">
        <w:rPr>
          <w:rFonts w:ascii="Times New Roman" w:hAnsi="Times New Roman" w:cs="Times New Roman"/>
          <w:sz w:val="24"/>
          <w:szCs w:val="24"/>
          <w:lang w:val="en-US"/>
        </w:rPr>
        <w:t>the inflammatory status of these patients with regard to the fact that only a subgroup shows immune abnormalities</w:t>
      </w:r>
      <w:r w:rsidR="00BD0AE2" w:rsidRPr="009A1FB8">
        <w:rPr>
          <w:rFonts w:ascii="Times New Roman" w:hAnsi="Times New Roman" w:cs="Times New Roman"/>
          <w:sz w:val="24"/>
          <w:szCs w:val="24"/>
          <w:lang w:val="en-US"/>
        </w:rPr>
        <w:t>. We here aimed to</w:t>
      </w:r>
      <w:r w:rsidR="0058415F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investigate whether</w:t>
      </w:r>
      <w:r w:rsidR="00EA16B2" w:rsidRPr="009A1FB8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="00BD0AE2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levels of biomarkers related to inflammatory processes </w:t>
      </w:r>
      <w:r w:rsidR="00736B5E">
        <w:rPr>
          <w:rFonts w:ascii="Times New Roman" w:hAnsi="Times New Roman" w:cs="Times New Roman"/>
          <w:sz w:val="24"/>
          <w:szCs w:val="24"/>
          <w:lang w:val="en-US"/>
        </w:rPr>
        <w:t>are associated with</w:t>
      </w:r>
      <w:r w:rsidR="00C00B47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treatment response to standard SSRI and add-on celecoxib. </w:t>
      </w:r>
      <w:r w:rsidR="00BD0AE2" w:rsidRPr="009A1FB8">
        <w:rPr>
          <w:rFonts w:ascii="Times New Roman" w:hAnsi="Times New Roman" w:cs="Times New Roman"/>
          <w:sz w:val="24"/>
          <w:szCs w:val="24"/>
          <w:lang w:val="en-US"/>
        </w:rPr>
        <w:t>Therefore</w:t>
      </w:r>
      <w:r w:rsidR="00A96B5B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BD0AE2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we tested whether</w:t>
      </w:r>
      <w:r w:rsidR="001639A2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gramStart"/>
      <w:r w:rsidR="001639A2" w:rsidRPr="009A1FB8">
        <w:rPr>
          <w:rFonts w:ascii="Times New Roman" w:hAnsi="Times New Roman" w:cs="Times New Roman"/>
          <w:sz w:val="24"/>
          <w:szCs w:val="24"/>
          <w:lang w:val="en-US"/>
        </w:rPr>
        <w:t>monocyte gene expression</w:t>
      </w:r>
      <w:r w:rsidR="00EA16B2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signature</w:t>
      </w:r>
      <w:proofErr w:type="gramEnd"/>
      <w:r w:rsidR="0058415F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related to kynurenine pathway, serum levels of tryptophan</w:t>
      </w:r>
      <w:r w:rsidR="00DB171F" w:rsidRPr="009A1FB8">
        <w:rPr>
          <w:rFonts w:ascii="Times New Roman" w:hAnsi="Times New Roman" w:cs="Times New Roman"/>
          <w:sz w:val="24"/>
          <w:szCs w:val="24"/>
          <w:lang w:val="en-US"/>
        </w:rPr>
        <w:t>, kynurenine,</w:t>
      </w:r>
      <w:r w:rsidR="00A96B5B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736B5E" w:rsidRPr="009A1FB8">
        <w:rPr>
          <w:rFonts w:ascii="Times New Roman" w:hAnsi="Times New Roman" w:cs="Times New Roman"/>
          <w:sz w:val="24"/>
          <w:szCs w:val="24"/>
          <w:lang w:val="en-US"/>
        </w:rPr>
        <w:t>metabolites</w:t>
      </w:r>
      <w:r w:rsidR="00EA16B2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58415F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serum </w:t>
      </w:r>
      <w:r w:rsidR="00EA16B2" w:rsidRPr="009A1FB8">
        <w:rPr>
          <w:rFonts w:ascii="Times New Roman" w:hAnsi="Times New Roman" w:cs="Times New Roman"/>
          <w:sz w:val="24"/>
          <w:szCs w:val="24"/>
          <w:lang w:val="en-US"/>
        </w:rPr>
        <w:t>level</w:t>
      </w:r>
      <w:r w:rsidR="00C52B3E" w:rsidRPr="009A1FB8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58415F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CA451E" w:rsidRPr="009A1FB8">
        <w:rPr>
          <w:rFonts w:ascii="Times New Roman" w:hAnsi="Times New Roman" w:cs="Times New Roman"/>
          <w:sz w:val="24"/>
          <w:szCs w:val="24"/>
          <w:lang w:val="en-US"/>
        </w:rPr>
        <w:t>inflammatory markers</w:t>
      </w:r>
      <w:r w:rsidR="001639A2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characterize </w:t>
      </w:r>
      <w:r w:rsidR="00EA16B2" w:rsidRPr="009A1FB8">
        <w:rPr>
          <w:rFonts w:ascii="Times New Roman" w:hAnsi="Times New Roman" w:cs="Times New Roman"/>
          <w:sz w:val="24"/>
          <w:szCs w:val="24"/>
          <w:lang w:val="en-US"/>
        </w:rPr>
        <w:t>subgroup</w:t>
      </w:r>
      <w:r w:rsidR="001639A2" w:rsidRPr="009A1FB8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EA16B2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of patients with Major Depressive Disorder</w:t>
      </w:r>
      <w:r w:rsidR="00736B5E">
        <w:rPr>
          <w:rFonts w:ascii="Times New Roman" w:hAnsi="Times New Roman" w:cs="Times New Roman"/>
          <w:sz w:val="24"/>
          <w:szCs w:val="24"/>
          <w:lang w:val="en-US"/>
        </w:rPr>
        <w:t xml:space="preserve"> exhibiting differential</w:t>
      </w:r>
      <w:r w:rsidR="001639A2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52B3E" w:rsidRPr="009A1FB8">
        <w:rPr>
          <w:rFonts w:ascii="Times New Roman" w:hAnsi="Times New Roman" w:cs="Times New Roman"/>
          <w:sz w:val="24"/>
          <w:szCs w:val="24"/>
          <w:lang w:val="en-US"/>
        </w:rPr>
        <w:t>clinical</w:t>
      </w:r>
      <w:r w:rsidR="001639A2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52B3E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response </w:t>
      </w:r>
      <w:r w:rsidR="001639A2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to SSRI and SSRI plus celecoxib. </w:t>
      </w:r>
      <w:r w:rsidR="002C1480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983561" w:rsidRDefault="00C52B3E" w:rsidP="007056AA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  <w:r w:rsidRPr="009A1FB8">
        <w:rPr>
          <w:rFonts w:ascii="Times New Roman" w:hAnsi="Times New Roman" w:cs="Times New Roman"/>
          <w:sz w:val="24"/>
          <w:szCs w:val="24"/>
          <w:lang w:val="en-US"/>
        </w:rPr>
        <w:t>Methods: A</w:t>
      </w:r>
      <w:r w:rsidR="00C148F6" w:rsidRPr="009A1FB8">
        <w:rPr>
          <w:rFonts w:ascii="Times New Roman" w:hAnsi="Times New Roman" w:cs="Times New Roman"/>
          <w:sz w:val="24"/>
          <w:szCs w:val="24"/>
          <w:lang w:val="en-US"/>
        </w:rPr>
        <w:t>ll</w:t>
      </w:r>
      <w:r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participating</w:t>
      </w:r>
      <w:r w:rsidR="00C148F6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patients </w:t>
      </w:r>
      <w:r w:rsidR="00B67A70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underwent a </w:t>
      </w:r>
      <w:proofErr w:type="gramStart"/>
      <w:r w:rsidR="00B67A70" w:rsidRPr="009A1FB8">
        <w:rPr>
          <w:rFonts w:ascii="Times New Roman" w:hAnsi="Times New Roman" w:cs="Times New Roman"/>
          <w:sz w:val="24"/>
          <w:szCs w:val="24"/>
          <w:lang w:val="en-US"/>
        </w:rPr>
        <w:t>three day</w:t>
      </w:r>
      <w:proofErr w:type="gramEnd"/>
      <w:r w:rsidR="00B67A70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washout period prior to receiving sertraline plus placebo or sertraline plus celecoxib. Depression severity </w:t>
      </w:r>
      <w:proofErr w:type="gramStart"/>
      <w:r w:rsidR="00B67A70" w:rsidRPr="009A1FB8">
        <w:rPr>
          <w:rFonts w:ascii="Times New Roman" w:hAnsi="Times New Roman" w:cs="Times New Roman"/>
          <w:sz w:val="24"/>
          <w:szCs w:val="24"/>
          <w:lang w:val="en-US"/>
        </w:rPr>
        <w:t>was a</w:t>
      </w:r>
      <w:r w:rsidR="00736B5E">
        <w:rPr>
          <w:rFonts w:ascii="Times New Roman" w:hAnsi="Times New Roman" w:cs="Times New Roman"/>
          <w:sz w:val="24"/>
          <w:szCs w:val="24"/>
          <w:lang w:val="en-US"/>
        </w:rPr>
        <w:t>ssessed</w:t>
      </w:r>
      <w:proofErr w:type="gramEnd"/>
      <w:r w:rsidR="00736B5E">
        <w:rPr>
          <w:rFonts w:ascii="Times New Roman" w:hAnsi="Times New Roman" w:cs="Times New Roman"/>
          <w:sz w:val="24"/>
          <w:szCs w:val="24"/>
          <w:lang w:val="en-US"/>
        </w:rPr>
        <w:t xml:space="preserve"> by HAMD17 by trained</w:t>
      </w:r>
      <w:r w:rsidR="00B67A70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psychiatric raters. Patients were included if they were between 18 and 60 years old, </w:t>
      </w:r>
      <w:r w:rsidR="00F37892" w:rsidRPr="009A1FB8">
        <w:rPr>
          <w:rFonts w:ascii="Times New Roman" w:hAnsi="Times New Roman" w:cs="Times New Roman"/>
          <w:sz w:val="24"/>
          <w:szCs w:val="24"/>
          <w:lang w:val="en-US"/>
        </w:rPr>
        <w:t>had a DSM-IV TR diagnosed Major Depressive Disorder with a minimum HAMD17 score of 22. Additionally, exclusion criteria were psychiatric comorbidity or psychotropic drug use, acute suicidal tendency, treatment resistance, pregnant women or with altered hormonal</w:t>
      </w:r>
      <w:r w:rsidR="00736B5E">
        <w:rPr>
          <w:rFonts w:ascii="Times New Roman" w:hAnsi="Times New Roman" w:cs="Times New Roman"/>
          <w:sz w:val="24"/>
          <w:szCs w:val="24"/>
          <w:lang w:val="en-US"/>
        </w:rPr>
        <w:t xml:space="preserve"> balance, patients with cardiov</w:t>
      </w:r>
      <w:r w:rsidR="00F37892" w:rsidRPr="009A1FB8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736B5E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F37892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cular disturbances or inflammatory diseases, use of pain medication, drug intolerance, and recent treatment with MAO-inhibitors or fluoxetine. </w:t>
      </w:r>
      <w:proofErr w:type="gramStart"/>
      <w:r w:rsidR="005C4DB9" w:rsidRPr="009A1FB8">
        <w:rPr>
          <w:rFonts w:ascii="Times New Roman" w:hAnsi="Times New Roman" w:cs="Times New Roman"/>
          <w:sz w:val="24"/>
          <w:szCs w:val="24"/>
          <w:lang w:val="en-US"/>
        </w:rPr>
        <w:t>A total of 56</w:t>
      </w:r>
      <w:proofErr w:type="gramEnd"/>
      <w:r w:rsidR="005C4DB9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patients were e</w:t>
      </w:r>
      <w:r w:rsidR="00AC265A" w:rsidRPr="009A1FB8">
        <w:rPr>
          <w:rFonts w:ascii="Times New Roman" w:hAnsi="Times New Roman" w:cs="Times New Roman"/>
          <w:sz w:val="24"/>
          <w:szCs w:val="24"/>
          <w:lang w:val="en-US"/>
        </w:rPr>
        <w:t>nrolled in the study of which 7</w:t>
      </w:r>
      <w:r w:rsidR="005C4DB9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were excluded gradually due</w:t>
      </w:r>
      <w:r w:rsidR="00AC265A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to informed consent withdrawal and</w:t>
      </w:r>
      <w:r w:rsidR="005C4DB9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protocol</w:t>
      </w:r>
      <w:r w:rsidR="00AC265A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mistakes</w:t>
      </w:r>
      <w:r w:rsidR="005C4DB9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. Patients were </w:t>
      </w:r>
      <w:r w:rsidR="00736B5E" w:rsidRPr="009A1FB8">
        <w:rPr>
          <w:rFonts w:ascii="Times New Roman" w:hAnsi="Times New Roman" w:cs="Times New Roman"/>
          <w:sz w:val="24"/>
          <w:szCs w:val="24"/>
          <w:lang w:val="en-US"/>
        </w:rPr>
        <w:t>randomized</w:t>
      </w:r>
      <w:r w:rsidR="005C4DB9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E4DD8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into the </w:t>
      </w:r>
      <w:proofErr w:type="gramStart"/>
      <w:r w:rsidR="00FE4DD8" w:rsidRPr="009A1FB8">
        <w:rPr>
          <w:rFonts w:ascii="Times New Roman" w:hAnsi="Times New Roman" w:cs="Times New Roman"/>
          <w:sz w:val="24"/>
          <w:szCs w:val="24"/>
          <w:lang w:val="en-US"/>
        </w:rPr>
        <w:t>two</w:t>
      </w:r>
      <w:proofErr w:type="gramEnd"/>
      <w:r w:rsidR="00FE4DD8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treatment groups with daily medication of 50-100mg sertraline plus one capsule placebo </w:t>
      </w:r>
      <w:r w:rsidR="00AC265A" w:rsidRPr="009A1FB8">
        <w:rPr>
          <w:rFonts w:ascii="Times New Roman" w:hAnsi="Times New Roman" w:cs="Times New Roman"/>
          <w:sz w:val="24"/>
          <w:szCs w:val="24"/>
          <w:lang w:val="en-US"/>
        </w:rPr>
        <w:t>twice</w:t>
      </w:r>
      <w:r w:rsidR="00FE4DD8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and 50-100mg sertraline plus 200mg capsule celecoxib </w:t>
      </w:r>
      <w:r w:rsidR="00AC265A" w:rsidRPr="009A1FB8">
        <w:rPr>
          <w:rFonts w:ascii="Times New Roman" w:hAnsi="Times New Roman" w:cs="Times New Roman"/>
          <w:sz w:val="24"/>
          <w:szCs w:val="24"/>
          <w:lang w:val="en-US"/>
        </w:rPr>
        <w:t>twice</w:t>
      </w:r>
      <w:r w:rsidR="00FE4DD8" w:rsidRPr="009A1FB8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5744F6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Additional capsules were administered </w:t>
      </w:r>
      <w:proofErr w:type="gramStart"/>
      <w:r w:rsidR="005744F6" w:rsidRPr="009A1FB8">
        <w:rPr>
          <w:rFonts w:ascii="Times New Roman" w:hAnsi="Times New Roman" w:cs="Times New Roman"/>
          <w:sz w:val="24"/>
          <w:szCs w:val="24"/>
          <w:lang w:val="en-US"/>
        </w:rPr>
        <w:t>double-blind</w:t>
      </w:r>
      <w:proofErr w:type="gramEnd"/>
      <w:r w:rsidR="005744F6" w:rsidRPr="009A1FB8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F70891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Response </w:t>
      </w:r>
      <w:proofErr w:type="gramStart"/>
      <w:r w:rsidR="00F70891" w:rsidRPr="009A1FB8">
        <w:rPr>
          <w:rFonts w:ascii="Times New Roman" w:hAnsi="Times New Roman" w:cs="Times New Roman"/>
          <w:sz w:val="24"/>
          <w:szCs w:val="24"/>
          <w:lang w:val="en-US"/>
        </w:rPr>
        <w:t>was defined</w:t>
      </w:r>
      <w:proofErr w:type="gramEnd"/>
      <w:r w:rsidR="00F70891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by at least 50% HAMD17 score reduction</w:t>
      </w:r>
      <w:r w:rsidR="00D22C42">
        <w:rPr>
          <w:rFonts w:ascii="Times New Roman" w:hAnsi="Times New Roman" w:cs="Times New Roman"/>
          <w:sz w:val="24"/>
          <w:szCs w:val="24"/>
          <w:lang w:val="en-US"/>
        </w:rPr>
        <w:t xml:space="preserve"> at endpoint (week 6)</w:t>
      </w:r>
      <w:r w:rsidR="00F70891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as clinical outcome measure. </w:t>
      </w:r>
      <w:r w:rsidR="00DB171F" w:rsidRPr="009A1FB8">
        <w:rPr>
          <w:rFonts w:ascii="Times New Roman" w:hAnsi="Times New Roman" w:cs="Times New Roman"/>
          <w:sz w:val="24"/>
          <w:szCs w:val="24"/>
          <w:lang w:val="en-US"/>
        </w:rPr>
        <w:t>Monocyte gene expressions</w:t>
      </w:r>
      <w:r w:rsidR="001A7334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CA451E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IDO-1, KMO, KAT I, KAT II, TAF1) </w:t>
      </w:r>
      <w:r w:rsidR="00DB171F" w:rsidRPr="009A1FB8">
        <w:rPr>
          <w:rFonts w:ascii="Times New Roman" w:hAnsi="Times New Roman" w:cs="Times New Roman"/>
          <w:sz w:val="24"/>
          <w:szCs w:val="24"/>
          <w:lang w:val="en-US"/>
        </w:rPr>
        <w:t>were determined by qPCR, serum levels of tryptop</w:t>
      </w:r>
      <w:r w:rsidR="00A96B5B">
        <w:rPr>
          <w:rFonts w:ascii="Times New Roman" w:hAnsi="Times New Roman" w:cs="Times New Roman"/>
          <w:sz w:val="24"/>
          <w:szCs w:val="24"/>
          <w:lang w:val="en-US"/>
        </w:rPr>
        <w:t xml:space="preserve">han, kynurenine, and </w:t>
      </w:r>
      <w:r w:rsidR="00DB171F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metabolites </w:t>
      </w:r>
      <w:r w:rsidR="00CA451E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(TRP, 5-HIAA, KYN, KYNA, 3-HK, XA, 3-HAA, QUIN, PIC) </w:t>
      </w:r>
      <w:r w:rsidR="00DB171F" w:rsidRPr="009A1FB8">
        <w:rPr>
          <w:rFonts w:ascii="Times New Roman" w:hAnsi="Times New Roman" w:cs="Times New Roman"/>
          <w:sz w:val="24"/>
          <w:szCs w:val="24"/>
          <w:lang w:val="en-US"/>
        </w:rPr>
        <w:t>by chromatography, and serum lev</w:t>
      </w:r>
      <w:r w:rsidR="00CA451E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els of inflammatory markers (CRP, MMP9, IL-8, MIF, TNFR1, TNFR2, </w:t>
      </w:r>
      <w:proofErr w:type="spellStart"/>
      <w:r w:rsidR="00CA451E" w:rsidRPr="009A1FB8">
        <w:rPr>
          <w:rFonts w:ascii="Times New Roman" w:hAnsi="Times New Roman" w:cs="Times New Roman"/>
          <w:sz w:val="24"/>
          <w:szCs w:val="24"/>
          <w:lang w:val="en-US"/>
        </w:rPr>
        <w:t>Neopterin</w:t>
      </w:r>
      <w:proofErr w:type="spellEnd"/>
      <w:r w:rsidR="00CA451E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, IL-6, </w:t>
      </w:r>
      <w:proofErr w:type="spellStart"/>
      <w:r w:rsidR="00CA451E" w:rsidRPr="009A1FB8">
        <w:rPr>
          <w:rFonts w:ascii="Times New Roman" w:hAnsi="Times New Roman" w:cs="Times New Roman"/>
          <w:sz w:val="24"/>
          <w:szCs w:val="24"/>
          <w:lang w:val="en-US"/>
        </w:rPr>
        <w:t>TNFa</w:t>
      </w:r>
      <w:proofErr w:type="spellEnd"/>
      <w:r w:rsidR="00CA451E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CA451E" w:rsidRPr="009A1FB8">
        <w:rPr>
          <w:rFonts w:ascii="Times New Roman" w:hAnsi="Times New Roman" w:cs="Times New Roman"/>
          <w:sz w:val="24"/>
          <w:szCs w:val="24"/>
          <w:lang w:val="en-US"/>
        </w:rPr>
        <w:t>sICAM</w:t>
      </w:r>
      <w:proofErr w:type="spellEnd"/>
      <w:r w:rsidR="00CA451E" w:rsidRPr="009A1FB8">
        <w:rPr>
          <w:rFonts w:ascii="Times New Roman" w:hAnsi="Times New Roman" w:cs="Times New Roman"/>
          <w:sz w:val="24"/>
          <w:szCs w:val="24"/>
          <w:lang w:val="en-US"/>
        </w:rPr>
        <w:t>, CD163, MCP1, CD14)</w:t>
      </w:r>
      <w:r w:rsidR="00DB171F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by ELISA.</w:t>
      </w:r>
      <w:r w:rsidR="00F70891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A7334" w:rsidRPr="00D87054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9A1FB8" w:rsidRPr="00D87054">
        <w:rPr>
          <w:rFonts w:ascii="Times New Roman" w:hAnsi="Times New Roman" w:cs="Times New Roman"/>
          <w:sz w:val="24"/>
          <w:szCs w:val="24"/>
          <w:lang w:val="en-US"/>
        </w:rPr>
        <w:t>o t</w:t>
      </w:r>
      <w:r w:rsidR="001A7334" w:rsidRPr="00D87054">
        <w:rPr>
          <w:rFonts w:ascii="Times New Roman" w:hAnsi="Times New Roman" w:cs="Times New Roman"/>
          <w:sz w:val="24"/>
          <w:szCs w:val="24"/>
          <w:lang w:val="en-US"/>
        </w:rPr>
        <w:t xml:space="preserve">est </w:t>
      </w:r>
      <w:r w:rsidR="009A1FB8" w:rsidRPr="00D87054">
        <w:rPr>
          <w:rFonts w:ascii="Times New Roman" w:hAnsi="Times New Roman" w:cs="Times New Roman"/>
          <w:sz w:val="24"/>
          <w:szCs w:val="24"/>
          <w:lang w:val="en-US"/>
        </w:rPr>
        <w:t xml:space="preserve">for </w:t>
      </w:r>
      <w:proofErr w:type="gramStart"/>
      <w:r w:rsidR="009A1FB8" w:rsidRPr="00D87054">
        <w:rPr>
          <w:rFonts w:ascii="Times New Roman" w:hAnsi="Times New Roman" w:cs="Times New Roman"/>
          <w:sz w:val="24"/>
          <w:szCs w:val="24"/>
          <w:lang w:val="en-US"/>
        </w:rPr>
        <w:t>baseline monocyte gene expression</w:t>
      </w:r>
      <w:r w:rsidR="00D87054" w:rsidRPr="00D87054">
        <w:rPr>
          <w:rFonts w:ascii="Times New Roman" w:hAnsi="Times New Roman" w:cs="Times New Roman"/>
          <w:sz w:val="24"/>
          <w:szCs w:val="24"/>
          <w:lang w:val="en-US"/>
        </w:rPr>
        <w:t>s</w:t>
      </w:r>
      <w:proofErr w:type="gramEnd"/>
      <w:r w:rsidR="00D87054" w:rsidRPr="00D87054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9A1FB8" w:rsidRPr="00D87054">
        <w:rPr>
          <w:rFonts w:ascii="Times New Roman" w:hAnsi="Times New Roman" w:cs="Times New Roman"/>
          <w:sz w:val="24"/>
          <w:szCs w:val="24"/>
          <w:lang w:val="en-US"/>
        </w:rPr>
        <w:t xml:space="preserve">levels of </w:t>
      </w:r>
      <w:r w:rsidR="00D87054" w:rsidRPr="00D87054">
        <w:rPr>
          <w:rFonts w:ascii="Times New Roman" w:hAnsi="Times New Roman" w:cs="Times New Roman"/>
          <w:sz w:val="24"/>
          <w:szCs w:val="24"/>
          <w:lang w:val="en-US"/>
        </w:rPr>
        <w:t>related serum markers</w:t>
      </w:r>
      <w:r w:rsidR="009A1FB8" w:rsidRPr="00D87054">
        <w:rPr>
          <w:rFonts w:ascii="Times New Roman" w:hAnsi="Times New Roman" w:cs="Times New Roman"/>
          <w:sz w:val="24"/>
          <w:szCs w:val="24"/>
          <w:lang w:val="en-US"/>
        </w:rPr>
        <w:t xml:space="preserve"> in responders compared to</w:t>
      </w:r>
      <w:r w:rsidR="001A7334" w:rsidRPr="00D87054">
        <w:rPr>
          <w:rFonts w:ascii="Times New Roman" w:hAnsi="Times New Roman" w:cs="Times New Roman"/>
          <w:sz w:val="24"/>
          <w:szCs w:val="24"/>
          <w:lang w:val="en-US"/>
        </w:rPr>
        <w:t xml:space="preserve"> non-re</w:t>
      </w:r>
      <w:r w:rsidR="009A1FB8" w:rsidRPr="00D87054">
        <w:rPr>
          <w:rFonts w:ascii="Times New Roman" w:hAnsi="Times New Roman" w:cs="Times New Roman"/>
          <w:sz w:val="24"/>
          <w:szCs w:val="24"/>
          <w:lang w:val="en-US"/>
        </w:rPr>
        <w:t xml:space="preserve">sponders univariate general linear models were used, separately for each treatment arm. </w:t>
      </w:r>
      <w:r w:rsidR="00B9673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245803" w:rsidRPr="00D87054">
        <w:rPr>
          <w:rFonts w:ascii="Times New Roman" w:hAnsi="Times New Roman" w:cs="Times New Roman"/>
          <w:sz w:val="24"/>
          <w:szCs w:val="24"/>
          <w:lang w:val="en-US"/>
        </w:rPr>
        <w:t>ifferences between responders and n</w:t>
      </w:r>
      <w:r w:rsidR="00CA451E" w:rsidRPr="00D87054">
        <w:rPr>
          <w:rFonts w:ascii="Times New Roman" w:hAnsi="Times New Roman" w:cs="Times New Roman"/>
          <w:sz w:val="24"/>
          <w:szCs w:val="24"/>
          <w:lang w:val="en-US"/>
        </w:rPr>
        <w:t>on-responders for serum inflammatory marker</w:t>
      </w:r>
      <w:r w:rsidR="00245803" w:rsidRPr="00D87054">
        <w:rPr>
          <w:rFonts w:ascii="Times New Roman" w:hAnsi="Times New Roman" w:cs="Times New Roman"/>
          <w:sz w:val="24"/>
          <w:szCs w:val="24"/>
          <w:lang w:val="en-US"/>
        </w:rPr>
        <w:t xml:space="preserve"> levels </w:t>
      </w:r>
      <w:proofErr w:type="gramStart"/>
      <w:r w:rsidR="00245803" w:rsidRPr="00D87054">
        <w:rPr>
          <w:rFonts w:ascii="Times New Roman" w:hAnsi="Times New Roman" w:cs="Times New Roman"/>
          <w:sz w:val="24"/>
          <w:szCs w:val="24"/>
          <w:lang w:val="en-US"/>
        </w:rPr>
        <w:t>were calculated</w:t>
      </w:r>
      <w:proofErr w:type="gramEnd"/>
      <w:r w:rsidR="00245803" w:rsidRPr="00D87054">
        <w:rPr>
          <w:rFonts w:ascii="Times New Roman" w:hAnsi="Times New Roman" w:cs="Times New Roman"/>
          <w:sz w:val="24"/>
          <w:szCs w:val="24"/>
          <w:lang w:val="en-US"/>
        </w:rPr>
        <w:t xml:space="preserve"> by</w:t>
      </w:r>
      <w:r w:rsidR="00CA451E" w:rsidRPr="00D8705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A7334" w:rsidRPr="00D87054">
        <w:rPr>
          <w:rFonts w:ascii="Times New Roman" w:hAnsi="Times New Roman" w:cs="Times New Roman"/>
          <w:sz w:val="24"/>
          <w:szCs w:val="24"/>
          <w:lang w:val="en-US"/>
        </w:rPr>
        <w:t>wilcoxon</w:t>
      </w:r>
      <w:proofErr w:type="spellEnd"/>
      <w:r w:rsidR="001A7334" w:rsidRPr="00D87054">
        <w:rPr>
          <w:rFonts w:ascii="Times New Roman" w:hAnsi="Times New Roman" w:cs="Times New Roman"/>
          <w:sz w:val="24"/>
          <w:szCs w:val="24"/>
          <w:lang w:val="en-US"/>
        </w:rPr>
        <w:t xml:space="preserve"> t</w:t>
      </w:r>
      <w:r w:rsidR="00D87054" w:rsidRPr="00D87054">
        <w:rPr>
          <w:rFonts w:ascii="Times New Roman" w:hAnsi="Times New Roman" w:cs="Times New Roman"/>
          <w:sz w:val="24"/>
          <w:szCs w:val="24"/>
          <w:lang w:val="en-US"/>
        </w:rPr>
        <w:t xml:space="preserve">est. </w:t>
      </w:r>
    </w:p>
    <w:p w:rsidR="00715B77" w:rsidRDefault="007A5430" w:rsidP="007056A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Results: </w:t>
      </w:r>
      <w:r w:rsidR="0016142A">
        <w:rPr>
          <w:rFonts w:ascii="Times New Roman" w:hAnsi="Times New Roman" w:cs="Times New Roman"/>
          <w:sz w:val="24"/>
          <w:szCs w:val="24"/>
          <w:lang w:val="en-US"/>
        </w:rPr>
        <w:t xml:space="preserve">There were no significant differences between responders (N=13) and non-responders (N=7) regarding monocyte gene expression in the sertraline only group. However, non-responders </w:t>
      </w:r>
      <w:r w:rsidR="007D2260">
        <w:rPr>
          <w:rFonts w:ascii="Times New Roman" w:hAnsi="Times New Roman" w:cs="Times New Roman"/>
          <w:sz w:val="24"/>
          <w:szCs w:val="24"/>
          <w:lang w:val="en-US"/>
        </w:rPr>
        <w:t xml:space="preserve">(N=4) </w:t>
      </w:r>
      <w:r w:rsidR="0016142A">
        <w:rPr>
          <w:rFonts w:ascii="Times New Roman" w:hAnsi="Times New Roman" w:cs="Times New Roman"/>
          <w:sz w:val="24"/>
          <w:szCs w:val="24"/>
          <w:lang w:val="en-US"/>
        </w:rPr>
        <w:t>showed higher IDO-1 expression compared to responders</w:t>
      </w:r>
      <w:r w:rsidR="007D2260">
        <w:rPr>
          <w:rFonts w:ascii="Times New Roman" w:hAnsi="Times New Roman" w:cs="Times New Roman"/>
          <w:sz w:val="24"/>
          <w:szCs w:val="24"/>
          <w:lang w:val="en-US"/>
        </w:rPr>
        <w:t xml:space="preserve"> (N=16)</w:t>
      </w:r>
      <w:r w:rsidR="0016142A">
        <w:rPr>
          <w:rFonts w:ascii="Times New Roman" w:hAnsi="Times New Roman" w:cs="Times New Roman"/>
          <w:sz w:val="24"/>
          <w:szCs w:val="24"/>
          <w:lang w:val="en-US"/>
        </w:rPr>
        <w:t xml:space="preserve"> in the add-on celecoxib group (p=0.018; F=7.341; CI 95%</w:t>
      </w:r>
      <w:r w:rsidR="00542A0E">
        <w:rPr>
          <w:rFonts w:ascii="Times New Roman" w:hAnsi="Times New Roman" w:cs="Times New Roman"/>
          <w:sz w:val="24"/>
          <w:szCs w:val="24"/>
          <w:lang w:val="en-US"/>
        </w:rPr>
        <w:t xml:space="preserve"> two-sided</w:t>
      </w:r>
      <w:r w:rsidR="0016142A">
        <w:rPr>
          <w:rFonts w:ascii="Times New Roman" w:hAnsi="Times New Roman" w:cs="Times New Roman"/>
          <w:sz w:val="24"/>
          <w:szCs w:val="24"/>
          <w:lang w:val="en-US"/>
        </w:rPr>
        <w:t>).</w:t>
      </w:r>
      <w:r w:rsidR="00542A0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22C42">
        <w:rPr>
          <w:rFonts w:ascii="Times New Roman" w:hAnsi="Times New Roman" w:cs="Times New Roman"/>
          <w:sz w:val="24"/>
          <w:szCs w:val="24"/>
          <w:lang w:val="en-US"/>
        </w:rPr>
        <w:t>Responders</w:t>
      </w:r>
      <w:r w:rsidR="007D2260">
        <w:rPr>
          <w:rFonts w:ascii="Times New Roman" w:hAnsi="Times New Roman" w:cs="Times New Roman"/>
          <w:sz w:val="24"/>
          <w:szCs w:val="24"/>
          <w:lang w:val="en-US"/>
        </w:rPr>
        <w:t xml:space="preserve"> (N=15)</w:t>
      </w:r>
      <w:r w:rsidR="00D22C42">
        <w:rPr>
          <w:rFonts w:ascii="Times New Roman" w:hAnsi="Times New Roman" w:cs="Times New Roman"/>
          <w:sz w:val="24"/>
          <w:szCs w:val="24"/>
          <w:lang w:val="en-US"/>
        </w:rPr>
        <w:t xml:space="preserve"> to sertraline </w:t>
      </w:r>
      <w:r w:rsidR="007D2260">
        <w:rPr>
          <w:rFonts w:ascii="Times New Roman" w:hAnsi="Times New Roman" w:cs="Times New Roman"/>
          <w:sz w:val="24"/>
          <w:szCs w:val="24"/>
          <w:lang w:val="en-US"/>
        </w:rPr>
        <w:t xml:space="preserve">only </w:t>
      </w:r>
      <w:r w:rsidR="00D22C42">
        <w:rPr>
          <w:rFonts w:ascii="Times New Roman" w:hAnsi="Times New Roman" w:cs="Times New Roman"/>
          <w:sz w:val="24"/>
          <w:szCs w:val="24"/>
          <w:lang w:val="en-US"/>
        </w:rPr>
        <w:t>showed lower levels only for 3-HK compared to non-responders (</w:t>
      </w:r>
      <w:r w:rsidR="007D2260">
        <w:rPr>
          <w:rFonts w:ascii="Times New Roman" w:hAnsi="Times New Roman" w:cs="Times New Roman"/>
          <w:sz w:val="24"/>
          <w:szCs w:val="24"/>
          <w:lang w:val="en-US"/>
        </w:rPr>
        <w:t>N=</w:t>
      </w:r>
      <w:proofErr w:type="gramStart"/>
      <w:r w:rsidR="007D2260">
        <w:rPr>
          <w:rFonts w:ascii="Times New Roman" w:hAnsi="Times New Roman" w:cs="Times New Roman"/>
          <w:sz w:val="24"/>
          <w:szCs w:val="24"/>
          <w:lang w:val="en-US"/>
        </w:rPr>
        <w:t>8</w:t>
      </w:r>
      <w:proofErr w:type="gramEnd"/>
      <w:r w:rsidR="007D2260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="00D22C42">
        <w:rPr>
          <w:rFonts w:ascii="Times New Roman" w:hAnsi="Times New Roman" w:cs="Times New Roman"/>
          <w:sz w:val="24"/>
          <w:szCs w:val="24"/>
          <w:lang w:val="en-US"/>
        </w:rPr>
        <w:t>p=0.0</w:t>
      </w:r>
      <w:r w:rsidR="007D2260">
        <w:rPr>
          <w:rFonts w:ascii="Times New Roman" w:hAnsi="Times New Roman" w:cs="Times New Roman"/>
          <w:sz w:val="24"/>
          <w:szCs w:val="24"/>
          <w:lang w:val="en-US"/>
        </w:rPr>
        <w:t xml:space="preserve">39; F=5.043; CI 95% two-sided). No significances emerged in the add-on celecoxib group between responders (N=18) and non-responders (N=6). </w:t>
      </w:r>
      <w:r w:rsidR="00001CE8" w:rsidRPr="00983561">
        <w:rPr>
          <w:rFonts w:ascii="Times New Roman" w:hAnsi="Times New Roman" w:cs="Times New Roman"/>
          <w:sz w:val="24"/>
          <w:szCs w:val="24"/>
          <w:lang w:val="en-US"/>
        </w:rPr>
        <w:t>Responder</w:t>
      </w:r>
      <w:r w:rsidR="007F6E8C" w:rsidRPr="00983561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001CE8" w:rsidRPr="00983561">
        <w:rPr>
          <w:rFonts w:ascii="Times New Roman" w:hAnsi="Times New Roman" w:cs="Times New Roman"/>
          <w:sz w:val="24"/>
          <w:szCs w:val="24"/>
          <w:lang w:val="en-US"/>
        </w:rPr>
        <w:t xml:space="preserve"> (N=</w:t>
      </w:r>
      <w:r w:rsidR="00983561" w:rsidRPr="00983561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001CE8" w:rsidRPr="00983561">
        <w:rPr>
          <w:rFonts w:ascii="Times New Roman" w:hAnsi="Times New Roman" w:cs="Times New Roman"/>
          <w:sz w:val="24"/>
          <w:szCs w:val="24"/>
          <w:lang w:val="en-US"/>
        </w:rPr>
        <w:t>) compared to non-responders (N=</w:t>
      </w:r>
      <w:r w:rsidR="00983561" w:rsidRPr="00983561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001CE8" w:rsidRPr="00983561">
        <w:rPr>
          <w:rFonts w:ascii="Times New Roman" w:hAnsi="Times New Roman" w:cs="Times New Roman"/>
          <w:sz w:val="24"/>
          <w:szCs w:val="24"/>
          <w:lang w:val="en-US"/>
        </w:rPr>
        <w:t>) in the sertraline only group</w:t>
      </w:r>
      <w:r w:rsidR="007F6E8C" w:rsidRPr="00983561">
        <w:rPr>
          <w:rFonts w:ascii="Times New Roman" w:hAnsi="Times New Roman" w:cs="Times New Roman"/>
          <w:sz w:val="24"/>
          <w:szCs w:val="24"/>
          <w:lang w:val="en-US"/>
        </w:rPr>
        <w:t xml:space="preserve"> showed a</w:t>
      </w:r>
      <w:r w:rsidR="00001CE8" w:rsidRPr="00983561">
        <w:rPr>
          <w:rFonts w:ascii="Times New Roman" w:hAnsi="Times New Roman" w:cs="Times New Roman"/>
          <w:sz w:val="24"/>
          <w:szCs w:val="24"/>
          <w:lang w:val="en-US"/>
        </w:rPr>
        <w:t xml:space="preserve"> trend for </w:t>
      </w:r>
      <w:r w:rsidR="00983561" w:rsidRPr="00983561">
        <w:rPr>
          <w:rFonts w:ascii="Times New Roman" w:hAnsi="Times New Roman" w:cs="Times New Roman"/>
          <w:sz w:val="24"/>
          <w:szCs w:val="24"/>
          <w:lang w:val="en-US"/>
        </w:rPr>
        <w:t xml:space="preserve">lower </w:t>
      </w:r>
      <w:r w:rsidR="00001CE8">
        <w:rPr>
          <w:rFonts w:ascii="Times New Roman" w:hAnsi="Times New Roman" w:cs="Times New Roman"/>
          <w:sz w:val="24"/>
          <w:szCs w:val="24"/>
          <w:lang w:val="en-US"/>
        </w:rPr>
        <w:t>Il-8</w:t>
      </w:r>
      <w:r w:rsidR="00983561">
        <w:rPr>
          <w:rFonts w:ascii="Times New Roman" w:hAnsi="Times New Roman" w:cs="Times New Roman"/>
          <w:sz w:val="24"/>
          <w:szCs w:val="24"/>
          <w:lang w:val="en-US"/>
        </w:rPr>
        <w:t xml:space="preserve"> levels at baseline</w:t>
      </w:r>
      <w:r w:rsidR="00001CE8">
        <w:rPr>
          <w:rFonts w:ascii="Times New Roman" w:hAnsi="Times New Roman" w:cs="Times New Roman"/>
          <w:sz w:val="24"/>
          <w:szCs w:val="24"/>
          <w:lang w:val="en-US"/>
        </w:rPr>
        <w:t xml:space="preserve"> (p=0.08; W=25; CI 95% two-sided)</w:t>
      </w:r>
      <w:r w:rsidR="00983561">
        <w:rPr>
          <w:rFonts w:ascii="Times New Roman" w:hAnsi="Times New Roman" w:cs="Times New Roman"/>
          <w:sz w:val="24"/>
          <w:szCs w:val="24"/>
          <w:lang w:val="en-US"/>
        </w:rPr>
        <w:t xml:space="preserve">. In the same group, responders (N= 15) also showed a trend for lower baseline </w:t>
      </w:r>
      <w:r w:rsidR="00001CE8">
        <w:rPr>
          <w:rFonts w:ascii="Times New Roman" w:hAnsi="Times New Roman" w:cs="Times New Roman"/>
          <w:sz w:val="24"/>
          <w:szCs w:val="24"/>
          <w:lang w:val="en-US"/>
        </w:rPr>
        <w:t>MIF</w:t>
      </w:r>
      <w:r w:rsidR="00983561">
        <w:rPr>
          <w:rFonts w:ascii="Times New Roman" w:hAnsi="Times New Roman" w:cs="Times New Roman"/>
          <w:sz w:val="24"/>
          <w:szCs w:val="24"/>
          <w:lang w:val="en-US"/>
        </w:rPr>
        <w:t xml:space="preserve"> levels compared to non-responders (N=</w:t>
      </w:r>
      <w:proofErr w:type="gramStart"/>
      <w:r w:rsidR="00983561">
        <w:rPr>
          <w:rFonts w:ascii="Times New Roman" w:hAnsi="Times New Roman" w:cs="Times New Roman"/>
          <w:sz w:val="24"/>
          <w:szCs w:val="24"/>
          <w:lang w:val="en-US"/>
        </w:rPr>
        <w:t>8</w:t>
      </w:r>
      <w:proofErr w:type="gramEnd"/>
      <w:r w:rsidR="00983561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="00001CE8">
        <w:rPr>
          <w:rFonts w:ascii="Times New Roman" w:hAnsi="Times New Roman" w:cs="Times New Roman"/>
          <w:sz w:val="24"/>
          <w:szCs w:val="24"/>
          <w:lang w:val="en-US"/>
        </w:rPr>
        <w:t>p=0.06; W=151; CI 95% two-</w:t>
      </w:r>
      <w:r w:rsidR="00001CE8">
        <w:rPr>
          <w:rFonts w:ascii="Times New Roman" w:hAnsi="Times New Roman" w:cs="Times New Roman"/>
          <w:sz w:val="24"/>
          <w:szCs w:val="24"/>
          <w:lang w:val="en-US"/>
        </w:rPr>
        <w:lastRenderedPageBreak/>
        <w:t>sided).</w:t>
      </w:r>
      <w:r w:rsidR="007F6E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F6E8C" w:rsidRPr="00983561">
        <w:rPr>
          <w:rFonts w:ascii="Times New Roman" w:hAnsi="Times New Roman" w:cs="Times New Roman"/>
          <w:sz w:val="24"/>
          <w:szCs w:val="24"/>
          <w:lang w:val="en-US"/>
        </w:rPr>
        <w:t>Responders (N=</w:t>
      </w:r>
      <w:r w:rsidR="00983561" w:rsidRPr="00983561">
        <w:rPr>
          <w:rFonts w:ascii="Times New Roman" w:hAnsi="Times New Roman" w:cs="Times New Roman"/>
          <w:sz w:val="24"/>
          <w:szCs w:val="24"/>
          <w:lang w:val="en-US"/>
        </w:rPr>
        <w:t>13</w:t>
      </w:r>
      <w:r w:rsidR="007F6E8C" w:rsidRPr="00983561">
        <w:rPr>
          <w:rFonts w:ascii="Times New Roman" w:hAnsi="Times New Roman" w:cs="Times New Roman"/>
          <w:sz w:val="24"/>
          <w:szCs w:val="24"/>
          <w:lang w:val="en-US"/>
        </w:rPr>
        <w:t>) compared to non-responders (N=</w:t>
      </w:r>
      <w:r w:rsidR="00983561" w:rsidRPr="00983561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7F6E8C" w:rsidRPr="00983561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7F6E8C">
        <w:rPr>
          <w:rFonts w:ascii="Times New Roman" w:hAnsi="Times New Roman" w:cs="Times New Roman"/>
          <w:sz w:val="24"/>
          <w:szCs w:val="24"/>
          <w:lang w:val="en-US"/>
        </w:rPr>
        <w:t>in the add-on celecoxib group showed a trend</w:t>
      </w:r>
      <w:r w:rsidR="0098356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F6E8C">
        <w:rPr>
          <w:rFonts w:ascii="Times New Roman" w:hAnsi="Times New Roman" w:cs="Times New Roman"/>
          <w:sz w:val="24"/>
          <w:szCs w:val="24"/>
          <w:lang w:val="en-US"/>
        </w:rPr>
        <w:t xml:space="preserve">for </w:t>
      </w:r>
      <w:r w:rsidR="00983561">
        <w:rPr>
          <w:rFonts w:ascii="Times New Roman" w:hAnsi="Times New Roman" w:cs="Times New Roman"/>
          <w:sz w:val="24"/>
          <w:szCs w:val="24"/>
          <w:lang w:val="en-US"/>
        </w:rPr>
        <w:t xml:space="preserve">higher baseline </w:t>
      </w:r>
      <w:r w:rsidR="007F6E8C">
        <w:rPr>
          <w:rFonts w:ascii="Times New Roman" w:hAnsi="Times New Roman" w:cs="Times New Roman"/>
          <w:sz w:val="24"/>
          <w:szCs w:val="24"/>
          <w:lang w:val="en-US"/>
        </w:rPr>
        <w:t xml:space="preserve">MIF </w:t>
      </w:r>
      <w:r w:rsidR="00983561">
        <w:rPr>
          <w:rFonts w:ascii="Times New Roman" w:hAnsi="Times New Roman" w:cs="Times New Roman"/>
          <w:sz w:val="24"/>
          <w:szCs w:val="24"/>
          <w:lang w:val="en-US"/>
        </w:rPr>
        <w:t xml:space="preserve">levels </w:t>
      </w:r>
      <w:r w:rsidR="007F6E8C">
        <w:rPr>
          <w:rFonts w:ascii="Times New Roman" w:hAnsi="Times New Roman" w:cs="Times New Roman"/>
          <w:sz w:val="24"/>
          <w:szCs w:val="24"/>
          <w:lang w:val="en-US"/>
        </w:rPr>
        <w:t>(p=0.07; W=38;</w:t>
      </w:r>
      <w:r w:rsidR="007F6E8C" w:rsidRPr="007F6E8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F6E8C">
        <w:rPr>
          <w:rFonts w:ascii="Times New Roman" w:hAnsi="Times New Roman" w:cs="Times New Roman"/>
          <w:sz w:val="24"/>
          <w:szCs w:val="24"/>
          <w:lang w:val="en-US"/>
        </w:rPr>
        <w:t>CI 95% two-sided)</w:t>
      </w:r>
      <w:r w:rsidR="00583803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2C1480" w:rsidRPr="00D22C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7A5430" w:rsidRPr="00A80CDF" w:rsidRDefault="00715B77" w:rsidP="007056AA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7A5430" w:rsidRPr="009A1FB8">
        <w:rPr>
          <w:rFonts w:ascii="Times New Roman" w:hAnsi="Times New Roman" w:cs="Times New Roman"/>
          <w:sz w:val="24"/>
          <w:szCs w:val="24"/>
          <w:lang w:val="en-US"/>
        </w:rPr>
        <w:t>onclusions</w:t>
      </w:r>
      <w:r w:rsidR="00C00B47" w:rsidRPr="009A1FB8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EE3592">
        <w:rPr>
          <w:rFonts w:ascii="Times New Roman" w:hAnsi="Times New Roman" w:cs="Times New Roman"/>
          <w:sz w:val="24"/>
          <w:szCs w:val="24"/>
          <w:lang w:val="en-US"/>
        </w:rPr>
        <w:t xml:space="preserve">Non-responders to add-on anti-inflammatory </w:t>
      </w:r>
      <w:r w:rsidR="006D6688">
        <w:rPr>
          <w:rFonts w:ascii="Times New Roman" w:hAnsi="Times New Roman" w:cs="Times New Roman"/>
          <w:sz w:val="24"/>
          <w:szCs w:val="24"/>
          <w:lang w:val="en-US"/>
        </w:rPr>
        <w:t>treatment ha</w:t>
      </w:r>
      <w:r w:rsidR="00EE3592">
        <w:rPr>
          <w:rFonts w:ascii="Times New Roman" w:hAnsi="Times New Roman" w:cs="Times New Roman"/>
          <w:sz w:val="24"/>
          <w:szCs w:val="24"/>
          <w:lang w:val="en-US"/>
        </w:rPr>
        <w:t>d higher IDO-1 levels th</w:t>
      </w:r>
      <w:r w:rsidR="002247BF">
        <w:rPr>
          <w:rFonts w:ascii="Times New Roman" w:hAnsi="Times New Roman" w:cs="Times New Roman"/>
          <w:sz w:val="24"/>
          <w:szCs w:val="24"/>
          <w:lang w:val="en-US"/>
        </w:rPr>
        <w:t>an responders showing that higher inflammation associated</w:t>
      </w:r>
      <w:r w:rsidR="00EE3592">
        <w:rPr>
          <w:rFonts w:ascii="Times New Roman" w:hAnsi="Times New Roman" w:cs="Times New Roman"/>
          <w:sz w:val="24"/>
          <w:szCs w:val="24"/>
          <w:lang w:val="en-US"/>
        </w:rPr>
        <w:t xml:space="preserve"> activation </w:t>
      </w:r>
      <w:r w:rsidR="002247BF">
        <w:rPr>
          <w:rFonts w:ascii="Times New Roman" w:hAnsi="Times New Roman" w:cs="Times New Roman"/>
          <w:sz w:val="24"/>
          <w:szCs w:val="24"/>
          <w:lang w:val="en-US"/>
        </w:rPr>
        <w:t xml:space="preserve">of monocyte gene expression indicates </w:t>
      </w:r>
      <w:r w:rsidR="00EE3592">
        <w:rPr>
          <w:rFonts w:ascii="Times New Roman" w:hAnsi="Times New Roman" w:cs="Times New Roman"/>
          <w:sz w:val="24"/>
          <w:szCs w:val="24"/>
          <w:lang w:val="en-US"/>
        </w:rPr>
        <w:t>treatment resistance</w:t>
      </w:r>
      <w:r w:rsidR="002247B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6D6688">
        <w:rPr>
          <w:rFonts w:ascii="Times New Roman" w:hAnsi="Times New Roman" w:cs="Times New Roman"/>
          <w:sz w:val="24"/>
          <w:szCs w:val="24"/>
          <w:lang w:val="en-US"/>
        </w:rPr>
        <w:t xml:space="preserve">Regarding serum levels of inflammation associated markers, responders to SSRI had lower 3-HK, Il-8, and MIF levels </w:t>
      </w:r>
      <w:r w:rsidR="00527072">
        <w:rPr>
          <w:rFonts w:ascii="Times New Roman" w:hAnsi="Times New Roman" w:cs="Times New Roman"/>
          <w:sz w:val="24"/>
          <w:szCs w:val="24"/>
          <w:lang w:val="en-US"/>
        </w:rPr>
        <w:t xml:space="preserve">compared to non-responders </w:t>
      </w:r>
      <w:r w:rsidR="006D6688">
        <w:rPr>
          <w:rFonts w:ascii="Times New Roman" w:hAnsi="Times New Roman" w:cs="Times New Roman"/>
          <w:sz w:val="24"/>
          <w:szCs w:val="24"/>
          <w:lang w:val="en-US"/>
        </w:rPr>
        <w:t>sh</w:t>
      </w:r>
      <w:r w:rsidR="00527072">
        <w:rPr>
          <w:rFonts w:ascii="Times New Roman" w:hAnsi="Times New Roman" w:cs="Times New Roman"/>
          <w:sz w:val="24"/>
          <w:szCs w:val="24"/>
          <w:lang w:val="en-US"/>
        </w:rPr>
        <w:t xml:space="preserve">owing treatment resistance to a </w:t>
      </w:r>
      <w:r w:rsidR="006D6688">
        <w:rPr>
          <w:rFonts w:ascii="Times New Roman" w:hAnsi="Times New Roman" w:cs="Times New Roman"/>
          <w:sz w:val="24"/>
          <w:szCs w:val="24"/>
          <w:lang w:val="en-US"/>
        </w:rPr>
        <w:t xml:space="preserve">standard </w:t>
      </w:r>
      <w:r w:rsidR="00527072">
        <w:rPr>
          <w:rFonts w:ascii="Times New Roman" w:hAnsi="Times New Roman" w:cs="Times New Roman"/>
          <w:sz w:val="24"/>
          <w:szCs w:val="24"/>
          <w:lang w:val="en-US"/>
        </w:rPr>
        <w:t>antidepressant</w:t>
      </w:r>
      <w:r w:rsidR="006D668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D6688" w:rsidRPr="00527072">
        <w:rPr>
          <w:rFonts w:ascii="Times New Roman" w:hAnsi="Times New Roman" w:cs="Times New Roman"/>
          <w:sz w:val="24"/>
          <w:szCs w:val="24"/>
          <w:lang w:val="en-US"/>
        </w:rPr>
        <w:t>when activated</w:t>
      </w:r>
      <w:r w:rsidR="00527072" w:rsidRPr="0004512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04512C" w:rsidRPr="0004512C">
        <w:rPr>
          <w:rFonts w:ascii="Times New Roman" w:hAnsi="Times New Roman" w:cs="Times New Roman"/>
          <w:sz w:val="24"/>
          <w:szCs w:val="24"/>
          <w:lang w:val="en-US"/>
        </w:rPr>
        <w:t>In contrast, higher baseline MIF levels in responders compared to non-responders to add-on anti-inflammatory treatment</w:t>
      </w:r>
      <w:r w:rsidR="006D6688" w:rsidRPr="000451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4512C" w:rsidRPr="0004512C">
        <w:rPr>
          <w:rFonts w:ascii="Times New Roman" w:hAnsi="Times New Roman" w:cs="Times New Roman"/>
          <w:sz w:val="24"/>
          <w:szCs w:val="24"/>
          <w:lang w:val="en-US"/>
        </w:rPr>
        <w:t xml:space="preserve">indicate a differential </w:t>
      </w:r>
      <w:r w:rsidR="006D6688" w:rsidRPr="0004512C">
        <w:rPr>
          <w:rFonts w:ascii="Times New Roman" w:hAnsi="Times New Roman" w:cs="Times New Roman"/>
          <w:sz w:val="24"/>
          <w:szCs w:val="24"/>
          <w:lang w:val="en-US"/>
        </w:rPr>
        <w:t>respon</w:t>
      </w:r>
      <w:r w:rsidR="0004512C" w:rsidRPr="0004512C">
        <w:rPr>
          <w:rFonts w:ascii="Times New Roman" w:hAnsi="Times New Roman" w:cs="Times New Roman"/>
          <w:sz w:val="24"/>
          <w:szCs w:val="24"/>
          <w:lang w:val="en-US"/>
        </w:rPr>
        <w:t>se according to the immune state.</w:t>
      </w:r>
      <w:r w:rsidR="006D6688" w:rsidRPr="000451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4512C" w:rsidRPr="00A80CDF">
        <w:rPr>
          <w:rFonts w:ascii="Times New Roman" w:hAnsi="Times New Roman" w:cs="Times New Roman"/>
          <w:sz w:val="24"/>
          <w:szCs w:val="24"/>
          <w:lang w:val="en-US"/>
        </w:rPr>
        <w:t xml:space="preserve">Monocyte gene expression and </w:t>
      </w:r>
      <w:r w:rsidR="00A80CDF" w:rsidRPr="00A80CDF">
        <w:rPr>
          <w:rFonts w:ascii="Times New Roman" w:hAnsi="Times New Roman" w:cs="Times New Roman"/>
          <w:sz w:val="24"/>
          <w:szCs w:val="24"/>
          <w:lang w:val="en-US"/>
        </w:rPr>
        <w:t xml:space="preserve">serum components might reflect different states or severity of inflammatory activation. </w:t>
      </w:r>
      <w:r w:rsidRPr="00A80CDF">
        <w:rPr>
          <w:rFonts w:ascii="Times New Roman" w:hAnsi="Times New Roman" w:cs="Times New Roman"/>
          <w:sz w:val="24"/>
          <w:szCs w:val="24"/>
          <w:lang w:val="en-US"/>
        </w:rPr>
        <w:t>Due to small subgroups</w:t>
      </w:r>
      <w:r w:rsidR="00A80CDF" w:rsidRPr="00A80CDF">
        <w:rPr>
          <w:rFonts w:ascii="Times New Roman" w:hAnsi="Times New Roman" w:cs="Times New Roman"/>
          <w:sz w:val="24"/>
          <w:szCs w:val="24"/>
          <w:lang w:val="en-US"/>
        </w:rPr>
        <w:t>, there was</w:t>
      </w:r>
      <w:r w:rsidRPr="00A80CDF">
        <w:rPr>
          <w:rFonts w:ascii="Times New Roman" w:hAnsi="Times New Roman" w:cs="Times New Roman"/>
          <w:sz w:val="24"/>
          <w:szCs w:val="24"/>
          <w:lang w:val="en-US"/>
        </w:rPr>
        <w:t xml:space="preserve"> little statistical power</w:t>
      </w:r>
      <w:r w:rsidR="00A80CDF" w:rsidRPr="00A80CDF">
        <w:rPr>
          <w:rFonts w:ascii="Times New Roman" w:hAnsi="Times New Roman" w:cs="Times New Roman"/>
          <w:sz w:val="24"/>
          <w:szCs w:val="24"/>
          <w:lang w:val="en-US"/>
        </w:rPr>
        <w:t>. Therefore, it is doubtful to judge</w:t>
      </w:r>
      <w:r w:rsidR="00A80CDF">
        <w:rPr>
          <w:rFonts w:ascii="Times New Roman" w:hAnsi="Times New Roman" w:cs="Times New Roman"/>
          <w:sz w:val="24"/>
          <w:szCs w:val="24"/>
          <w:lang w:val="en-US"/>
        </w:rPr>
        <w:t xml:space="preserve"> whether</w:t>
      </w:r>
      <w:r w:rsidR="00A80CDF" w:rsidRPr="00A80CDF">
        <w:rPr>
          <w:rFonts w:ascii="Times New Roman" w:hAnsi="Times New Roman" w:cs="Times New Roman"/>
          <w:sz w:val="24"/>
          <w:szCs w:val="24"/>
          <w:lang w:val="en-US"/>
        </w:rPr>
        <w:t xml:space="preserve"> the other markers are </w:t>
      </w:r>
      <w:r w:rsidR="006D6688" w:rsidRPr="00A80CDF">
        <w:rPr>
          <w:rFonts w:ascii="Times New Roman" w:hAnsi="Times New Roman" w:cs="Times New Roman"/>
          <w:sz w:val="24"/>
          <w:szCs w:val="24"/>
          <w:lang w:val="en-US"/>
        </w:rPr>
        <w:t xml:space="preserve">irrelevant </w:t>
      </w:r>
      <w:r w:rsidR="00A80CDF">
        <w:rPr>
          <w:rFonts w:ascii="Times New Roman" w:hAnsi="Times New Roman" w:cs="Times New Roman"/>
          <w:sz w:val="24"/>
          <w:szCs w:val="24"/>
          <w:lang w:val="en-US"/>
        </w:rPr>
        <w:t>for treatment response prediction</w:t>
      </w:r>
      <w:r w:rsidR="001A3C3D">
        <w:rPr>
          <w:rFonts w:ascii="Times New Roman" w:hAnsi="Times New Roman" w:cs="Times New Roman"/>
          <w:sz w:val="24"/>
          <w:szCs w:val="24"/>
          <w:lang w:val="en-US"/>
        </w:rPr>
        <w:t>. In any way</w:t>
      </w:r>
      <w:r w:rsidR="00A80CDF" w:rsidRPr="00A80CD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C00B47" w:rsidRPr="00A80CDF">
        <w:rPr>
          <w:rFonts w:ascii="Times New Roman" w:hAnsi="Times New Roman" w:cs="Times New Roman"/>
          <w:sz w:val="24"/>
          <w:szCs w:val="24"/>
          <w:lang w:val="en-US"/>
        </w:rPr>
        <w:t xml:space="preserve">biomarkers </w:t>
      </w:r>
      <w:proofErr w:type="gramStart"/>
      <w:r w:rsidR="00C00B47" w:rsidRPr="00A80CDF">
        <w:rPr>
          <w:rFonts w:ascii="Times New Roman" w:hAnsi="Times New Roman" w:cs="Times New Roman"/>
          <w:sz w:val="24"/>
          <w:szCs w:val="24"/>
          <w:lang w:val="en-US"/>
        </w:rPr>
        <w:t>should be considered</w:t>
      </w:r>
      <w:proofErr w:type="gramEnd"/>
      <w:r w:rsidR="00C00B47" w:rsidRPr="00A80CDF">
        <w:rPr>
          <w:rFonts w:ascii="Times New Roman" w:hAnsi="Times New Roman" w:cs="Times New Roman"/>
          <w:sz w:val="24"/>
          <w:szCs w:val="24"/>
          <w:lang w:val="en-US"/>
        </w:rPr>
        <w:t xml:space="preserve"> for patient stratification and treatment choice</w:t>
      </w:r>
      <w:r w:rsidR="00A80CDF" w:rsidRPr="00A80CD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sectPr w:rsidR="007A5430" w:rsidRPr="00A80CDF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DA" w:rsidRDefault="00B346DA" w:rsidP="00B346DA">
      <w:pPr>
        <w:spacing w:after="0" w:line="240" w:lineRule="auto"/>
      </w:pPr>
      <w:r>
        <w:separator/>
      </w:r>
    </w:p>
  </w:endnote>
  <w:endnote w:type="continuationSeparator" w:id="0">
    <w:p w:rsidR="00B346DA" w:rsidRDefault="00B346DA" w:rsidP="00B34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DA" w:rsidRDefault="00B346DA" w:rsidP="00B346DA">
      <w:pPr>
        <w:spacing w:after="0" w:line="240" w:lineRule="auto"/>
      </w:pPr>
      <w:r>
        <w:separator/>
      </w:r>
    </w:p>
  </w:footnote>
  <w:footnote w:type="continuationSeparator" w:id="0">
    <w:p w:rsidR="00B346DA" w:rsidRDefault="00B346DA" w:rsidP="00B346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6DA" w:rsidRPr="00B346DA" w:rsidRDefault="00B346DA">
    <w:pPr>
      <w:pStyle w:val="Kopfzeile"/>
      <w:rPr>
        <w:rFonts w:ascii="Times New Roman" w:hAnsi="Times New Roman" w:cs="Times New Roman"/>
        <w:color w:val="FF0000"/>
        <w:sz w:val="24"/>
        <w:szCs w:val="24"/>
      </w:rPr>
    </w:pPr>
    <w:proofErr w:type="spellStart"/>
    <w:r w:rsidRPr="00B346DA">
      <w:rPr>
        <w:rFonts w:ascii="Times New Roman" w:hAnsi="Times New Roman" w:cs="Times New Roman"/>
        <w:color w:val="FF0000"/>
        <w:sz w:val="24"/>
        <w:szCs w:val="24"/>
      </w:rPr>
      <w:t>Confidential</w:t>
    </w:r>
    <w:proofErr w:type="spellEnd"/>
    <w:r w:rsidRPr="00B346DA">
      <w:rPr>
        <w:rFonts w:ascii="Times New Roman" w:hAnsi="Times New Roman" w:cs="Times New Roman"/>
        <w:color w:val="FF0000"/>
        <w:sz w:val="24"/>
        <w:szCs w:val="24"/>
      </w:rPr>
      <w:t xml:space="preserve"> </w:t>
    </w:r>
    <w:proofErr w:type="spellStart"/>
    <w:r w:rsidRPr="00B346DA">
      <w:rPr>
        <w:rFonts w:ascii="Times New Roman" w:hAnsi="Times New Roman" w:cs="Times New Roman"/>
        <w:color w:val="FF0000"/>
        <w:sz w:val="24"/>
        <w:szCs w:val="24"/>
      </w:rPr>
      <w:t>information</w:t>
    </w:r>
    <w:proofErr w:type="spellEnd"/>
    <w:r w:rsidRPr="00B346DA">
      <w:rPr>
        <w:rFonts w:ascii="Times New Roman" w:hAnsi="Times New Roman" w:cs="Times New Roman"/>
        <w:color w:val="FF0000"/>
        <w:sz w:val="24"/>
        <w:szCs w:val="24"/>
      </w:rPr>
      <w:t xml:space="preserve"> </w:t>
    </w:r>
    <w:proofErr w:type="spellStart"/>
    <w:r w:rsidRPr="00B346DA">
      <w:rPr>
        <w:rFonts w:ascii="Times New Roman" w:hAnsi="Times New Roman" w:cs="Times New Roman"/>
        <w:color w:val="FF0000"/>
        <w:sz w:val="24"/>
        <w:szCs w:val="24"/>
      </w:rPr>
      <w:t>prior</w:t>
    </w:r>
    <w:proofErr w:type="spellEnd"/>
    <w:r w:rsidRPr="00B346DA">
      <w:rPr>
        <w:rFonts w:ascii="Times New Roman" w:hAnsi="Times New Roman" w:cs="Times New Roman"/>
        <w:color w:val="FF0000"/>
        <w:sz w:val="24"/>
        <w:szCs w:val="24"/>
      </w:rPr>
      <w:t xml:space="preserve"> </w:t>
    </w:r>
    <w:proofErr w:type="spellStart"/>
    <w:r w:rsidRPr="00B346DA">
      <w:rPr>
        <w:rFonts w:ascii="Times New Roman" w:hAnsi="Times New Roman" w:cs="Times New Roman"/>
        <w:color w:val="FF0000"/>
        <w:sz w:val="24"/>
        <w:szCs w:val="24"/>
      </w:rPr>
      <w:t>to</w:t>
    </w:r>
    <w:proofErr w:type="spellEnd"/>
    <w:r w:rsidRPr="00B346DA">
      <w:rPr>
        <w:rFonts w:ascii="Times New Roman" w:hAnsi="Times New Roman" w:cs="Times New Roman"/>
        <w:color w:val="FF0000"/>
        <w:sz w:val="24"/>
        <w:szCs w:val="24"/>
      </w:rPr>
      <w:t xml:space="preserve"> </w:t>
    </w:r>
    <w:proofErr w:type="spellStart"/>
    <w:r w:rsidRPr="00B346DA">
      <w:rPr>
        <w:rFonts w:ascii="Times New Roman" w:hAnsi="Times New Roman" w:cs="Times New Roman"/>
        <w:color w:val="FF0000"/>
        <w:sz w:val="24"/>
        <w:szCs w:val="24"/>
      </w:rPr>
      <w:t>publication</w:t>
    </w:r>
    <w:proofErr w:type="spellEnd"/>
    <w:r w:rsidRPr="00B346DA">
      <w:rPr>
        <w:rFonts w:ascii="Times New Roman" w:hAnsi="Times New Roman" w:cs="Times New Roman"/>
        <w:color w:val="FF0000"/>
        <w:sz w:val="24"/>
        <w:szCs w:val="24"/>
      </w:rPr>
      <w:t xml:space="preserve"> – </w:t>
    </w:r>
    <w:proofErr w:type="spellStart"/>
    <w:r w:rsidRPr="00B346DA">
      <w:rPr>
        <w:rFonts w:ascii="Times New Roman" w:hAnsi="Times New Roman" w:cs="Times New Roman"/>
        <w:color w:val="FF0000"/>
        <w:sz w:val="24"/>
        <w:szCs w:val="24"/>
      </w:rPr>
      <w:t>for</w:t>
    </w:r>
    <w:proofErr w:type="spellEnd"/>
    <w:r w:rsidRPr="00B346DA">
      <w:rPr>
        <w:rFonts w:ascii="Times New Roman" w:hAnsi="Times New Roman" w:cs="Times New Roman"/>
        <w:color w:val="FF0000"/>
        <w:sz w:val="24"/>
        <w:szCs w:val="24"/>
      </w:rPr>
      <w:t xml:space="preserve"> </w:t>
    </w:r>
    <w:proofErr w:type="spellStart"/>
    <w:r w:rsidRPr="00B346DA">
      <w:rPr>
        <w:rFonts w:ascii="Times New Roman" w:hAnsi="Times New Roman" w:cs="Times New Roman"/>
        <w:color w:val="FF0000"/>
        <w:sz w:val="24"/>
        <w:szCs w:val="24"/>
      </w:rPr>
      <w:t>authority</w:t>
    </w:r>
    <w:proofErr w:type="spellEnd"/>
    <w:r w:rsidRPr="00B346DA">
      <w:rPr>
        <w:rFonts w:ascii="Times New Roman" w:hAnsi="Times New Roman" w:cs="Times New Roman"/>
        <w:color w:val="FF0000"/>
        <w:sz w:val="24"/>
        <w:szCs w:val="24"/>
      </w:rPr>
      <w:t xml:space="preserve"> </w:t>
    </w:r>
    <w:proofErr w:type="spellStart"/>
    <w:r w:rsidRPr="00B346DA">
      <w:rPr>
        <w:rFonts w:ascii="Times New Roman" w:hAnsi="Times New Roman" w:cs="Times New Roman"/>
        <w:color w:val="FF0000"/>
        <w:sz w:val="24"/>
        <w:szCs w:val="24"/>
      </w:rPr>
      <w:t>use</w:t>
    </w:r>
    <w:proofErr w:type="spellEnd"/>
    <w:r w:rsidRPr="00B346DA">
      <w:rPr>
        <w:rFonts w:ascii="Times New Roman" w:hAnsi="Times New Roman" w:cs="Times New Roman"/>
        <w:color w:val="FF0000"/>
        <w:sz w:val="24"/>
        <w:szCs w:val="24"/>
      </w:rPr>
      <w:t xml:space="preserve"> </w:t>
    </w:r>
    <w:proofErr w:type="spellStart"/>
    <w:r w:rsidRPr="00B346DA">
      <w:rPr>
        <w:rFonts w:ascii="Times New Roman" w:hAnsi="Times New Roman" w:cs="Times New Roman"/>
        <w:color w:val="FF0000"/>
        <w:sz w:val="24"/>
        <w:szCs w:val="24"/>
      </w:rPr>
      <w:t>only</w:t>
    </w:r>
    <w:proofErr w:type="spellEnd"/>
    <w:r w:rsidRPr="00B346DA">
      <w:rPr>
        <w:rFonts w:ascii="Times New Roman" w:hAnsi="Times New Roman" w:cs="Times New Roman"/>
        <w:color w:val="FF0000"/>
        <w:sz w:val="24"/>
        <w:szCs w:val="24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8F6"/>
    <w:rsid w:val="00001CE8"/>
    <w:rsid w:val="0004512C"/>
    <w:rsid w:val="00121277"/>
    <w:rsid w:val="00122319"/>
    <w:rsid w:val="001223D2"/>
    <w:rsid w:val="0015395A"/>
    <w:rsid w:val="0016142A"/>
    <w:rsid w:val="001639A2"/>
    <w:rsid w:val="001A3C3D"/>
    <w:rsid w:val="001A7334"/>
    <w:rsid w:val="002247BF"/>
    <w:rsid w:val="00245803"/>
    <w:rsid w:val="002C1480"/>
    <w:rsid w:val="003767D9"/>
    <w:rsid w:val="0038130E"/>
    <w:rsid w:val="003F3489"/>
    <w:rsid w:val="004768D7"/>
    <w:rsid w:val="00527072"/>
    <w:rsid w:val="00542A0E"/>
    <w:rsid w:val="005744F6"/>
    <w:rsid w:val="00583803"/>
    <w:rsid w:val="0058415F"/>
    <w:rsid w:val="005A4C3E"/>
    <w:rsid w:val="005C4DB9"/>
    <w:rsid w:val="005D01C5"/>
    <w:rsid w:val="006D6688"/>
    <w:rsid w:val="007056AA"/>
    <w:rsid w:val="00715B77"/>
    <w:rsid w:val="00736B5E"/>
    <w:rsid w:val="007950D1"/>
    <w:rsid w:val="007A5430"/>
    <w:rsid w:val="007D2260"/>
    <w:rsid w:val="007F6E8C"/>
    <w:rsid w:val="00947D07"/>
    <w:rsid w:val="00983561"/>
    <w:rsid w:val="009A1FB8"/>
    <w:rsid w:val="00A80CDF"/>
    <w:rsid w:val="00A96B5B"/>
    <w:rsid w:val="00AC265A"/>
    <w:rsid w:val="00B06AE2"/>
    <w:rsid w:val="00B346DA"/>
    <w:rsid w:val="00B35842"/>
    <w:rsid w:val="00B52A4C"/>
    <w:rsid w:val="00B67A70"/>
    <w:rsid w:val="00B96737"/>
    <w:rsid w:val="00BD0AE2"/>
    <w:rsid w:val="00C00B47"/>
    <w:rsid w:val="00C10FAB"/>
    <w:rsid w:val="00C148F6"/>
    <w:rsid w:val="00C52B3E"/>
    <w:rsid w:val="00CA451E"/>
    <w:rsid w:val="00D22C42"/>
    <w:rsid w:val="00D87054"/>
    <w:rsid w:val="00DB171F"/>
    <w:rsid w:val="00DF36E8"/>
    <w:rsid w:val="00EA16B2"/>
    <w:rsid w:val="00EE3592"/>
    <w:rsid w:val="00F00266"/>
    <w:rsid w:val="00F37892"/>
    <w:rsid w:val="00F57AE2"/>
    <w:rsid w:val="00F70891"/>
    <w:rsid w:val="00FA51E0"/>
    <w:rsid w:val="00FE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4B519"/>
  <w15:chartTrackingRefBased/>
  <w15:docId w15:val="{67B9BD4A-3A57-432E-AF25-7105DA53A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label1">
    <w:name w:val="label1"/>
    <w:basedOn w:val="Absatz-Standardschriftart"/>
    <w:rsid w:val="00FA51E0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B34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346DA"/>
  </w:style>
  <w:style w:type="paragraph" w:styleId="Fuzeile">
    <w:name w:val="footer"/>
    <w:basedOn w:val="Standard"/>
    <w:link w:val="FuzeileZchn"/>
    <w:uiPriority w:val="99"/>
    <w:unhideWhenUsed/>
    <w:rsid w:val="00B34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346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Klinikum der Universitaet Muenchen</Company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marsimon</dc:creator>
  <cp:keywords/>
  <dc:description/>
  <cp:lastModifiedBy>marsimon</cp:lastModifiedBy>
  <cp:revision>3</cp:revision>
  <dcterms:created xsi:type="dcterms:W3CDTF">2020-07-23T11:20:00Z</dcterms:created>
  <dcterms:modified xsi:type="dcterms:W3CDTF">2020-11-20T12:03:00Z</dcterms:modified>
</cp:coreProperties>
</file>