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7D" w:rsidRDefault="00AA0F29">
      <w:r>
        <w:rPr>
          <w:noProof/>
          <w:lang w:eastAsia="en-GB"/>
        </w:rPr>
        <w:drawing>
          <wp:inline distT="0" distB="0" distL="0" distR="0" wp14:anchorId="20927E56" wp14:editId="2F055DD8">
            <wp:extent cx="4572000" cy="2743200"/>
            <wp:effectExtent l="0" t="0" r="0" b="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AA0F29" w:rsidRDefault="00AA0F29">
      <w:r w:rsidRPr="007869B8">
        <w:rPr>
          <w:rFonts w:ascii="Calibri" w:hAnsi="Calibri"/>
        </w:rPr>
        <w:t xml:space="preserve">Percentage change of primary renal carcinoma following therapy with </w:t>
      </w:r>
      <w:proofErr w:type="spellStart"/>
      <w:r w:rsidRPr="007869B8">
        <w:rPr>
          <w:rFonts w:ascii="Calibri" w:hAnsi="Calibri"/>
        </w:rPr>
        <w:t>pazopanib</w:t>
      </w:r>
      <w:proofErr w:type="spellEnd"/>
      <w:r w:rsidRPr="007869B8">
        <w:rPr>
          <w:rFonts w:ascii="Calibri" w:hAnsi="Calibri"/>
        </w:rPr>
        <w:t xml:space="preserve"> (median reduction = 14.4% (IQR: 1.4-21.1) (n=95)</w:t>
      </w:r>
      <w:bookmarkStart w:id="0" w:name="_GoBack"/>
      <w:bookmarkEnd w:id="0"/>
    </w:p>
    <w:sectPr w:rsidR="00AA0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29"/>
    <w:rsid w:val="00017511"/>
    <w:rsid w:val="00021339"/>
    <w:rsid w:val="002628D3"/>
    <w:rsid w:val="00280B1A"/>
    <w:rsid w:val="0049556F"/>
    <w:rsid w:val="006A74B8"/>
    <w:rsid w:val="00AA0F29"/>
    <w:rsid w:val="00B156AD"/>
    <w:rsid w:val="00C064D1"/>
    <w:rsid w:val="00C45E9B"/>
    <w:rsid w:val="00E64B48"/>
    <w:rsid w:val="00E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F760C-21B3-4CD3-9E02-E56E68BE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rofe01\AppData\Local\Microsoft\Windows\INetCache\Content.Outlook\Z8HTOCP3\Panther_Final%20analysis%20results_29Sept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 w="25400">
              <a:noFill/>
            </a:ln>
          </c:spPr>
          <c:invertIfNegative val="0"/>
          <c:val>
            <c:numRef>
              <c:f>Waterfall!$D$2:$D$96</c:f>
              <c:numCache>
                <c:formatCode>General</c:formatCode>
                <c:ptCount val="95"/>
                <c:pt idx="0">
                  <c:v>27.272729999999999</c:v>
                </c:pt>
                <c:pt idx="1">
                  <c:v>17.857140000000001</c:v>
                </c:pt>
                <c:pt idx="2">
                  <c:v>15.38461</c:v>
                </c:pt>
                <c:pt idx="3">
                  <c:v>15</c:v>
                </c:pt>
                <c:pt idx="4">
                  <c:v>13.793100000000001</c:v>
                </c:pt>
                <c:pt idx="5">
                  <c:v>10.67961</c:v>
                </c:pt>
                <c:pt idx="6">
                  <c:v>10</c:v>
                </c:pt>
                <c:pt idx="7">
                  <c:v>8.0000020000000003</c:v>
                </c:pt>
                <c:pt idx="8">
                  <c:v>6.7164190000000001</c:v>
                </c:pt>
                <c:pt idx="9">
                  <c:v>6.6666679999999996</c:v>
                </c:pt>
                <c:pt idx="10">
                  <c:v>4.7058780000000002</c:v>
                </c:pt>
                <c:pt idx="11">
                  <c:v>3.6036039999999998</c:v>
                </c:pt>
                <c:pt idx="12">
                  <c:v>2.4691380000000001</c:v>
                </c:pt>
                <c:pt idx="13">
                  <c:v>1.72414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 formatCode="0.00E+00">
                  <c:v>-1.5E-6</c:v>
                </c:pt>
                <c:pt idx="20" formatCode="0.00E+00">
                  <c:v>-2.65E-6</c:v>
                </c:pt>
                <c:pt idx="21" formatCode="0.00E+00">
                  <c:v>-4.5399999999999997E-6</c:v>
                </c:pt>
                <c:pt idx="22">
                  <c:v>-0.80645009999999995</c:v>
                </c:pt>
                <c:pt idx="23">
                  <c:v>-1.4084509999999999</c:v>
                </c:pt>
                <c:pt idx="24">
                  <c:v>-1.470591</c:v>
                </c:pt>
                <c:pt idx="25">
                  <c:v>-2.1276619999999999</c:v>
                </c:pt>
                <c:pt idx="26">
                  <c:v>-2.2222200000000001</c:v>
                </c:pt>
                <c:pt idx="27">
                  <c:v>-2.4999980000000002</c:v>
                </c:pt>
                <c:pt idx="28">
                  <c:v>-3.4090910000000001</c:v>
                </c:pt>
                <c:pt idx="29">
                  <c:v>-3.5398260000000001</c:v>
                </c:pt>
                <c:pt idx="30">
                  <c:v>-3.7037010000000001</c:v>
                </c:pt>
                <c:pt idx="31">
                  <c:v>-5.8823530000000002</c:v>
                </c:pt>
                <c:pt idx="32">
                  <c:v>-6.7796609999999999</c:v>
                </c:pt>
                <c:pt idx="33">
                  <c:v>-6.8027220000000002</c:v>
                </c:pt>
                <c:pt idx="34">
                  <c:v>-6.8965519999999998</c:v>
                </c:pt>
                <c:pt idx="35">
                  <c:v>-9.3333309999999994</c:v>
                </c:pt>
                <c:pt idx="36">
                  <c:v>-10.227270000000001</c:v>
                </c:pt>
                <c:pt idx="37">
                  <c:v>-10.52631</c:v>
                </c:pt>
                <c:pt idx="38">
                  <c:v>-10.52632</c:v>
                </c:pt>
                <c:pt idx="39">
                  <c:v>-11.25</c:v>
                </c:pt>
                <c:pt idx="40">
                  <c:v>-11.428570000000001</c:v>
                </c:pt>
                <c:pt idx="41">
                  <c:v>-12.59259</c:v>
                </c:pt>
                <c:pt idx="42">
                  <c:v>-12.790699999999999</c:v>
                </c:pt>
                <c:pt idx="43">
                  <c:v>-13.432829999999999</c:v>
                </c:pt>
                <c:pt idx="44">
                  <c:v>-13.63636</c:v>
                </c:pt>
                <c:pt idx="45">
                  <c:v>-13.846159999999999</c:v>
                </c:pt>
                <c:pt idx="46">
                  <c:v>-14.13043</c:v>
                </c:pt>
                <c:pt idx="47">
                  <c:v>-14.15094</c:v>
                </c:pt>
                <c:pt idx="48">
                  <c:v>-14.529909999999999</c:v>
                </c:pt>
                <c:pt idx="49">
                  <c:v>-14.78261</c:v>
                </c:pt>
                <c:pt idx="50">
                  <c:v>-14.89362</c:v>
                </c:pt>
                <c:pt idx="51">
                  <c:v>-15</c:v>
                </c:pt>
                <c:pt idx="52">
                  <c:v>-15.04424</c:v>
                </c:pt>
                <c:pt idx="53">
                  <c:v>-15.45454</c:v>
                </c:pt>
                <c:pt idx="54">
                  <c:v>-15.78947</c:v>
                </c:pt>
                <c:pt idx="55">
                  <c:v>-16.037739999999999</c:v>
                </c:pt>
                <c:pt idx="56">
                  <c:v>-16.16161</c:v>
                </c:pt>
                <c:pt idx="57">
                  <c:v>-16.875</c:v>
                </c:pt>
                <c:pt idx="58">
                  <c:v>-17.171720000000001</c:v>
                </c:pt>
                <c:pt idx="59">
                  <c:v>-17.34694</c:v>
                </c:pt>
                <c:pt idx="60">
                  <c:v>-17.77778</c:v>
                </c:pt>
                <c:pt idx="61">
                  <c:v>-18.181809999999999</c:v>
                </c:pt>
                <c:pt idx="62">
                  <c:v>-18.33333</c:v>
                </c:pt>
                <c:pt idx="63">
                  <c:v>-18.518519999999999</c:v>
                </c:pt>
                <c:pt idx="64">
                  <c:v>-19.858149999999998</c:v>
                </c:pt>
                <c:pt idx="65">
                  <c:v>-20</c:v>
                </c:pt>
                <c:pt idx="66">
                  <c:v>-20.175439999999998</c:v>
                </c:pt>
                <c:pt idx="67">
                  <c:v>-20.491800000000001</c:v>
                </c:pt>
                <c:pt idx="68">
                  <c:v>-20.87912</c:v>
                </c:pt>
                <c:pt idx="69">
                  <c:v>-21.052630000000001</c:v>
                </c:pt>
                <c:pt idx="70">
                  <c:v>-21.052630000000001</c:v>
                </c:pt>
                <c:pt idx="71">
                  <c:v>-21.818180000000002</c:v>
                </c:pt>
                <c:pt idx="72">
                  <c:v>-22.580639999999999</c:v>
                </c:pt>
                <c:pt idx="73">
                  <c:v>-22.95082</c:v>
                </c:pt>
                <c:pt idx="74">
                  <c:v>-23</c:v>
                </c:pt>
                <c:pt idx="75">
                  <c:v>-23.529409999999999</c:v>
                </c:pt>
                <c:pt idx="76">
                  <c:v>-23.770489999999999</c:v>
                </c:pt>
                <c:pt idx="77">
                  <c:v>-23.853210000000001</c:v>
                </c:pt>
                <c:pt idx="78">
                  <c:v>-24.025980000000001</c:v>
                </c:pt>
                <c:pt idx="79">
                  <c:v>-24.271840000000001</c:v>
                </c:pt>
                <c:pt idx="80">
                  <c:v>-24.590170000000001</c:v>
                </c:pt>
                <c:pt idx="81">
                  <c:v>-25.55556</c:v>
                </c:pt>
                <c:pt idx="82">
                  <c:v>-26.506029999999999</c:v>
                </c:pt>
                <c:pt idx="83">
                  <c:v>-26.74418</c:v>
                </c:pt>
                <c:pt idx="84">
                  <c:v>-28.070180000000001</c:v>
                </c:pt>
                <c:pt idx="85">
                  <c:v>-28.571429999999999</c:v>
                </c:pt>
                <c:pt idx="86">
                  <c:v>-29.807690000000001</c:v>
                </c:pt>
                <c:pt idx="87">
                  <c:v>-30</c:v>
                </c:pt>
                <c:pt idx="88">
                  <c:v>-30.55556</c:v>
                </c:pt>
                <c:pt idx="89">
                  <c:v>-32.478630000000003</c:v>
                </c:pt>
                <c:pt idx="90">
                  <c:v>-33.66337</c:v>
                </c:pt>
                <c:pt idx="91">
                  <c:v>-34.83146</c:v>
                </c:pt>
                <c:pt idx="92">
                  <c:v>-35.344830000000002</c:v>
                </c:pt>
                <c:pt idx="93">
                  <c:v>-40.476190000000003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"/>
        <c:overlap val="-81"/>
        <c:axId val="-571397072"/>
        <c:axId val="-571395440"/>
      </c:barChart>
      <c:catAx>
        <c:axId val="-571397072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Individual</a:t>
                </a:r>
                <a:r>
                  <a:rPr lang="en-GB" baseline="0"/>
                  <a:t> Patients</a:t>
                </a:r>
              </a:p>
            </c:rich>
          </c:tx>
          <c:layout/>
          <c:overlay val="0"/>
        </c:title>
        <c:majorTickMark val="out"/>
        <c:minorTickMark val="none"/>
        <c:tickLblPos val="nextTo"/>
        <c:crossAx val="-571395440"/>
        <c:crosses val="autoZero"/>
        <c:auto val="1"/>
        <c:lblAlgn val="ctr"/>
        <c:lblOffset val="100"/>
        <c:noMultiLvlLbl val="0"/>
      </c:catAx>
      <c:valAx>
        <c:axId val="-571395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Percentage Change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57139707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Mary University</Company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Ackerman</dc:creator>
  <cp:keywords/>
  <dc:description/>
  <cp:lastModifiedBy>Charlotte Ackerman</cp:lastModifiedBy>
  <cp:revision>1</cp:revision>
  <dcterms:created xsi:type="dcterms:W3CDTF">2017-03-22T17:34:00Z</dcterms:created>
  <dcterms:modified xsi:type="dcterms:W3CDTF">2017-03-22T17:40:00Z</dcterms:modified>
</cp:coreProperties>
</file>