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3D85CC" w14:textId="5A131CFA" w:rsidR="001E14D4" w:rsidRDefault="001E14D4" w:rsidP="006C0548">
      <w:pPr>
        <w:rPr>
          <w:b/>
          <w:lang w:val="en-US"/>
        </w:rPr>
      </w:pPr>
      <w:r w:rsidRPr="001E14D4">
        <w:rPr>
          <w:b/>
          <w:lang w:val="en-US"/>
        </w:rPr>
        <w:t xml:space="preserve">Abstract </w:t>
      </w:r>
      <w:r w:rsidR="001F2366">
        <w:rPr>
          <w:b/>
          <w:lang w:val="en-US"/>
        </w:rPr>
        <w:t>1</w:t>
      </w:r>
      <w:bookmarkStart w:id="0" w:name="_GoBack"/>
      <w:bookmarkEnd w:id="0"/>
      <w:r w:rsidRPr="001E14D4">
        <w:rPr>
          <w:b/>
          <w:lang w:val="en-US"/>
        </w:rPr>
        <w:t>:</w:t>
      </w:r>
    </w:p>
    <w:p w14:paraId="731D87EF" w14:textId="77777777" w:rsidR="001F2366" w:rsidRDefault="00985D73" w:rsidP="00985D73">
      <w:pPr>
        <w:autoSpaceDE w:val="0"/>
        <w:autoSpaceDN w:val="0"/>
        <w:adjustRightInd w:val="0"/>
        <w:spacing w:after="0" w:line="240" w:lineRule="auto"/>
        <w:rPr>
          <w:rFonts w:ascii="AdvCaeciliaBd" w:hAnsi="AdvCaeciliaBd" w:cs="AdvCaeciliaBd"/>
          <w:sz w:val="36"/>
          <w:szCs w:val="36"/>
          <w:lang w:val="en-US"/>
        </w:rPr>
      </w:pPr>
      <w:r w:rsidRPr="00985D73">
        <w:rPr>
          <w:rFonts w:ascii="AdvCaeciliaBd" w:hAnsi="AdvCaeciliaBd" w:cs="AdvCaeciliaBd"/>
          <w:sz w:val="36"/>
          <w:szCs w:val="36"/>
          <w:lang w:val="en-US"/>
        </w:rPr>
        <w:t xml:space="preserve">Effects of propofol anesthesia on the processing of </w:t>
      </w:r>
    </w:p>
    <w:p w14:paraId="7051E6EA" w14:textId="7BB1E7FB" w:rsidR="00985D73" w:rsidRPr="00985D73" w:rsidRDefault="00985D73" w:rsidP="00985D73">
      <w:pPr>
        <w:autoSpaceDE w:val="0"/>
        <w:autoSpaceDN w:val="0"/>
        <w:adjustRightInd w:val="0"/>
        <w:spacing w:after="0" w:line="240" w:lineRule="auto"/>
        <w:rPr>
          <w:rFonts w:ascii="AdvCaeciliaBd" w:hAnsi="AdvCaeciliaBd" w:cs="AdvCaeciliaBd"/>
          <w:sz w:val="36"/>
          <w:szCs w:val="36"/>
          <w:lang w:val="en-US"/>
        </w:rPr>
      </w:pPr>
      <w:r w:rsidRPr="00985D73">
        <w:rPr>
          <w:rFonts w:ascii="AdvCaeciliaBd" w:hAnsi="AdvCaeciliaBd" w:cs="AdvCaeciliaBd"/>
          <w:sz w:val="36"/>
          <w:szCs w:val="36"/>
          <w:lang w:val="en-US"/>
        </w:rPr>
        <w:t>noxious stimuli in the</w:t>
      </w:r>
      <w:r>
        <w:rPr>
          <w:rFonts w:ascii="AdvCaeciliaBd" w:hAnsi="AdvCaeciliaBd" w:cs="AdvCaeciliaBd"/>
          <w:sz w:val="36"/>
          <w:szCs w:val="36"/>
          <w:lang w:val="en-US"/>
        </w:rPr>
        <w:t xml:space="preserve"> </w:t>
      </w:r>
      <w:r w:rsidRPr="00985D73">
        <w:rPr>
          <w:rFonts w:ascii="AdvCaeciliaBd" w:hAnsi="AdvCaeciliaBd" w:cs="AdvCaeciliaBd"/>
          <w:sz w:val="36"/>
          <w:szCs w:val="36"/>
          <w:lang w:val="en-US"/>
        </w:rPr>
        <w:t>spinal cord and the brai</w:t>
      </w:r>
      <w:r>
        <w:rPr>
          <w:rFonts w:ascii="AdvCaeciliaBd" w:hAnsi="AdvCaeciliaBd" w:cs="AdvCaeciliaBd"/>
          <w:sz w:val="36"/>
          <w:szCs w:val="36"/>
          <w:lang w:val="en-US"/>
        </w:rPr>
        <w:t>n</w:t>
      </w:r>
    </w:p>
    <w:p w14:paraId="62018798" w14:textId="77777777" w:rsidR="00985D73" w:rsidRPr="001F2366" w:rsidRDefault="00985D73" w:rsidP="00985D73">
      <w:pPr>
        <w:autoSpaceDE w:val="0"/>
        <w:autoSpaceDN w:val="0"/>
        <w:adjustRightInd w:val="0"/>
        <w:spacing w:after="0" w:line="240" w:lineRule="auto"/>
        <w:rPr>
          <w:rFonts w:ascii="AdvCaeciliaRm" w:hAnsi="AdvCaeciliaRm" w:cs="AdvCaeciliaRm"/>
          <w:color w:val="000000"/>
          <w:sz w:val="12"/>
          <w:szCs w:val="12"/>
          <w:lang w:val="en-US"/>
        </w:rPr>
      </w:pPr>
    </w:p>
    <w:p w14:paraId="1279CC7D" w14:textId="5B239905" w:rsidR="004006F7" w:rsidRDefault="004006F7" w:rsidP="00985D73">
      <w:pPr>
        <w:autoSpaceDE w:val="0"/>
        <w:autoSpaceDN w:val="0"/>
        <w:adjustRightInd w:val="0"/>
        <w:spacing w:after="0" w:line="240" w:lineRule="auto"/>
        <w:rPr>
          <w:rFonts w:ascii="AdvCaeciliaRm" w:hAnsi="AdvCaeciliaRm" w:cs="AdvCaeciliaRm"/>
          <w:color w:val="000000"/>
          <w:sz w:val="26"/>
          <w:szCs w:val="26"/>
        </w:rPr>
      </w:pPr>
      <w:r w:rsidRPr="00985D73">
        <w:rPr>
          <w:rFonts w:ascii="AdvCaeciliaRm" w:hAnsi="AdvCaeciliaRm" w:cs="AdvCaeciliaRm"/>
          <w:color w:val="000000"/>
          <w:sz w:val="26"/>
          <w:szCs w:val="26"/>
        </w:rPr>
        <w:t xml:space="preserve">G. </w:t>
      </w:r>
      <w:r>
        <w:rPr>
          <w:rFonts w:ascii="AdvCaeciliaRm" w:hAnsi="AdvCaeciliaRm" w:cs="AdvCaeciliaRm"/>
          <w:color w:val="000000"/>
          <w:sz w:val="26"/>
          <w:szCs w:val="26"/>
        </w:rPr>
        <w:t xml:space="preserve">Lichtner, R. </w:t>
      </w:r>
      <w:proofErr w:type="spellStart"/>
      <w:r>
        <w:rPr>
          <w:rFonts w:ascii="AdvCaeciliaRm" w:hAnsi="AdvCaeciliaRm" w:cs="AdvCaeciliaRm"/>
          <w:color w:val="000000"/>
          <w:sz w:val="26"/>
          <w:szCs w:val="26"/>
        </w:rPr>
        <w:t>Auksztulewicz</w:t>
      </w:r>
      <w:proofErr w:type="spellEnd"/>
      <w:r>
        <w:rPr>
          <w:rFonts w:ascii="AdvCaeciliaRm" w:hAnsi="AdvCaeciliaRm" w:cs="AdvCaeciliaRm"/>
          <w:color w:val="000000"/>
          <w:sz w:val="26"/>
          <w:szCs w:val="26"/>
        </w:rPr>
        <w:t xml:space="preserve">, </w:t>
      </w:r>
      <w:r w:rsidR="00985D73" w:rsidRPr="00985D73">
        <w:rPr>
          <w:rFonts w:ascii="AdvCaeciliaRm" w:hAnsi="AdvCaeciliaRm" w:cs="AdvCaeciliaRm"/>
          <w:color w:val="000000"/>
          <w:sz w:val="26"/>
          <w:szCs w:val="26"/>
        </w:rPr>
        <w:t>E</w:t>
      </w:r>
      <w:r w:rsidR="00985D73">
        <w:rPr>
          <w:rFonts w:ascii="AdvCaeciliaRm" w:hAnsi="AdvCaeciliaRm" w:cs="AdvCaeciliaRm"/>
          <w:color w:val="000000"/>
          <w:sz w:val="26"/>
          <w:szCs w:val="26"/>
        </w:rPr>
        <w:t>.</w:t>
      </w:r>
      <w:r w:rsidR="00985D73" w:rsidRPr="00985D73">
        <w:rPr>
          <w:rFonts w:ascii="AdvCaeciliaRm" w:hAnsi="AdvCaeciliaRm" w:cs="AdvCaeciliaRm"/>
          <w:color w:val="000000"/>
          <w:sz w:val="26"/>
          <w:szCs w:val="26"/>
        </w:rPr>
        <w:t xml:space="preserve"> </w:t>
      </w:r>
      <w:proofErr w:type="spellStart"/>
      <w:r w:rsidR="00985D73" w:rsidRPr="00985D73">
        <w:rPr>
          <w:rFonts w:ascii="AdvCaeciliaRm" w:hAnsi="AdvCaeciliaRm" w:cs="AdvCaeciliaRm"/>
          <w:color w:val="000000"/>
          <w:sz w:val="26"/>
          <w:szCs w:val="26"/>
        </w:rPr>
        <w:t>Kirilina</w:t>
      </w:r>
      <w:proofErr w:type="spellEnd"/>
      <w:r w:rsidR="00985D73">
        <w:rPr>
          <w:rFonts w:ascii="AdvCaeciliaRm" w:hAnsi="AdvCaeciliaRm" w:cs="AdvCaeciliaRm"/>
          <w:color w:val="000000"/>
          <w:sz w:val="26"/>
          <w:szCs w:val="26"/>
        </w:rPr>
        <w:t xml:space="preserve">, </w:t>
      </w:r>
      <w:r>
        <w:rPr>
          <w:rFonts w:ascii="AdvCaeciliaRm" w:hAnsi="AdvCaeciliaRm" w:cs="AdvCaeciliaRm"/>
          <w:color w:val="000000"/>
          <w:sz w:val="26"/>
          <w:szCs w:val="26"/>
        </w:rPr>
        <w:t xml:space="preserve">H. Velten, D. </w:t>
      </w:r>
      <w:proofErr w:type="spellStart"/>
      <w:r>
        <w:rPr>
          <w:rFonts w:ascii="AdvCaeciliaRm" w:hAnsi="AdvCaeciliaRm" w:cs="AdvCaeciliaRm"/>
          <w:color w:val="000000"/>
          <w:sz w:val="26"/>
          <w:szCs w:val="26"/>
        </w:rPr>
        <w:t>Mavrodis</w:t>
      </w:r>
      <w:proofErr w:type="spellEnd"/>
      <w:r>
        <w:rPr>
          <w:rFonts w:ascii="AdvCaeciliaRm" w:hAnsi="AdvCaeciliaRm" w:cs="AdvCaeciliaRm"/>
          <w:color w:val="000000"/>
          <w:sz w:val="26"/>
          <w:szCs w:val="26"/>
        </w:rPr>
        <w:t>,</w:t>
      </w:r>
    </w:p>
    <w:p w14:paraId="3EC5C00A" w14:textId="2B2C68F8" w:rsidR="004006F7" w:rsidRDefault="004006F7" w:rsidP="004006F7">
      <w:pPr>
        <w:rPr>
          <w:rFonts w:ascii="AdvCaeciliaRm" w:hAnsi="AdvCaeciliaRm" w:cs="AdvCaeciliaRm"/>
          <w:color w:val="000000"/>
          <w:sz w:val="26"/>
          <w:szCs w:val="26"/>
        </w:rPr>
      </w:pPr>
      <w:r>
        <w:rPr>
          <w:rFonts w:ascii="AdvCaeciliaRm" w:hAnsi="AdvCaeciliaRm" w:cs="AdvCaeciliaRm"/>
          <w:color w:val="000000"/>
          <w:sz w:val="26"/>
          <w:szCs w:val="26"/>
        </w:rPr>
        <w:t>M. Scheel, F. Blankenburg</w:t>
      </w:r>
      <w:r>
        <w:rPr>
          <w:rFonts w:ascii="AdvCaeciliaRm" w:hAnsi="AdvCaeciliaRm" w:cs="AdvCaeciliaRm"/>
          <w:color w:val="2197D2"/>
          <w:sz w:val="18"/>
          <w:szCs w:val="18"/>
        </w:rPr>
        <w:t xml:space="preserve"> </w:t>
      </w:r>
      <w:r>
        <w:rPr>
          <w:rFonts w:ascii="AdvCaeciliaRm" w:hAnsi="AdvCaeciliaRm" w:cs="AdvCaeciliaRm"/>
          <w:color w:val="000000"/>
          <w:sz w:val="26"/>
          <w:szCs w:val="26"/>
        </w:rPr>
        <w:t>and F. von Dincklage</w:t>
      </w:r>
    </w:p>
    <w:p w14:paraId="60819986" w14:textId="2CE066AA" w:rsidR="00985D73" w:rsidRDefault="001F2366" w:rsidP="006C0548">
      <w:pPr>
        <w:rPr>
          <w:b/>
        </w:rPr>
      </w:pPr>
      <w:hyperlink r:id="rId4" w:history="1">
        <w:r w:rsidR="00985D73" w:rsidRPr="004C72AA">
          <w:rPr>
            <w:rStyle w:val="Hyperlink"/>
            <w:b/>
          </w:rPr>
          <w:t>https://pubmed.ncbi.nlm.nih.gov/29421324/</w:t>
        </w:r>
      </w:hyperlink>
    </w:p>
    <w:p w14:paraId="5273D2F9" w14:textId="77777777" w:rsidR="00985D73" w:rsidRDefault="00985D73" w:rsidP="00985D73">
      <w:pPr>
        <w:rPr>
          <w:lang w:val="en-US"/>
        </w:rPr>
      </w:pPr>
      <w:r w:rsidRPr="00985D73">
        <w:rPr>
          <w:lang w:val="en-US"/>
        </w:rPr>
        <w:t>Drug-induced unconsciousness is an essential component of general anesthesia, commonly attributed to attenuation</w:t>
      </w:r>
      <w:r>
        <w:rPr>
          <w:lang w:val="en-US"/>
        </w:rPr>
        <w:t xml:space="preserve"> </w:t>
      </w:r>
      <w:r w:rsidRPr="00985D73">
        <w:rPr>
          <w:lang w:val="en-US"/>
        </w:rPr>
        <w:t>of higher-order processing of external stimuli and a resulting loss of information integration capabilities of</w:t>
      </w:r>
      <w:r>
        <w:rPr>
          <w:lang w:val="en-US"/>
        </w:rPr>
        <w:t xml:space="preserve"> </w:t>
      </w:r>
      <w:r w:rsidRPr="00985D73">
        <w:rPr>
          <w:lang w:val="en-US"/>
        </w:rPr>
        <w:t>the brain. In this study, we investigated how the hypnotic drug propofol at doses comparable to those in clinical</w:t>
      </w:r>
      <w:r>
        <w:rPr>
          <w:lang w:val="en-US"/>
        </w:rPr>
        <w:t xml:space="preserve"> </w:t>
      </w:r>
      <w:r w:rsidRPr="00985D73">
        <w:rPr>
          <w:lang w:val="en-US"/>
        </w:rPr>
        <w:t>practice influences the processing of somatosensory stimuli in the spinal cord and in primary and higher-order</w:t>
      </w:r>
      <w:r>
        <w:rPr>
          <w:lang w:val="en-US"/>
        </w:rPr>
        <w:t xml:space="preserve"> </w:t>
      </w:r>
      <w:r w:rsidRPr="00985D73">
        <w:rPr>
          <w:lang w:val="en-US"/>
        </w:rPr>
        <w:t xml:space="preserve">cortices. </w:t>
      </w:r>
    </w:p>
    <w:p w14:paraId="5D8CC200" w14:textId="77777777" w:rsidR="00985D73" w:rsidRDefault="00985D73" w:rsidP="00985D73">
      <w:pPr>
        <w:rPr>
          <w:lang w:val="en-US"/>
        </w:rPr>
      </w:pPr>
      <w:r w:rsidRPr="00985D73">
        <w:rPr>
          <w:lang w:val="en-US"/>
        </w:rPr>
        <w:t>Using nociceptive reflexes, somatosensory evoked potentials and functional magnet resonance imaging</w:t>
      </w:r>
      <w:r>
        <w:rPr>
          <w:lang w:val="en-US"/>
        </w:rPr>
        <w:t xml:space="preserve"> </w:t>
      </w:r>
      <w:r w:rsidRPr="00985D73">
        <w:rPr>
          <w:lang w:val="en-US"/>
        </w:rPr>
        <w:t>(fMRI), we found that propofol abolishes the processing of innocuous and moderate noxious stimuli at low to</w:t>
      </w:r>
      <w:r>
        <w:rPr>
          <w:lang w:val="en-US"/>
        </w:rPr>
        <w:t xml:space="preserve"> </w:t>
      </w:r>
      <w:r w:rsidRPr="00985D73">
        <w:rPr>
          <w:lang w:val="en-US"/>
        </w:rPr>
        <w:t>medium concentration levels, but that intense noxious stimuli evoked spinal and cerebral responses even during</w:t>
      </w:r>
      <w:r>
        <w:rPr>
          <w:lang w:val="en-US"/>
        </w:rPr>
        <w:t xml:space="preserve"> </w:t>
      </w:r>
      <w:r w:rsidRPr="00985D73">
        <w:rPr>
          <w:lang w:val="en-US"/>
        </w:rPr>
        <w:t xml:space="preserve">deep propofol anesthesia that caused profound electroencephalogram (EEG) burst suppression. </w:t>
      </w:r>
    </w:p>
    <w:p w14:paraId="778C4594" w14:textId="77777777" w:rsidR="00985D73" w:rsidRDefault="00985D73" w:rsidP="00985D73">
      <w:pPr>
        <w:rPr>
          <w:lang w:val="en-US"/>
        </w:rPr>
      </w:pPr>
      <w:r w:rsidRPr="00985D73">
        <w:rPr>
          <w:lang w:val="en-US"/>
        </w:rPr>
        <w:t>While nociceptive</w:t>
      </w:r>
      <w:r>
        <w:rPr>
          <w:lang w:val="en-US"/>
        </w:rPr>
        <w:t xml:space="preserve"> </w:t>
      </w:r>
      <w:r w:rsidRPr="00985D73">
        <w:rPr>
          <w:lang w:val="en-US"/>
        </w:rPr>
        <w:t>reflexes and somatosensory potentials were affected only in a minor way by further increasing doses of propofol</w:t>
      </w:r>
      <w:r>
        <w:rPr>
          <w:lang w:val="en-US"/>
        </w:rPr>
        <w:t xml:space="preserve"> </w:t>
      </w:r>
      <w:r w:rsidRPr="00985D73">
        <w:rPr>
          <w:lang w:val="en-US"/>
        </w:rPr>
        <w:t>after the loss of consciousness, fMRI showed that increasing propofol concentration abolished processing of</w:t>
      </w:r>
      <w:r>
        <w:rPr>
          <w:lang w:val="en-US"/>
        </w:rPr>
        <w:t xml:space="preserve"> </w:t>
      </w:r>
      <w:r w:rsidRPr="00985D73">
        <w:rPr>
          <w:lang w:val="en-US"/>
        </w:rPr>
        <w:t>intense noxious stimuli in the insula and secondary somatosensory cortex and vastly increased processing in the</w:t>
      </w:r>
      <w:r>
        <w:rPr>
          <w:lang w:val="en-US"/>
        </w:rPr>
        <w:t xml:space="preserve"> </w:t>
      </w:r>
      <w:r w:rsidRPr="00985D73">
        <w:rPr>
          <w:lang w:val="en-US"/>
        </w:rPr>
        <w:t xml:space="preserve">frontal cortex. </w:t>
      </w:r>
    </w:p>
    <w:p w14:paraId="1590B5F6" w14:textId="7BFB6CDD" w:rsidR="00AE5722" w:rsidRPr="006C0548" w:rsidRDefault="00985D73" w:rsidP="00985D73">
      <w:pPr>
        <w:rPr>
          <w:lang w:val="en-US"/>
        </w:rPr>
      </w:pPr>
      <w:r w:rsidRPr="00985D73">
        <w:rPr>
          <w:lang w:val="en-US"/>
        </w:rPr>
        <w:t>As the fMRI functional connectivity showed congruent changes with increasing doses of propofol –</w:t>
      </w:r>
      <w:r>
        <w:rPr>
          <w:lang w:val="en-US"/>
        </w:rPr>
        <w:t xml:space="preserve"> </w:t>
      </w:r>
      <w:r w:rsidRPr="00985D73">
        <w:rPr>
          <w:lang w:val="en-US"/>
        </w:rPr>
        <w:t>namely the temporal brain areas decreasing their connectivity with the bilateral pre-/postcentral gyri and the</w:t>
      </w:r>
      <w:r>
        <w:rPr>
          <w:lang w:val="en-US"/>
        </w:rPr>
        <w:t xml:space="preserve"> </w:t>
      </w:r>
      <w:r w:rsidRPr="00985D73">
        <w:rPr>
          <w:lang w:val="en-US"/>
        </w:rPr>
        <w:t>supplementary motor area, while connectivity of the latter with frontal areas is increased – we conclude that the</w:t>
      </w:r>
      <w:r>
        <w:rPr>
          <w:lang w:val="en-US"/>
        </w:rPr>
        <w:t xml:space="preserve"> </w:t>
      </w:r>
      <w:r w:rsidRPr="00985D73">
        <w:rPr>
          <w:lang w:val="en-US"/>
        </w:rPr>
        <w:t>changes in processing of noxious stimuli during propofol anesthesia might be related to changes in functional</w:t>
      </w:r>
      <w:r>
        <w:rPr>
          <w:lang w:val="en-US"/>
        </w:rPr>
        <w:t xml:space="preserve"> </w:t>
      </w:r>
      <w:r w:rsidRPr="00985D73">
        <w:rPr>
          <w:lang w:val="en-US"/>
        </w:rPr>
        <w:t>connectivity.</w:t>
      </w:r>
    </w:p>
    <w:sectPr w:rsidR="00AE5722" w:rsidRPr="006C054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vCaeciliaB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dvCaeciliaRm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2814"/>
    <w:rsid w:val="001E14D4"/>
    <w:rsid w:val="001F2366"/>
    <w:rsid w:val="004006F7"/>
    <w:rsid w:val="006C0548"/>
    <w:rsid w:val="00985D73"/>
    <w:rsid w:val="00A02814"/>
    <w:rsid w:val="00AE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B6733"/>
  <w15:chartTrackingRefBased/>
  <w15:docId w15:val="{9A78C873-BC6D-4F86-866F-9FB094785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4006F7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006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ubmed.ncbi.nlm.nih.gov/29421324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vonDincklage, Falk</dc:creator>
  <cp:keywords/>
  <dc:description/>
  <cp:lastModifiedBy>vonDincklage, Falk</cp:lastModifiedBy>
  <cp:revision>4</cp:revision>
  <dcterms:created xsi:type="dcterms:W3CDTF">2021-11-26T10:29:00Z</dcterms:created>
  <dcterms:modified xsi:type="dcterms:W3CDTF">2021-11-26T10:34:00Z</dcterms:modified>
</cp:coreProperties>
</file>