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EF0" w:rsidRDefault="0047340E" w:rsidP="00376EF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47340E">
        <w:rPr>
          <w:rFonts w:ascii="Arial" w:hAnsi="Arial" w:cs="Arial"/>
          <w:b/>
        </w:rPr>
        <w:t xml:space="preserve">Table 1:  </w:t>
      </w:r>
      <w:r w:rsidRPr="0047340E">
        <w:rPr>
          <w:rFonts w:ascii="Arial" w:hAnsi="Arial" w:cs="Arial"/>
          <w:b/>
          <w:bCs/>
        </w:rPr>
        <w:t xml:space="preserve">Overall Summary of Treatment-emergent Adverse Events </w:t>
      </w:r>
      <w:r w:rsidR="00376EF0">
        <w:rPr>
          <w:rFonts w:ascii="Arial" w:hAnsi="Arial" w:cs="Arial"/>
          <w:b/>
          <w:bCs/>
        </w:rPr>
        <w:t>in LX1606.203</w:t>
      </w:r>
    </w:p>
    <w:p w:rsidR="00E50D21" w:rsidRDefault="001206DA" w:rsidP="0047340E">
      <w:pPr>
        <w:rPr>
          <w:rFonts w:ascii="Arial" w:hAnsi="Arial" w:cs="Arial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5"/>
        <w:gridCol w:w="1800"/>
        <w:gridCol w:w="1080"/>
        <w:gridCol w:w="1440"/>
        <w:gridCol w:w="1440"/>
      </w:tblGrid>
      <w:tr w:rsidR="00223CF9" w:rsidRPr="00223CF9" w:rsidTr="0010337A">
        <w:tc>
          <w:tcPr>
            <w:tcW w:w="5575" w:type="dxa"/>
          </w:tcPr>
          <w:p w:rsidR="00223CF9" w:rsidRPr="00223CF9" w:rsidRDefault="00223CF9" w:rsidP="0047340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80" w:type="dxa"/>
            <w:gridSpan w:val="2"/>
          </w:tcPr>
          <w:p w:rsidR="00223CF9" w:rsidRPr="00223CF9" w:rsidRDefault="00223CF9" w:rsidP="0047340E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 xml:space="preserve">Core Phase </w:t>
            </w:r>
          </w:p>
          <w:p w:rsidR="00223CF9" w:rsidRPr="00223CF9" w:rsidRDefault="00223CF9" w:rsidP="0047340E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All Patients (N=15)</w:t>
            </w:r>
          </w:p>
        </w:tc>
        <w:tc>
          <w:tcPr>
            <w:tcW w:w="2880" w:type="dxa"/>
            <w:gridSpan w:val="2"/>
          </w:tcPr>
          <w:p w:rsidR="00223CF9" w:rsidRPr="00223CF9" w:rsidRDefault="00223CF9" w:rsidP="0047340E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Extension Period</w:t>
            </w:r>
          </w:p>
          <w:p w:rsidR="00223CF9" w:rsidRPr="00223CF9" w:rsidRDefault="00223CF9" w:rsidP="0047340E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All Patients (N=11)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223CF9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Statistic</w:t>
            </w:r>
          </w:p>
        </w:tc>
        <w:tc>
          <w:tcPr>
            <w:tcW w:w="1800" w:type="dxa"/>
          </w:tcPr>
          <w:p w:rsidR="00223CF9" w:rsidRPr="00223CF9" w:rsidRDefault="00223CF9" w:rsidP="00223CF9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Patients</w:t>
            </w:r>
          </w:p>
        </w:tc>
        <w:tc>
          <w:tcPr>
            <w:tcW w:w="1080" w:type="dxa"/>
          </w:tcPr>
          <w:p w:rsidR="00223CF9" w:rsidRPr="00223CF9" w:rsidRDefault="00223CF9" w:rsidP="00223CF9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Events</w:t>
            </w:r>
          </w:p>
        </w:tc>
        <w:tc>
          <w:tcPr>
            <w:tcW w:w="1440" w:type="dxa"/>
          </w:tcPr>
          <w:p w:rsidR="00223CF9" w:rsidRPr="00223CF9" w:rsidRDefault="00223CF9" w:rsidP="00223CF9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Patients</w:t>
            </w:r>
          </w:p>
        </w:tc>
        <w:tc>
          <w:tcPr>
            <w:tcW w:w="1440" w:type="dxa"/>
          </w:tcPr>
          <w:p w:rsidR="00223CF9" w:rsidRPr="00223CF9" w:rsidRDefault="00223CF9" w:rsidP="00223CF9">
            <w:pPr>
              <w:rPr>
                <w:rFonts w:ascii="Arial" w:hAnsi="Arial" w:cs="Arial"/>
                <w:b/>
                <w:bCs/>
              </w:rPr>
            </w:pPr>
            <w:r w:rsidRPr="00223CF9">
              <w:rPr>
                <w:rFonts w:ascii="Arial" w:hAnsi="Arial" w:cs="Arial"/>
                <w:b/>
                <w:bCs/>
              </w:rPr>
              <w:t>Events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223CF9">
            <w:pPr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Patients with any TEAE, n (%)</w:t>
            </w:r>
          </w:p>
        </w:tc>
        <w:tc>
          <w:tcPr>
            <w:tcW w:w="180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15 (100)</w:t>
            </w:r>
          </w:p>
        </w:tc>
        <w:tc>
          <w:tcPr>
            <w:tcW w:w="108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81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11 (100)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129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47340E">
            <w:pPr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Patients with any severe TEAE, n (%)</w:t>
            </w:r>
          </w:p>
        </w:tc>
        <w:tc>
          <w:tcPr>
            <w:tcW w:w="180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4 (26.7)</w:t>
            </w:r>
          </w:p>
        </w:tc>
        <w:tc>
          <w:tcPr>
            <w:tcW w:w="108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5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7 (63.6)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15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47340E">
            <w:pPr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Patients with any treatment–related TEAE, n (%)</w:t>
            </w:r>
          </w:p>
        </w:tc>
        <w:tc>
          <w:tcPr>
            <w:tcW w:w="180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5 (33.3)</w:t>
            </w:r>
          </w:p>
        </w:tc>
        <w:tc>
          <w:tcPr>
            <w:tcW w:w="108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20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4 (36.4)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7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376EF0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Patients with any TEAE leading to study drug discontinuation, n</w:t>
            </w:r>
            <w:r w:rsidR="00376EF0">
              <w:rPr>
                <w:rFonts w:ascii="Arial" w:hAnsi="Arial" w:cs="Arial"/>
              </w:rPr>
              <w:t xml:space="preserve"> </w:t>
            </w:r>
            <w:r w:rsidRPr="00223CF9">
              <w:rPr>
                <w:rFonts w:ascii="Arial" w:hAnsi="Arial" w:cs="Arial"/>
              </w:rPr>
              <w:t>(%)</w:t>
            </w:r>
          </w:p>
        </w:tc>
        <w:tc>
          <w:tcPr>
            <w:tcW w:w="180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0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3 (27.3)</w:t>
            </w:r>
          </w:p>
        </w:tc>
        <w:tc>
          <w:tcPr>
            <w:tcW w:w="144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5</w:t>
            </w:r>
          </w:p>
        </w:tc>
      </w:tr>
      <w:tr w:rsidR="00223CF9" w:rsidRPr="00223CF9" w:rsidTr="003E6014">
        <w:tc>
          <w:tcPr>
            <w:tcW w:w="5575" w:type="dxa"/>
          </w:tcPr>
          <w:p w:rsidR="00223CF9" w:rsidRPr="00223CF9" w:rsidRDefault="00223CF9" w:rsidP="0047340E">
            <w:pPr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Patients with any SAE (serious TEAE), n (%)</w:t>
            </w:r>
          </w:p>
        </w:tc>
        <w:tc>
          <w:tcPr>
            <w:tcW w:w="180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3 (20.0)</w:t>
            </w:r>
          </w:p>
        </w:tc>
        <w:tc>
          <w:tcPr>
            <w:tcW w:w="1080" w:type="dxa"/>
          </w:tcPr>
          <w:p w:rsidR="00223CF9" w:rsidRPr="00223CF9" w:rsidRDefault="00223CF9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5</w:t>
            </w:r>
          </w:p>
        </w:tc>
        <w:tc>
          <w:tcPr>
            <w:tcW w:w="1440" w:type="dxa"/>
          </w:tcPr>
          <w:p w:rsidR="00223CF9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7 (63.6)</w:t>
            </w:r>
          </w:p>
        </w:tc>
        <w:tc>
          <w:tcPr>
            <w:tcW w:w="1440" w:type="dxa"/>
          </w:tcPr>
          <w:p w:rsidR="00223CF9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20</w:t>
            </w:r>
          </w:p>
        </w:tc>
      </w:tr>
      <w:tr w:rsidR="00376EF0" w:rsidRPr="00223CF9" w:rsidTr="003E6014">
        <w:tc>
          <w:tcPr>
            <w:tcW w:w="5575" w:type="dxa"/>
          </w:tcPr>
          <w:p w:rsidR="00376EF0" w:rsidRPr="00223CF9" w:rsidRDefault="00376EF0" w:rsidP="00376EF0">
            <w:pPr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Patients with any TEAE resulting in death, n (%)</w:t>
            </w:r>
          </w:p>
        </w:tc>
        <w:tc>
          <w:tcPr>
            <w:tcW w:w="1800" w:type="dxa"/>
          </w:tcPr>
          <w:p w:rsidR="00376EF0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0</w:t>
            </w:r>
          </w:p>
        </w:tc>
        <w:tc>
          <w:tcPr>
            <w:tcW w:w="1080" w:type="dxa"/>
          </w:tcPr>
          <w:p w:rsidR="00376EF0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223CF9">
              <w:rPr>
                <w:rFonts w:ascii="Arial" w:hAnsi="Arial" w:cs="Arial"/>
              </w:rPr>
              <w:t>0</w:t>
            </w:r>
          </w:p>
        </w:tc>
        <w:tc>
          <w:tcPr>
            <w:tcW w:w="1440" w:type="dxa"/>
          </w:tcPr>
          <w:p w:rsidR="00376EF0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1 (9.1)</w:t>
            </w:r>
          </w:p>
        </w:tc>
        <w:tc>
          <w:tcPr>
            <w:tcW w:w="1440" w:type="dxa"/>
          </w:tcPr>
          <w:p w:rsidR="00376EF0" w:rsidRPr="00223CF9" w:rsidRDefault="00376EF0" w:rsidP="00376EF0">
            <w:pPr>
              <w:jc w:val="center"/>
              <w:rPr>
                <w:rFonts w:ascii="Arial" w:hAnsi="Arial" w:cs="Arial"/>
              </w:rPr>
            </w:pPr>
            <w:r w:rsidRPr="00376EF0">
              <w:rPr>
                <w:rFonts w:ascii="Arial" w:hAnsi="Arial" w:cs="Arial"/>
              </w:rPr>
              <w:t>1</w:t>
            </w:r>
            <w:r w:rsidR="009B71D9">
              <w:rPr>
                <w:rFonts w:ascii="Arial" w:hAnsi="Arial" w:cs="Arial"/>
              </w:rPr>
              <w:t>*</w:t>
            </w:r>
          </w:p>
        </w:tc>
      </w:tr>
    </w:tbl>
    <w:p w:rsidR="009B71D9" w:rsidRPr="009B71D9" w:rsidRDefault="009B71D9" w:rsidP="009B71D9">
      <w:pPr>
        <w:autoSpaceDE w:val="0"/>
        <w:autoSpaceDN w:val="0"/>
        <w:adjustRightInd w:val="0"/>
        <w:spacing w:after="0" w:line="240" w:lineRule="auto"/>
        <w:ind w:left="360" w:hanging="180"/>
        <w:rPr>
          <w:rFonts w:ascii="Arial" w:hAnsi="Arial" w:cs="Arial"/>
          <w:sz w:val="18"/>
          <w:szCs w:val="18"/>
        </w:rPr>
      </w:pPr>
      <w:r w:rsidRPr="009B71D9">
        <w:rPr>
          <w:rFonts w:ascii="Arial" w:hAnsi="Arial" w:cs="Arial"/>
          <w:sz w:val="18"/>
          <w:szCs w:val="18"/>
        </w:rPr>
        <w:t>*</w:t>
      </w:r>
      <w:r>
        <w:rPr>
          <w:rFonts w:ascii="Arial" w:hAnsi="Arial" w:cs="Arial"/>
          <w:sz w:val="18"/>
          <w:szCs w:val="18"/>
        </w:rPr>
        <w:t xml:space="preserve">One patient </w:t>
      </w:r>
      <w:r w:rsidRPr="009B71D9">
        <w:rPr>
          <w:rFonts w:ascii="Arial" w:hAnsi="Arial" w:cs="Arial"/>
          <w:sz w:val="18"/>
          <w:szCs w:val="18"/>
        </w:rPr>
        <w:t xml:space="preserve">experienced a severe SAE (neoplasm progression) that led to death; the event was considered </w:t>
      </w:r>
      <w:r w:rsidR="001206DA">
        <w:rPr>
          <w:rFonts w:ascii="Arial" w:hAnsi="Arial" w:cs="Arial"/>
          <w:sz w:val="18"/>
          <w:szCs w:val="18"/>
        </w:rPr>
        <w:t>un</w:t>
      </w:r>
      <w:r w:rsidRPr="009B71D9">
        <w:rPr>
          <w:rFonts w:ascii="Arial" w:hAnsi="Arial" w:cs="Arial"/>
          <w:sz w:val="18"/>
          <w:szCs w:val="18"/>
        </w:rPr>
        <w:t>related to study drug</w:t>
      </w:r>
      <w:r w:rsidR="001206DA">
        <w:rPr>
          <w:rFonts w:ascii="Arial" w:hAnsi="Arial" w:cs="Arial"/>
          <w:sz w:val="18"/>
          <w:szCs w:val="18"/>
        </w:rPr>
        <w:t>.</w:t>
      </w:r>
      <w:bookmarkStart w:id="0" w:name="_GoBack"/>
      <w:bookmarkEnd w:id="0"/>
    </w:p>
    <w:p w:rsidR="0047340E" w:rsidRPr="00376EF0" w:rsidRDefault="0047340E" w:rsidP="0047340E">
      <w:pPr>
        <w:autoSpaceDE w:val="0"/>
        <w:autoSpaceDN w:val="0"/>
        <w:adjustRightInd w:val="0"/>
        <w:spacing w:after="0" w:line="240" w:lineRule="auto"/>
        <w:ind w:left="360" w:hanging="180"/>
        <w:rPr>
          <w:rFonts w:ascii="Arial" w:hAnsi="Arial" w:cs="Arial"/>
          <w:sz w:val="18"/>
          <w:szCs w:val="18"/>
        </w:rPr>
      </w:pPr>
      <w:r w:rsidRPr="00376EF0">
        <w:rPr>
          <w:rFonts w:ascii="Arial" w:hAnsi="Arial" w:cs="Arial"/>
          <w:b/>
          <w:bCs/>
          <w:sz w:val="18"/>
          <w:szCs w:val="18"/>
        </w:rPr>
        <w:t xml:space="preserve">Note: </w:t>
      </w:r>
      <w:r w:rsidRPr="00376EF0">
        <w:rPr>
          <w:rFonts w:ascii="Arial" w:hAnsi="Arial" w:cs="Arial"/>
          <w:sz w:val="18"/>
          <w:szCs w:val="18"/>
        </w:rPr>
        <w:t>Percentages are based on the number of patients in the Safety Set.</w:t>
      </w:r>
    </w:p>
    <w:p w:rsidR="0047340E" w:rsidRPr="00376EF0" w:rsidRDefault="0047340E" w:rsidP="0047340E">
      <w:pPr>
        <w:ind w:left="270" w:hanging="270"/>
        <w:rPr>
          <w:rFonts w:ascii="Arial" w:hAnsi="Arial" w:cs="Arial"/>
        </w:rPr>
      </w:pPr>
      <w:r w:rsidRPr="00376EF0">
        <w:rPr>
          <w:rFonts w:ascii="Arial" w:hAnsi="Arial" w:cs="Arial"/>
          <w:sz w:val="18"/>
          <w:szCs w:val="18"/>
        </w:rPr>
        <w:t xml:space="preserve">    Abbreviation: SAE = serious adverse event; TEAE = treatment-emergent adverse event.</w:t>
      </w:r>
    </w:p>
    <w:sectPr w:rsidR="0047340E" w:rsidRPr="00376EF0" w:rsidSect="00223CF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40E"/>
    <w:rsid w:val="001206DA"/>
    <w:rsid w:val="00186912"/>
    <w:rsid w:val="00205E09"/>
    <w:rsid w:val="00223CF9"/>
    <w:rsid w:val="00376EF0"/>
    <w:rsid w:val="0047340E"/>
    <w:rsid w:val="004A407A"/>
    <w:rsid w:val="007E3520"/>
    <w:rsid w:val="009B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4AE262-C847-4C0C-ABE1-854CD878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0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Scott, Cyndi</dc:creator>
  <cp:keywords/>
  <dc:description/>
  <cp:lastModifiedBy>Scott, Cyndi</cp:lastModifiedBy>
  <cp:revision>2</cp:revision>
  <dcterms:created xsi:type="dcterms:W3CDTF">2016-11-10T18:31:00Z</dcterms:created>
  <dcterms:modified xsi:type="dcterms:W3CDTF">2016-11-10T18:31:00Z</dcterms:modified>
</cp:coreProperties>
</file>