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2252"/>
        <w:gridCol w:w="2252"/>
        <w:gridCol w:w="2253"/>
      </w:tblGrid>
      <w:tr w:rsidR="008A04B4" w:rsidRPr="008A04B4" w14:paraId="095C1C4C" w14:textId="77777777" w:rsidTr="00727364">
        <w:tc>
          <w:tcPr>
            <w:tcW w:w="2254" w:type="dxa"/>
          </w:tcPr>
          <w:p w14:paraId="68E52C24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54" w:type="dxa"/>
          </w:tcPr>
          <w:p w14:paraId="3ADB5358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All subjects (n=23)</w:t>
            </w:r>
          </w:p>
        </w:tc>
        <w:tc>
          <w:tcPr>
            <w:tcW w:w="2254" w:type="dxa"/>
          </w:tcPr>
          <w:p w14:paraId="0B1930E3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Low dose group (n=13)</w:t>
            </w:r>
          </w:p>
        </w:tc>
        <w:tc>
          <w:tcPr>
            <w:tcW w:w="2254" w:type="dxa"/>
          </w:tcPr>
          <w:p w14:paraId="607526BD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High dose group (n=10)</w:t>
            </w:r>
          </w:p>
        </w:tc>
      </w:tr>
      <w:tr w:rsidR="008A04B4" w:rsidRPr="008A04B4" w14:paraId="62A0BC4F" w14:textId="77777777" w:rsidTr="00727364">
        <w:tc>
          <w:tcPr>
            <w:tcW w:w="2254" w:type="dxa"/>
          </w:tcPr>
          <w:p w14:paraId="2DB637D9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Total serious adverse events</w:t>
            </w:r>
          </w:p>
        </w:tc>
        <w:tc>
          <w:tcPr>
            <w:tcW w:w="2254" w:type="dxa"/>
          </w:tcPr>
          <w:p w14:paraId="42894810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10 in 7 subjects</w:t>
            </w:r>
          </w:p>
        </w:tc>
        <w:tc>
          <w:tcPr>
            <w:tcW w:w="2254" w:type="dxa"/>
          </w:tcPr>
          <w:p w14:paraId="279E6B8D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6 events in 4 patients</w:t>
            </w:r>
          </w:p>
        </w:tc>
        <w:tc>
          <w:tcPr>
            <w:tcW w:w="2254" w:type="dxa"/>
          </w:tcPr>
          <w:p w14:paraId="0390BC9E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4 events in 3 patients</w:t>
            </w:r>
          </w:p>
        </w:tc>
      </w:tr>
      <w:tr w:rsidR="008A04B4" w:rsidRPr="008A04B4" w14:paraId="4DA016EC" w14:textId="77777777" w:rsidTr="00727364">
        <w:tc>
          <w:tcPr>
            <w:tcW w:w="2254" w:type="dxa"/>
          </w:tcPr>
          <w:p w14:paraId="4B650468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Events before alemtuzumab</w:t>
            </w:r>
          </w:p>
        </w:tc>
        <w:tc>
          <w:tcPr>
            <w:tcW w:w="2254" w:type="dxa"/>
          </w:tcPr>
          <w:p w14:paraId="7D66DE39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2 events in 1 subject</w:t>
            </w:r>
          </w:p>
        </w:tc>
        <w:tc>
          <w:tcPr>
            <w:tcW w:w="2254" w:type="dxa"/>
          </w:tcPr>
          <w:p w14:paraId="6E6825BE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2 events in 1 subject</w:t>
            </w:r>
          </w:p>
        </w:tc>
        <w:tc>
          <w:tcPr>
            <w:tcW w:w="2254" w:type="dxa"/>
          </w:tcPr>
          <w:p w14:paraId="2C7CDFBD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None</w:t>
            </w:r>
          </w:p>
        </w:tc>
      </w:tr>
      <w:tr w:rsidR="008A04B4" w:rsidRPr="008A04B4" w14:paraId="63843544" w14:textId="77777777" w:rsidTr="00727364">
        <w:tc>
          <w:tcPr>
            <w:tcW w:w="2254" w:type="dxa"/>
          </w:tcPr>
          <w:p w14:paraId="119C3D98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Events unrelated to alemtuzumab</w:t>
            </w:r>
          </w:p>
        </w:tc>
        <w:tc>
          <w:tcPr>
            <w:tcW w:w="2254" w:type="dxa"/>
          </w:tcPr>
          <w:p w14:paraId="31F3AC3D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3 events in 3 subjects</w:t>
            </w:r>
          </w:p>
        </w:tc>
        <w:tc>
          <w:tcPr>
            <w:tcW w:w="2254" w:type="dxa"/>
          </w:tcPr>
          <w:p w14:paraId="6C236697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2 events in 2 subjects</w:t>
            </w:r>
          </w:p>
        </w:tc>
        <w:tc>
          <w:tcPr>
            <w:tcW w:w="2254" w:type="dxa"/>
          </w:tcPr>
          <w:p w14:paraId="2523A52B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1 event in 1 subject</w:t>
            </w:r>
          </w:p>
        </w:tc>
      </w:tr>
      <w:tr w:rsidR="008A04B4" w:rsidRPr="008A04B4" w14:paraId="18C6555C" w14:textId="77777777" w:rsidTr="00727364">
        <w:tc>
          <w:tcPr>
            <w:tcW w:w="2254" w:type="dxa"/>
          </w:tcPr>
          <w:p w14:paraId="61FC58F4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Events related to alemtuzumab</w:t>
            </w:r>
          </w:p>
        </w:tc>
        <w:tc>
          <w:tcPr>
            <w:tcW w:w="2254" w:type="dxa"/>
          </w:tcPr>
          <w:p w14:paraId="28ED6E05" w14:textId="77777777" w:rsidR="008A04B4" w:rsidRPr="008A04B4" w:rsidRDefault="008A04B4" w:rsidP="0072736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5 events in 5 subjects</w:t>
            </w:r>
          </w:p>
        </w:tc>
        <w:tc>
          <w:tcPr>
            <w:tcW w:w="2254" w:type="dxa"/>
          </w:tcPr>
          <w:p w14:paraId="37A28671" w14:textId="77777777" w:rsidR="008A04B4" w:rsidRPr="008A04B4" w:rsidRDefault="008A04B4" w:rsidP="008A04B4">
            <w:pPr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3 events in 3 subjects</w:t>
            </w:r>
          </w:p>
          <w:p w14:paraId="710C619C" w14:textId="77777777" w:rsidR="008A04B4" w:rsidRPr="008A04B4" w:rsidRDefault="008A04B4" w:rsidP="008A04B4">
            <w:pPr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2: infusion related reactions</w:t>
            </w:r>
          </w:p>
          <w:p w14:paraId="03097F3C" w14:textId="77777777" w:rsidR="008A04B4" w:rsidRPr="008A04B4" w:rsidRDefault="008A04B4" w:rsidP="008A04B4">
            <w:pPr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1: Clostridium difficile</w:t>
            </w:r>
          </w:p>
        </w:tc>
        <w:tc>
          <w:tcPr>
            <w:tcW w:w="2254" w:type="dxa"/>
          </w:tcPr>
          <w:p w14:paraId="1E62C118" w14:textId="77777777" w:rsidR="008A04B4" w:rsidRPr="008A04B4" w:rsidRDefault="008A04B4" w:rsidP="008A04B4">
            <w:pPr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2 events in 2 subjects</w:t>
            </w:r>
          </w:p>
          <w:p w14:paraId="4D967436" w14:textId="77777777" w:rsidR="008A04B4" w:rsidRPr="008A04B4" w:rsidRDefault="008A04B4" w:rsidP="008A04B4">
            <w:pPr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1: CMV colitis</w:t>
            </w:r>
          </w:p>
          <w:p w14:paraId="1FF518D5" w14:textId="77777777" w:rsidR="008A04B4" w:rsidRPr="008A04B4" w:rsidRDefault="008A04B4" w:rsidP="008A04B4">
            <w:pPr>
              <w:rPr>
                <w:rFonts w:ascii="Calibri" w:hAnsi="Calibri" w:cs="Calibri"/>
                <w:sz w:val="20"/>
                <w:szCs w:val="20"/>
              </w:rPr>
            </w:pPr>
            <w:r w:rsidRPr="008A04B4">
              <w:rPr>
                <w:rFonts w:ascii="Calibri" w:hAnsi="Calibri" w:cs="Calibri"/>
                <w:sz w:val="20"/>
                <w:szCs w:val="20"/>
              </w:rPr>
              <w:t>1: viral gastroenteritis</w:t>
            </w:r>
          </w:p>
        </w:tc>
      </w:tr>
    </w:tbl>
    <w:p w14:paraId="1993D6B7" w14:textId="77777777" w:rsidR="00BF407D" w:rsidRPr="008A04B4" w:rsidRDefault="00BF407D">
      <w:pPr>
        <w:rPr>
          <w:sz w:val="20"/>
          <w:szCs w:val="20"/>
        </w:rPr>
      </w:pPr>
      <w:bookmarkStart w:id="0" w:name="_GoBack"/>
      <w:bookmarkEnd w:id="0"/>
    </w:p>
    <w:sectPr w:rsidR="00BF407D" w:rsidRPr="008A04B4" w:rsidSect="00A00DC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4B4"/>
    <w:rsid w:val="008A04B4"/>
    <w:rsid w:val="00A00DCC"/>
    <w:rsid w:val="00BF407D"/>
    <w:rsid w:val="00F5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D4D13"/>
  <w15:chartTrackingRefBased/>
  <w15:docId w15:val="{11B23CFE-4C97-D241-8766-6C979F086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4B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4B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Gopaluni</dc:creator>
  <cp:keywords/>
  <dc:description/>
  <cp:lastModifiedBy>Pani Gopaluni</cp:lastModifiedBy>
  <cp:revision>1</cp:revision>
  <dcterms:created xsi:type="dcterms:W3CDTF">2019-05-21T09:17:00Z</dcterms:created>
  <dcterms:modified xsi:type="dcterms:W3CDTF">2019-05-21T09:17:00Z</dcterms:modified>
</cp:coreProperties>
</file>