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77B0BB" w14:textId="08A5D3A9" w:rsidR="002D431F" w:rsidRDefault="003746B5" w:rsidP="00461297">
      <w:pPr>
        <w:ind w:left="0"/>
        <w:rPr>
          <w:b/>
          <w:color w:val="000000"/>
          <w:sz w:val="18"/>
        </w:rPr>
      </w:pPr>
      <w:bookmarkStart w:id="0" w:name="_Toc472920066"/>
      <w:bookmarkStart w:id="1" w:name="_Toc472925460"/>
      <w:bookmarkStart w:id="2" w:name="_Toc472925776"/>
      <w:bookmarkStart w:id="3" w:name="_Toc301868087"/>
      <w:bookmarkStart w:id="4" w:name="_GoBack"/>
      <w:bookmarkEnd w:id="4"/>
      <w:r w:rsidRPr="00461297">
        <w:rPr>
          <w:b/>
          <w:sz w:val="28"/>
          <w:szCs w:val="28"/>
        </w:rPr>
        <w:t>SYNOPSIS</w:t>
      </w:r>
      <w:bookmarkEnd w:id="0"/>
      <w:bookmarkEnd w:id="1"/>
      <w:bookmarkEnd w:id="2"/>
      <w:bookmarkEnd w:id="3"/>
    </w:p>
    <w:p w14:paraId="5DC3EDAB" w14:textId="77777777" w:rsidR="002D431F" w:rsidRDefault="002D431F" w:rsidP="00461297">
      <w:pPr>
        <w:ind w:left="0"/>
        <w:rPr>
          <w:b/>
          <w:color w:val="000000"/>
          <w:sz w:val="18"/>
        </w:rPr>
      </w:pPr>
    </w:p>
    <w:p w14:paraId="464AF9D1" w14:textId="77777777" w:rsidR="003746B5" w:rsidRPr="00BB3B7F" w:rsidRDefault="003746B5" w:rsidP="00461297">
      <w:pPr>
        <w:ind w:left="0" w:firstLineChars="50" w:firstLine="90"/>
        <w:rPr>
          <w:b/>
          <w:color w:val="000000"/>
          <w:sz w:val="18"/>
        </w:rPr>
      </w:pPr>
      <w:r w:rsidRPr="00BB3B7F">
        <w:rPr>
          <w:b/>
          <w:color w:val="000000"/>
          <w:sz w:val="18"/>
        </w:rPr>
        <w:t>Study title</w:t>
      </w:r>
      <w:r w:rsidR="00C466FE">
        <w:rPr>
          <w:b/>
          <w:color w:val="000000"/>
          <w:sz w:val="18"/>
        </w:rPr>
        <w:tab/>
      </w:r>
    </w:p>
    <w:p w14:paraId="455EA722" w14:textId="77777777" w:rsidR="003746B5" w:rsidRPr="00BB3B7F" w:rsidRDefault="003746B5" w:rsidP="003D685A">
      <w:pPr>
        <w:pStyle w:val="synopsis"/>
        <w:ind w:left="57" w:rightChars="-85" w:right="-187"/>
        <w:jc w:val="both"/>
        <w:rPr>
          <w:bCs/>
          <w:sz w:val="18"/>
          <w:szCs w:val="18"/>
        </w:rPr>
      </w:pPr>
      <w:r w:rsidRPr="00BB3B7F">
        <w:rPr>
          <w:rFonts w:cs="Times-Roman"/>
          <w:caps/>
          <w:sz w:val="18"/>
          <w:szCs w:val="18"/>
          <w:lang w:val="en-US"/>
        </w:rPr>
        <w:t>A Randomized, Double-Blind, Placebo-Controlled, Sequential Dose Escalation study of the Safety, Tolerability, Pharmacodynamics and Pharmacokinetics of Single Subcutaneous Doses of HM11260C in adult patients with Type 2 Diabetes Mellitus</w:t>
      </w:r>
    </w:p>
    <w:p w14:paraId="5B3EA5E2" w14:textId="77777777" w:rsidR="003746B5" w:rsidRPr="00BB3B7F" w:rsidRDefault="003746B5" w:rsidP="003D685A">
      <w:pPr>
        <w:pStyle w:val="synopsis"/>
        <w:ind w:left="57" w:rightChars="-85" w:right="-187"/>
        <w:rPr>
          <w:b/>
          <w:color w:val="000000"/>
          <w:sz w:val="18"/>
        </w:rPr>
      </w:pPr>
    </w:p>
    <w:p w14:paraId="0D6EA379" w14:textId="77777777" w:rsidR="003746B5" w:rsidRPr="00BB3B7F" w:rsidRDefault="003746B5" w:rsidP="003D685A">
      <w:pPr>
        <w:pStyle w:val="synopsis"/>
        <w:ind w:left="57" w:rightChars="-85" w:right="-187"/>
        <w:rPr>
          <w:b/>
          <w:color w:val="000000"/>
          <w:sz w:val="18"/>
        </w:rPr>
      </w:pPr>
      <w:r w:rsidRPr="00BB3B7F">
        <w:rPr>
          <w:b/>
          <w:color w:val="000000"/>
          <w:sz w:val="18"/>
        </w:rPr>
        <w:t>Study code</w:t>
      </w:r>
    </w:p>
    <w:p w14:paraId="688220A9" w14:textId="77777777" w:rsidR="003746B5" w:rsidRPr="00BB3B7F" w:rsidRDefault="003746B5" w:rsidP="003D685A">
      <w:pPr>
        <w:pStyle w:val="synopsis"/>
        <w:tabs>
          <w:tab w:val="left" w:pos="2700"/>
          <w:tab w:val="left" w:pos="2800"/>
        </w:tabs>
        <w:ind w:left="2800" w:rightChars="-85" w:right="-187" w:hanging="2743"/>
        <w:jc w:val="both"/>
        <w:rPr>
          <w:color w:val="000000"/>
          <w:sz w:val="18"/>
        </w:rPr>
      </w:pPr>
      <w:r w:rsidRPr="00BB3B7F">
        <w:rPr>
          <w:color w:val="000000"/>
          <w:sz w:val="18"/>
        </w:rPr>
        <w:t>Sponsor code</w:t>
      </w:r>
      <w:r w:rsidRPr="00BB3B7F">
        <w:rPr>
          <w:color w:val="000000"/>
          <w:sz w:val="18"/>
        </w:rPr>
        <w:tab/>
        <w:t>:</w:t>
      </w:r>
      <w:r w:rsidRPr="00BB3B7F">
        <w:rPr>
          <w:color w:val="000000"/>
          <w:sz w:val="18"/>
        </w:rPr>
        <w:tab/>
        <w:t>10-HM11260C-201</w:t>
      </w:r>
    </w:p>
    <w:p w14:paraId="632BED14" w14:textId="77777777" w:rsidR="003746B5" w:rsidRPr="00BB3B7F" w:rsidRDefault="003746B5" w:rsidP="003D685A">
      <w:pPr>
        <w:pStyle w:val="synopsis"/>
        <w:tabs>
          <w:tab w:val="left" w:pos="2700"/>
          <w:tab w:val="left" w:pos="2800"/>
        </w:tabs>
        <w:ind w:left="2800" w:rightChars="-85" w:right="-187" w:hanging="2743"/>
        <w:jc w:val="both"/>
        <w:rPr>
          <w:b/>
          <w:color w:val="000000"/>
          <w:sz w:val="18"/>
        </w:rPr>
      </w:pPr>
      <w:r w:rsidRPr="00BB3B7F">
        <w:rPr>
          <w:color w:val="000000"/>
          <w:sz w:val="18"/>
        </w:rPr>
        <w:t>EudraCT number</w:t>
      </w:r>
      <w:r w:rsidRPr="00BB3B7F">
        <w:rPr>
          <w:color w:val="000000"/>
          <w:sz w:val="18"/>
        </w:rPr>
        <w:tab/>
        <w:t>:</w:t>
      </w:r>
      <w:r w:rsidRPr="00BB3B7F">
        <w:rPr>
          <w:color w:val="000000"/>
          <w:sz w:val="18"/>
        </w:rPr>
        <w:tab/>
      </w:r>
      <w:r w:rsidRPr="00BB3B7F">
        <w:rPr>
          <w:color w:val="000000"/>
          <w:sz w:val="18"/>
          <w:lang w:val="en-US"/>
        </w:rPr>
        <w:t>2010-019665-28</w:t>
      </w:r>
    </w:p>
    <w:p w14:paraId="2732F182" w14:textId="77777777" w:rsidR="003746B5" w:rsidRPr="00BB3B7F" w:rsidRDefault="003746B5" w:rsidP="003D685A">
      <w:pPr>
        <w:pStyle w:val="synopsis"/>
        <w:ind w:left="57" w:rightChars="-85" w:right="-187"/>
        <w:rPr>
          <w:b/>
          <w:color w:val="000000"/>
          <w:sz w:val="18"/>
        </w:rPr>
      </w:pPr>
    </w:p>
    <w:p w14:paraId="6867C883" w14:textId="77777777" w:rsidR="003746B5" w:rsidRPr="00BB3B7F" w:rsidRDefault="003746B5" w:rsidP="003D685A">
      <w:pPr>
        <w:pStyle w:val="synopsis"/>
        <w:ind w:left="57" w:rightChars="-85" w:right="-187"/>
        <w:rPr>
          <w:b/>
          <w:color w:val="000000"/>
          <w:sz w:val="18"/>
        </w:rPr>
      </w:pPr>
      <w:r w:rsidRPr="00BB3B7F">
        <w:rPr>
          <w:b/>
          <w:color w:val="000000"/>
          <w:sz w:val="18"/>
        </w:rPr>
        <w:t>Sponsor</w:t>
      </w:r>
    </w:p>
    <w:p w14:paraId="708443F2" w14:textId="77777777" w:rsidR="003746B5" w:rsidRPr="00BB3B7F" w:rsidRDefault="003746B5" w:rsidP="003D685A">
      <w:pPr>
        <w:pStyle w:val="synopsis"/>
        <w:ind w:left="57" w:rightChars="-85" w:right="-187"/>
        <w:rPr>
          <w:bCs/>
          <w:iCs/>
          <w:sz w:val="18"/>
        </w:rPr>
      </w:pPr>
      <w:r w:rsidRPr="00BB3B7F">
        <w:rPr>
          <w:bCs/>
          <w:iCs/>
          <w:sz w:val="18"/>
          <w:lang w:val="en-US"/>
        </w:rPr>
        <w:t xml:space="preserve">Hanmi Pharmaceutical Company Limited, </w:t>
      </w:r>
      <w:r w:rsidRPr="00BB3B7F">
        <w:rPr>
          <w:bCs/>
          <w:iCs/>
          <w:sz w:val="18"/>
        </w:rPr>
        <w:t>45, Bangi-dong, Songpa-gu, Seoul, Republic of Korea</w:t>
      </w:r>
    </w:p>
    <w:p w14:paraId="1D2F8C82" w14:textId="77777777" w:rsidR="003746B5" w:rsidRPr="00BB3B7F" w:rsidRDefault="003746B5" w:rsidP="003D685A">
      <w:pPr>
        <w:pStyle w:val="synopsis"/>
        <w:tabs>
          <w:tab w:val="left" w:pos="2268"/>
        </w:tabs>
        <w:ind w:left="0" w:rightChars="-85" w:right="-187"/>
        <w:rPr>
          <w:b/>
          <w:color w:val="000000"/>
          <w:sz w:val="18"/>
        </w:rPr>
      </w:pPr>
    </w:p>
    <w:p w14:paraId="442E18CA" w14:textId="77777777" w:rsidR="003746B5" w:rsidRPr="00BB3B7F" w:rsidRDefault="003746B5" w:rsidP="003D685A">
      <w:pPr>
        <w:pStyle w:val="synopsis"/>
        <w:tabs>
          <w:tab w:val="left" w:pos="2700"/>
          <w:tab w:val="left" w:pos="2800"/>
        </w:tabs>
        <w:ind w:left="2800" w:rightChars="-85" w:right="-187" w:hanging="2743"/>
        <w:jc w:val="both"/>
        <w:rPr>
          <w:sz w:val="18"/>
        </w:rPr>
      </w:pPr>
      <w:r w:rsidRPr="00BB3B7F">
        <w:rPr>
          <w:b/>
          <w:color w:val="000000"/>
          <w:sz w:val="18"/>
        </w:rPr>
        <w:t>Publication</w:t>
      </w:r>
      <w:r w:rsidRPr="00BB3B7F">
        <w:rPr>
          <w:b/>
          <w:color w:val="000000"/>
          <w:sz w:val="18"/>
        </w:rPr>
        <w:tab/>
      </w:r>
      <w:r w:rsidRPr="00BB3B7F">
        <w:rPr>
          <w:bCs/>
          <w:color w:val="000000"/>
          <w:sz w:val="18"/>
        </w:rPr>
        <w:t>:</w:t>
      </w:r>
      <w:r w:rsidRPr="00BB3B7F">
        <w:rPr>
          <w:bCs/>
          <w:color w:val="000000"/>
          <w:sz w:val="18"/>
        </w:rPr>
        <w:tab/>
      </w:r>
      <w:r w:rsidRPr="00BB3B7F">
        <w:rPr>
          <w:sz w:val="18"/>
        </w:rPr>
        <w:t>None at time of writing this report</w:t>
      </w:r>
    </w:p>
    <w:p w14:paraId="3779D4C0" w14:textId="77777777" w:rsidR="003746B5" w:rsidRPr="00BB3B7F" w:rsidRDefault="003746B5" w:rsidP="003D685A">
      <w:pPr>
        <w:pStyle w:val="synopsis"/>
        <w:ind w:left="57" w:rightChars="-85" w:right="-187"/>
        <w:rPr>
          <w:b/>
          <w:sz w:val="18"/>
        </w:rPr>
      </w:pPr>
    </w:p>
    <w:p w14:paraId="57E39BA5" w14:textId="77777777" w:rsidR="003746B5" w:rsidRPr="00BB3B7F" w:rsidRDefault="003746B5" w:rsidP="003D685A">
      <w:pPr>
        <w:pStyle w:val="synopsis"/>
        <w:tabs>
          <w:tab w:val="left" w:pos="2700"/>
          <w:tab w:val="left" w:pos="2800"/>
        </w:tabs>
        <w:ind w:left="2800" w:rightChars="-85" w:right="-187" w:hanging="2743"/>
        <w:jc w:val="both"/>
        <w:rPr>
          <w:sz w:val="18"/>
        </w:rPr>
      </w:pPr>
      <w:r w:rsidRPr="00BB3B7F">
        <w:rPr>
          <w:b/>
          <w:sz w:val="18"/>
        </w:rPr>
        <w:t>Study period</w:t>
      </w:r>
      <w:r w:rsidRPr="00BB3B7F">
        <w:rPr>
          <w:b/>
          <w:sz w:val="18"/>
        </w:rPr>
        <w:tab/>
      </w:r>
      <w:r w:rsidRPr="00BB3B7F">
        <w:rPr>
          <w:bCs/>
          <w:sz w:val="18"/>
        </w:rPr>
        <w:t>:</w:t>
      </w:r>
      <w:r w:rsidRPr="00BB3B7F">
        <w:rPr>
          <w:bCs/>
          <w:sz w:val="18"/>
        </w:rPr>
        <w:tab/>
      </w:r>
      <w:r w:rsidRPr="00BB3B7F">
        <w:rPr>
          <w:sz w:val="18"/>
        </w:rPr>
        <w:t>Date</w:t>
      </w:r>
      <w:r w:rsidRPr="00BB3B7F">
        <w:rPr>
          <w:color w:val="FF0000"/>
          <w:sz w:val="18"/>
        </w:rPr>
        <w:t xml:space="preserve"> </w:t>
      </w:r>
      <w:r w:rsidRPr="00BB3B7F">
        <w:rPr>
          <w:sz w:val="18"/>
        </w:rPr>
        <w:t>of first screening to last follow-up: 20 May 2010</w:t>
      </w:r>
      <w:r w:rsidRPr="00BB3B7F">
        <w:rPr>
          <w:color w:val="FF0000"/>
          <w:sz w:val="18"/>
          <w:lang w:val="en-US"/>
        </w:rPr>
        <w:t xml:space="preserve"> </w:t>
      </w:r>
      <w:r w:rsidRPr="00BB3B7F">
        <w:rPr>
          <w:sz w:val="18"/>
          <w:lang w:val="en-US"/>
        </w:rPr>
        <w:t>–</w:t>
      </w:r>
      <w:r w:rsidRPr="00BB3B7F">
        <w:rPr>
          <w:color w:val="FF0000"/>
          <w:sz w:val="18"/>
          <w:lang w:val="en-US"/>
        </w:rPr>
        <w:t xml:space="preserve"> </w:t>
      </w:r>
      <w:r w:rsidRPr="00BB3B7F">
        <w:rPr>
          <w:sz w:val="18"/>
          <w:lang w:val="en-US"/>
        </w:rPr>
        <w:t>22 April 2011</w:t>
      </w:r>
    </w:p>
    <w:p w14:paraId="51D6F73C" w14:textId="77777777" w:rsidR="003746B5" w:rsidRPr="00BB3B7F" w:rsidRDefault="003746B5" w:rsidP="003D685A">
      <w:pPr>
        <w:pStyle w:val="synopsis"/>
        <w:tabs>
          <w:tab w:val="left" w:pos="2268"/>
          <w:tab w:val="left" w:pos="2353"/>
        </w:tabs>
        <w:ind w:left="2410" w:rightChars="-85" w:right="-187" w:hanging="2353"/>
        <w:jc w:val="both"/>
        <w:rPr>
          <w:b/>
          <w:bCs/>
          <w:color w:val="000000"/>
          <w:sz w:val="18"/>
        </w:rPr>
      </w:pPr>
    </w:p>
    <w:p w14:paraId="3ED7A106" w14:textId="77777777" w:rsidR="003746B5" w:rsidRPr="00BB3B7F" w:rsidRDefault="003746B5" w:rsidP="003D685A">
      <w:pPr>
        <w:pStyle w:val="synopsis"/>
        <w:tabs>
          <w:tab w:val="left" w:pos="2700"/>
          <w:tab w:val="left" w:pos="2800"/>
        </w:tabs>
        <w:ind w:left="2800" w:rightChars="-85" w:right="-187" w:hanging="2743"/>
        <w:jc w:val="both"/>
        <w:rPr>
          <w:b/>
          <w:bCs/>
          <w:color w:val="000000"/>
          <w:sz w:val="18"/>
        </w:rPr>
      </w:pPr>
      <w:r w:rsidRPr="00BB3B7F">
        <w:rPr>
          <w:b/>
          <w:bCs/>
          <w:color w:val="000000"/>
          <w:sz w:val="18"/>
        </w:rPr>
        <w:t>Clinical phase</w:t>
      </w:r>
      <w:r w:rsidRPr="00BB3B7F">
        <w:rPr>
          <w:color w:val="000000"/>
          <w:sz w:val="18"/>
        </w:rPr>
        <w:tab/>
        <w:t>:</w:t>
      </w:r>
      <w:r w:rsidRPr="00BB3B7F">
        <w:rPr>
          <w:color w:val="000000"/>
          <w:sz w:val="18"/>
        </w:rPr>
        <w:tab/>
        <w:t xml:space="preserve">Phase </w:t>
      </w:r>
      <w:r w:rsidRPr="00BB3B7F">
        <w:rPr>
          <w:sz w:val="18"/>
        </w:rPr>
        <w:t>2</w:t>
      </w:r>
    </w:p>
    <w:p w14:paraId="7149300E" w14:textId="77777777" w:rsidR="003746B5" w:rsidRPr="00BB3B7F" w:rsidRDefault="003746B5" w:rsidP="003D685A">
      <w:pPr>
        <w:pStyle w:val="synopsis"/>
        <w:ind w:left="57" w:rightChars="-85" w:right="-187"/>
        <w:rPr>
          <w:b/>
          <w:color w:val="000000"/>
          <w:sz w:val="18"/>
        </w:rPr>
      </w:pPr>
    </w:p>
    <w:p w14:paraId="1FC570DD" w14:textId="77777777" w:rsidR="003746B5" w:rsidRPr="00BB3B7F" w:rsidRDefault="003746B5" w:rsidP="003D685A">
      <w:pPr>
        <w:pStyle w:val="synopsis"/>
        <w:ind w:left="57" w:rightChars="-85" w:right="-187"/>
        <w:rPr>
          <w:b/>
          <w:sz w:val="18"/>
        </w:rPr>
      </w:pPr>
      <w:r w:rsidRPr="00BB3B7F">
        <w:rPr>
          <w:b/>
          <w:sz w:val="18"/>
        </w:rPr>
        <w:t>Objectives</w:t>
      </w:r>
    </w:p>
    <w:p w14:paraId="748797C9"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color w:val="000000"/>
          <w:sz w:val="18"/>
          <w:lang w:val="en-US"/>
        </w:rPr>
        <w:t>Primary</w:t>
      </w:r>
      <w:r w:rsidRPr="00BB3B7F">
        <w:rPr>
          <w:color w:val="000000"/>
          <w:sz w:val="18"/>
          <w:lang w:val="en-US"/>
        </w:rPr>
        <w:tab/>
      </w:r>
      <w:r w:rsidRPr="00BB3B7F">
        <w:rPr>
          <w:iCs/>
          <w:sz w:val="18"/>
        </w:rPr>
        <w:t>:</w:t>
      </w:r>
      <w:r w:rsidRPr="00BB3B7F">
        <w:rPr>
          <w:iCs/>
          <w:sz w:val="18"/>
        </w:rPr>
        <w:tab/>
        <w:t>t</w:t>
      </w:r>
      <w:r w:rsidRPr="00BB3B7F">
        <w:rPr>
          <w:iCs/>
          <w:sz w:val="18"/>
          <w:lang w:val="en-US"/>
        </w:rPr>
        <w:t>o evaluate the safety and tolerability profile of single escalating subcutaneous (sc) dose levels of HM11260C in adult patients with type 2 diabetes mellitus</w:t>
      </w:r>
    </w:p>
    <w:p w14:paraId="10D7017E"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Secondary</w:t>
      </w:r>
      <w:r w:rsidRPr="00BB3B7F">
        <w:rPr>
          <w:iCs/>
          <w:sz w:val="18"/>
        </w:rPr>
        <w:tab/>
        <w:t>:</w:t>
      </w:r>
      <w:r w:rsidRPr="00BB3B7F">
        <w:rPr>
          <w:iCs/>
          <w:sz w:val="18"/>
        </w:rPr>
        <w:tab/>
        <w:t>t</w:t>
      </w:r>
      <w:r w:rsidRPr="00BB3B7F">
        <w:rPr>
          <w:iCs/>
          <w:sz w:val="18"/>
          <w:lang w:val="en-US"/>
        </w:rPr>
        <w:t>o evaluate the dose response relationship of single escalating sc dose levels of HM11260C on pharmacodynamic parameters including 24-h glucose profiles (including fasting and post</w:t>
      </w:r>
      <w:r w:rsidRPr="00BB3B7F">
        <w:rPr>
          <w:iCs/>
          <w:sz w:val="18"/>
          <w:lang w:val="en-US"/>
        </w:rPr>
        <w:noBreakHyphen/>
        <w:t xml:space="preserve">prandial blood glucose), fasting fructosamine, C-peptide, fasting insulin, glucagon, </w:t>
      </w:r>
      <w:r w:rsidRPr="00BB3B7F">
        <w:rPr>
          <w:iCs/>
          <w:sz w:val="18"/>
          <w:lang w:val="en-US"/>
        </w:rPr>
        <w:lastRenderedPageBreak/>
        <w:t>lipids, gastric emptying, body weight, waist circumference, and a battery of safety laboratory parameters, incl. amylase, lipase, liver enzymes and hematologic parameters</w:t>
      </w:r>
    </w:p>
    <w:p w14:paraId="236101D6" w14:textId="77777777" w:rsidR="003746B5" w:rsidRPr="00BB3B7F" w:rsidRDefault="003746B5" w:rsidP="003D685A">
      <w:pPr>
        <w:pStyle w:val="synopsis"/>
        <w:tabs>
          <w:tab w:val="left" w:pos="2700"/>
          <w:tab w:val="left" w:pos="2800"/>
        </w:tabs>
        <w:ind w:left="2800" w:rightChars="-85" w:right="-187" w:hanging="2743"/>
        <w:jc w:val="both"/>
        <w:rPr>
          <w:iCs/>
          <w:sz w:val="18"/>
          <w:lang w:val="en-US"/>
        </w:rPr>
      </w:pPr>
      <w:r w:rsidRPr="00BB3B7F">
        <w:rPr>
          <w:iCs/>
          <w:sz w:val="18"/>
        </w:rPr>
        <w:tab/>
        <w:t>:</w:t>
      </w:r>
      <w:r w:rsidRPr="00BB3B7F">
        <w:rPr>
          <w:iCs/>
          <w:sz w:val="18"/>
        </w:rPr>
        <w:tab/>
        <w:t>t</w:t>
      </w:r>
      <w:r w:rsidRPr="00BB3B7F">
        <w:rPr>
          <w:iCs/>
          <w:sz w:val="18"/>
          <w:lang w:val="en-US"/>
        </w:rPr>
        <w:t>o evaluate the pharmacokinetic profiles of single dose levels of HM11260C</w:t>
      </w:r>
    </w:p>
    <w:p w14:paraId="5B903805" w14:textId="77777777" w:rsidR="003746B5" w:rsidRPr="00BB3B7F" w:rsidRDefault="003746B5" w:rsidP="003D685A">
      <w:pPr>
        <w:pStyle w:val="synopsis"/>
        <w:tabs>
          <w:tab w:val="left" w:pos="2700"/>
          <w:tab w:val="left" w:pos="2800"/>
        </w:tabs>
        <w:ind w:left="2800" w:rightChars="-85" w:right="-187" w:hanging="2743"/>
        <w:jc w:val="both"/>
        <w:rPr>
          <w:iCs/>
          <w:sz w:val="18"/>
          <w:lang w:val="en-US"/>
        </w:rPr>
      </w:pPr>
      <w:r w:rsidRPr="00BB3B7F">
        <w:rPr>
          <w:iCs/>
          <w:sz w:val="18"/>
          <w:lang w:val="en-US"/>
        </w:rPr>
        <w:tab/>
        <w:t>:</w:t>
      </w:r>
      <w:r w:rsidRPr="00BB3B7F">
        <w:rPr>
          <w:iCs/>
          <w:sz w:val="18"/>
          <w:lang w:val="en-US"/>
        </w:rPr>
        <w:tab/>
        <w:t>to determine the pharmacologically active dose of HM11260C (based on fasting glucose) as defined by the dose that results in a mean reduction in fasting glucose of more than 30 mg/dL (1.66 mmol/L) or 20% reduction from baseline, whichever is greater</w:t>
      </w:r>
    </w:p>
    <w:p w14:paraId="46C20A62"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lang w:val="en-US"/>
        </w:rPr>
        <w:tab/>
        <w:t>:</w:t>
      </w:r>
      <w:r w:rsidRPr="00BB3B7F">
        <w:rPr>
          <w:iCs/>
          <w:sz w:val="18"/>
          <w:lang w:val="en-US"/>
        </w:rPr>
        <w:tab/>
      </w:r>
      <w:r w:rsidRPr="00BB3B7F">
        <w:rPr>
          <w:iCs/>
          <w:sz w:val="18"/>
        </w:rPr>
        <w:t>t</w:t>
      </w:r>
      <w:r w:rsidRPr="00BB3B7F">
        <w:rPr>
          <w:iCs/>
          <w:sz w:val="18"/>
          <w:lang w:val="en-US"/>
        </w:rPr>
        <w:t>o assess the immunogenicity (anti-HM11260C antibodies and anti-HM11260C neutralizing antibodies) of a single sc dose of HM11260C</w:t>
      </w:r>
    </w:p>
    <w:p w14:paraId="1D152107" w14:textId="77777777" w:rsidR="003746B5" w:rsidRPr="00BB3B7F" w:rsidRDefault="003746B5" w:rsidP="003D685A">
      <w:pPr>
        <w:pStyle w:val="synopsis"/>
        <w:ind w:left="57" w:rightChars="-85" w:right="-187"/>
        <w:rPr>
          <w:b/>
          <w:color w:val="000000"/>
          <w:sz w:val="18"/>
        </w:rPr>
      </w:pPr>
    </w:p>
    <w:p w14:paraId="4EA0D1B3" w14:textId="77777777" w:rsidR="003746B5" w:rsidRDefault="003746B5" w:rsidP="00461297">
      <w:pPr>
        <w:ind w:left="0"/>
        <w:rPr>
          <w:b/>
          <w:sz w:val="28"/>
          <w:szCs w:val="28"/>
        </w:rPr>
      </w:pPr>
      <w:r w:rsidRPr="00BB3B7F">
        <w:br w:type="page"/>
      </w:r>
      <w:r w:rsidRPr="00461297">
        <w:rPr>
          <w:b/>
          <w:sz w:val="28"/>
          <w:szCs w:val="28"/>
        </w:rPr>
        <w:lastRenderedPageBreak/>
        <w:t>SYNOPSIS (Cont.)</w:t>
      </w:r>
    </w:p>
    <w:p w14:paraId="551590CC" w14:textId="77777777" w:rsidR="002D431F" w:rsidRPr="00461297" w:rsidRDefault="002D431F" w:rsidP="00461297">
      <w:pPr>
        <w:ind w:left="0"/>
        <w:rPr>
          <w:b/>
          <w:sz w:val="28"/>
          <w:szCs w:val="28"/>
        </w:rPr>
      </w:pPr>
    </w:p>
    <w:p w14:paraId="0A9996CC" w14:textId="77777777" w:rsidR="003746B5" w:rsidRPr="00BB3B7F" w:rsidRDefault="003746B5" w:rsidP="003D685A">
      <w:pPr>
        <w:pStyle w:val="synopsis"/>
        <w:ind w:left="57" w:rightChars="-85" w:right="-187"/>
        <w:rPr>
          <w:bCs/>
          <w:i/>
          <w:iCs/>
          <w:color w:val="000000"/>
          <w:sz w:val="18"/>
        </w:rPr>
      </w:pPr>
      <w:r w:rsidRPr="00BB3B7F">
        <w:rPr>
          <w:b/>
          <w:color w:val="000000"/>
          <w:sz w:val="18"/>
        </w:rPr>
        <w:t>Methodology</w:t>
      </w:r>
    </w:p>
    <w:p w14:paraId="413AD09F" w14:textId="77777777" w:rsidR="003746B5" w:rsidRPr="00BB3B7F" w:rsidRDefault="003746B5" w:rsidP="003D685A">
      <w:pPr>
        <w:pStyle w:val="synopsis"/>
        <w:tabs>
          <w:tab w:val="left" w:pos="2700"/>
          <w:tab w:val="left" w:pos="2800"/>
        </w:tabs>
        <w:ind w:left="2800" w:rightChars="-85" w:right="-187" w:hanging="2743"/>
        <w:jc w:val="both"/>
        <w:rPr>
          <w:i/>
          <w:iCs/>
          <w:sz w:val="18"/>
        </w:rPr>
      </w:pPr>
      <w:r w:rsidRPr="00BB3B7F">
        <w:rPr>
          <w:sz w:val="18"/>
          <w:u w:val="single"/>
        </w:rPr>
        <w:t>Design</w:t>
      </w:r>
      <w:r w:rsidRPr="00BB3B7F">
        <w:rPr>
          <w:sz w:val="18"/>
        </w:rPr>
        <w:tab/>
        <w:t>:</w:t>
      </w:r>
      <w:r w:rsidRPr="00BB3B7F">
        <w:rPr>
          <w:sz w:val="18"/>
        </w:rPr>
        <w:tab/>
      </w:r>
      <w:r w:rsidRPr="00BB3B7F">
        <w:rPr>
          <w:iCs/>
          <w:sz w:val="18"/>
          <w:lang w:val="en-US"/>
        </w:rPr>
        <w:t xml:space="preserve">a Phase 2, first-in-patient, randomized, double-blind, placebo-controlled, sequential dose escalation study in 8 groups of 6 patients with type 2 diabetes mellitus each receiving </w:t>
      </w:r>
      <w:r w:rsidRPr="00BB3B7F">
        <w:rPr>
          <w:iCs/>
          <w:sz w:val="18"/>
        </w:rPr>
        <w:t>a single sc injection of HM11260C or placebo (5 active and 1 placebo) after a wash-out period of 2 weeks for anti-diabetes drug(s). E</w:t>
      </w:r>
      <w:r w:rsidRPr="00BB3B7F">
        <w:rPr>
          <w:iCs/>
          <w:sz w:val="18"/>
          <w:lang w:val="en-US"/>
        </w:rPr>
        <w:t>scalation from one dose level to the next only took place after careful evaluation of the previous cohort and the corresponding cohort of the healthy volunteer study conducted in Korea; safety and tolerability data were reviewed on a weekly basis, and dose escalation from one dose level to the next only took place after at least 4 patients in the previous cohort had safely completed their Day 21.</w:t>
      </w:r>
    </w:p>
    <w:p w14:paraId="08624CAA" w14:textId="77777777" w:rsidR="003746B5" w:rsidRPr="00BB3B7F" w:rsidRDefault="003746B5" w:rsidP="003D685A">
      <w:pPr>
        <w:pStyle w:val="synopsis"/>
        <w:ind w:left="57" w:rightChars="-85" w:right="-187"/>
        <w:rPr>
          <w:color w:val="000000"/>
          <w:sz w:val="18"/>
          <w:u w:val="single"/>
        </w:rPr>
      </w:pPr>
    </w:p>
    <w:p w14:paraId="3E23D4A0" w14:textId="77777777" w:rsidR="003746B5" w:rsidRPr="00BB3B7F" w:rsidRDefault="003746B5" w:rsidP="003D685A">
      <w:pPr>
        <w:pStyle w:val="synopsis"/>
        <w:ind w:left="57" w:rightChars="-85" w:right="-187"/>
        <w:rPr>
          <w:i/>
          <w:iCs/>
          <w:sz w:val="18"/>
          <w:u w:val="single"/>
        </w:rPr>
      </w:pPr>
      <w:r w:rsidRPr="00BB3B7F">
        <w:rPr>
          <w:sz w:val="18"/>
          <w:u w:val="single"/>
        </w:rPr>
        <w:t>Treatments</w:t>
      </w:r>
      <w:r w:rsidRPr="00BB3B7F">
        <w:rPr>
          <w:i/>
          <w:iCs/>
          <w:sz w:val="18"/>
          <w:u w:val="single"/>
        </w:rPr>
        <w:t xml:space="preserve"> </w:t>
      </w:r>
    </w:p>
    <w:p w14:paraId="7FA0C0CF" w14:textId="77777777" w:rsidR="003746B5" w:rsidRPr="00BB3B7F" w:rsidRDefault="003746B5" w:rsidP="003D685A">
      <w:pPr>
        <w:pStyle w:val="synopsis"/>
        <w:tabs>
          <w:tab w:val="left" w:pos="2600"/>
          <w:tab w:val="left" w:pos="2716"/>
        </w:tabs>
        <w:ind w:left="2716" w:rightChars="-85" w:right="-187" w:hanging="2659"/>
        <w:rPr>
          <w:iCs/>
          <w:sz w:val="18"/>
        </w:rPr>
      </w:pPr>
      <w:r w:rsidRPr="00BB3B7F">
        <w:rPr>
          <w:iCs/>
          <w:sz w:val="18"/>
        </w:rPr>
        <w:t>The following treatments were administered:</w:t>
      </w:r>
    </w:p>
    <w:p w14:paraId="5511B85D" w14:textId="77777777" w:rsidR="003746B5" w:rsidRPr="00BB3B7F" w:rsidRDefault="003746B5" w:rsidP="003D685A">
      <w:pPr>
        <w:pStyle w:val="synopsis"/>
        <w:tabs>
          <w:tab w:val="left" w:pos="2600"/>
          <w:tab w:val="left" w:pos="2716"/>
        </w:tabs>
        <w:ind w:left="2716" w:rightChars="-85" w:right="-187" w:hanging="2659"/>
        <w:rPr>
          <w:iCs/>
          <w:sz w:val="18"/>
        </w:rPr>
      </w:pPr>
    </w:p>
    <w:p w14:paraId="23DAA8AB"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Group 1</w:t>
      </w:r>
      <w:r w:rsidRPr="00BB3B7F">
        <w:rPr>
          <w:iCs/>
          <w:sz w:val="18"/>
        </w:rPr>
        <w:tab/>
        <w:t>:</w:t>
      </w:r>
      <w:r w:rsidRPr="00BB3B7F">
        <w:rPr>
          <w:iCs/>
          <w:sz w:val="18"/>
        </w:rPr>
        <w:tab/>
        <w:t>a single sc injection of 2 µg/kg HM11260C (n=5) or placebo (n=1) on Day 1</w:t>
      </w:r>
    </w:p>
    <w:p w14:paraId="16857CA5"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Group 2</w:t>
      </w:r>
      <w:r w:rsidRPr="00BB3B7F">
        <w:rPr>
          <w:iCs/>
          <w:sz w:val="18"/>
        </w:rPr>
        <w:tab/>
        <w:t>:</w:t>
      </w:r>
      <w:r w:rsidRPr="00BB3B7F">
        <w:rPr>
          <w:iCs/>
          <w:sz w:val="18"/>
        </w:rPr>
        <w:tab/>
        <w:t>a single sc injection of 4 µg/kg HM11260C (n=5) or placebo (n=1) on Day 1</w:t>
      </w:r>
    </w:p>
    <w:p w14:paraId="1A0B7539"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Group 3</w:t>
      </w:r>
      <w:r w:rsidRPr="00BB3B7F">
        <w:rPr>
          <w:iCs/>
          <w:sz w:val="18"/>
        </w:rPr>
        <w:tab/>
        <w:t>:</w:t>
      </w:r>
      <w:r w:rsidRPr="00BB3B7F">
        <w:rPr>
          <w:iCs/>
          <w:sz w:val="18"/>
        </w:rPr>
        <w:tab/>
        <w:t>a single sc injection of 8 µg/kg HM11260C (n=5) or placebo (n=1) on Day 1</w:t>
      </w:r>
    </w:p>
    <w:p w14:paraId="449CD6C9"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Group 4</w:t>
      </w:r>
      <w:r w:rsidRPr="00BB3B7F">
        <w:rPr>
          <w:iCs/>
          <w:sz w:val="18"/>
        </w:rPr>
        <w:tab/>
        <w:t>:</w:t>
      </w:r>
      <w:r w:rsidRPr="00BB3B7F">
        <w:rPr>
          <w:iCs/>
          <w:sz w:val="18"/>
        </w:rPr>
        <w:tab/>
        <w:t>a single sc injection of 14 µg/kg HM11260C (n=5) or placebo (n=1) on Day 1</w:t>
      </w:r>
    </w:p>
    <w:p w14:paraId="4FE8B702" w14:textId="77777777" w:rsidR="003746B5" w:rsidRPr="00BB3B7F" w:rsidRDefault="003746B5" w:rsidP="003D685A">
      <w:pPr>
        <w:pStyle w:val="synopsis"/>
        <w:tabs>
          <w:tab w:val="left" w:pos="2700"/>
          <w:tab w:val="left" w:pos="2800"/>
        </w:tabs>
        <w:ind w:left="2800" w:rightChars="-85" w:right="-187" w:hanging="2743"/>
        <w:jc w:val="both"/>
        <w:rPr>
          <w:bCs/>
          <w:iCs/>
          <w:sz w:val="18"/>
          <w:lang w:val="en-US"/>
        </w:rPr>
      </w:pPr>
      <w:r w:rsidRPr="00BB3B7F">
        <w:rPr>
          <w:bCs/>
          <w:iCs/>
          <w:sz w:val="18"/>
          <w:lang w:val="en-US"/>
        </w:rPr>
        <w:t>Group 5</w:t>
      </w:r>
      <w:r w:rsidRPr="00BB3B7F">
        <w:rPr>
          <w:bCs/>
          <w:iCs/>
          <w:sz w:val="18"/>
          <w:lang w:val="en-US"/>
        </w:rPr>
        <w:tab/>
        <w:t>:</w:t>
      </w:r>
      <w:r w:rsidRPr="00BB3B7F">
        <w:rPr>
          <w:bCs/>
          <w:iCs/>
          <w:sz w:val="18"/>
          <w:lang w:val="en-US"/>
        </w:rPr>
        <w:tab/>
      </w:r>
      <w:r w:rsidRPr="00BB3B7F">
        <w:rPr>
          <w:iCs/>
          <w:sz w:val="18"/>
          <w:lang w:val="en-US"/>
        </w:rPr>
        <w:t xml:space="preserve">a single sc injection of 20 µg/kg </w:t>
      </w:r>
      <w:r w:rsidRPr="00BB3B7F">
        <w:rPr>
          <w:iCs/>
          <w:sz w:val="18"/>
        </w:rPr>
        <w:t>HM11260C (n=5) or placebo (n=1) on Day 1</w:t>
      </w:r>
    </w:p>
    <w:p w14:paraId="2DC1A756" w14:textId="77777777" w:rsidR="003746B5" w:rsidRPr="00BB3B7F" w:rsidRDefault="003746B5" w:rsidP="003D685A">
      <w:pPr>
        <w:pStyle w:val="synopsis"/>
        <w:tabs>
          <w:tab w:val="left" w:pos="2700"/>
          <w:tab w:val="left" w:pos="2800"/>
        </w:tabs>
        <w:ind w:left="2800" w:rightChars="-85" w:right="-187" w:hanging="2743"/>
        <w:jc w:val="both"/>
        <w:rPr>
          <w:bCs/>
          <w:iCs/>
          <w:sz w:val="18"/>
          <w:lang w:val="en-US"/>
        </w:rPr>
      </w:pPr>
      <w:r w:rsidRPr="00BB3B7F">
        <w:rPr>
          <w:bCs/>
          <w:iCs/>
          <w:sz w:val="18"/>
          <w:lang w:val="en-US"/>
        </w:rPr>
        <w:t>Group 6</w:t>
      </w:r>
      <w:r w:rsidRPr="00BB3B7F">
        <w:rPr>
          <w:bCs/>
          <w:iCs/>
          <w:sz w:val="18"/>
          <w:lang w:val="en-US"/>
        </w:rPr>
        <w:tab/>
        <w:t>:</w:t>
      </w:r>
      <w:r w:rsidRPr="00BB3B7F">
        <w:rPr>
          <w:bCs/>
          <w:iCs/>
          <w:sz w:val="18"/>
          <w:lang w:val="en-US"/>
        </w:rPr>
        <w:tab/>
      </w:r>
      <w:r w:rsidRPr="00BB3B7F">
        <w:rPr>
          <w:iCs/>
          <w:sz w:val="18"/>
          <w:lang w:val="en-US"/>
        </w:rPr>
        <w:t xml:space="preserve">a single sc injection of 40 µg/kg </w:t>
      </w:r>
      <w:r w:rsidRPr="00BB3B7F">
        <w:rPr>
          <w:iCs/>
          <w:sz w:val="18"/>
        </w:rPr>
        <w:t>HM11260C (n=5) or placebo (n=1) on Day 1</w:t>
      </w:r>
    </w:p>
    <w:p w14:paraId="793D5F63" w14:textId="77777777" w:rsidR="003746B5" w:rsidRPr="00BB3B7F" w:rsidRDefault="003746B5" w:rsidP="003D685A">
      <w:pPr>
        <w:pStyle w:val="synopsis"/>
        <w:tabs>
          <w:tab w:val="left" w:pos="2700"/>
          <w:tab w:val="left" w:pos="2800"/>
        </w:tabs>
        <w:ind w:left="2800" w:rightChars="-85" w:right="-187" w:hanging="2743"/>
        <w:jc w:val="both"/>
        <w:rPr>
          <w:bCs/>
          <w:iCs/>
          <w:sz w:val="18"/>
          <w:lang w:val="en-US"/>
        </w:rPr>
      </w:pPr>
      <w:r w:rsidRPr="00BB3B7F">
        <w:rPr>
          <w:bCs/>
          <w:iCs/>
          <w:sz w:val="18"/>
          <w:lang w:val="en-US"/>
        </w:rPr>
        <w:t>Group 7</w:t>
      </w:r>
      <w:r w:rsidRPr="00BB3B7F">
        <w:rPr>
          <w:bCs/>
          <w:iCs/>
          <w:sz w:val="18"/>
          <w:lang w:val="en-US"/>
        </w:rPr>
        <w:tab/>
        <w:t>:</w:t>
      </w:r>
      <w:r w:rsidRPr="00BB3B7F">
        <w:rPr>
          <w:bCs/>
          <w:iCs/>
          <w:sz w:val="18"/>
          <w:lang w:val="en-US"/>
        </w:rPr>
        <w:tab/>
      </w:r>
      <w:r w:rsidRPr="00BB3B7F">
        <w:rPr>
          <w:iCs/>
          <w:sz w:val="18"/>
          <w:lang w:val="en-US"/>
        </w:rPr>
        <w:t xml:space="preserve">a single sc injection of 60 µg/kg </w:t>
      </w:r>
      <w:r w:rsidRPr="00BB3B7F">
        <w:rPr>
          <w:iCs/>
          <w:sz w:val="18"/>
        </w:rPr>
        <w:t>HM11260C (n=5) or placebo (n=1) on Day 1</w:t>
      </w:r>
    </w:p>
    <w:p w14:paraId="42814E4D" w14:textId="77777777" w:rsidR="003746B5" w:rsidRPr="00BB3B7F" w:rsidRDefault="003746B5" w:rsidP="003D685A">
      <w:pPr>
        <w:pStyle w:val="synopsis"/>
        <w:tabs>
          <w:tab w:val="left" w:pos="2700"/>
          <w:tab w:val="left" w:pos="2800"/>
        </w:tabs>
        <w:ind w:left="2800" w:rightChars="-85" w:right="-187" w:hanging="2743"/>
        <w:jc w:val="both"/>
        <w:rPr>
          <w:bCs/>
          <w:i/>
          <w:iCs/>
          <w:sz w:val="18"/>
          <w:u w:val="double"/>
          <w:lang w:val="en-US"/>
        </w:rPr>
      </w:pPr>
      <w:r w:rsidRPr="00BB3B7F">
        <w:rPr>
          <w:bCs/>
          <w:iCs/>
          <w:sz w:val="18"/>
          <w:lang w:val="en-US"/>
        </w:rPr>
        <w:lastRenderedPageBreak/>
        <w:t>Group 8</w:t>
      </w:r>
      <w:r w:rsidRPr="00BB3B7F">
        <w:rPr>
          <w:bCs/>
          <w:iCs/>
          <w:sz w:val="18"/>
          <w:lang w:val="en-US"/>
        </w:rPr>
        <w:tab/>
        <w:t>:</w:t>
      </w:r>
      <w:r w:rsidRPr="00BB3B7F">
        <w:rPr>
          <w:bCs/>
          <w:iCs/>
          <w:sz w:val="18"/>
          <w:lang w:val="en-US"/>
        </w:rPr>
        <w:tab/>
      </w:r>
      <w:r w:rsidRPr="00BB3B7F">
        <w:rPr>
          <w:iCs/>
          <w:sz w:val="18"/>
          <w:lang w:val="en-US"/>
        </w:rPr>
        <w:t xml:space="preserve">a single sc injection of 100 µg/kg </w:t>
      </w:r>
      <w:r w:rsidRPr="00BB3B7F">
        <w:rPr>
          <w:iCs/>
          <w:sz w:val="18"/>
        </w:rPr>
        <w:t>HM11260C (n=5) or placebo (n=1) on Day 1</w:t>
      </w:r>
    </w:p>
    <w:p w14:paraId="75A5CB31" w14:textId="77777777" w:rsidR="003746B5" w:rsidRPr="00BB3B7F" w:rsidRDefault="003746B5" w:rsidP="003D685A">
      <w:pPr>
        <w:pStyle w:val="synopsis"/>
        <w:tabs>
          <w:tab w:val="left" w:pos="2600"/>
          <w:tab w:val="left" w:pos="2716"/>
        </w:tabs>
        <w:ind w:left="2716" w:rightChars="-85" w:right="-187" w:hanging="2659"/>
        <w:rPr>
          <w:iCs/>
          <w:sz w:val="18"/>
        </w:rPr>
      </w:pPr>
    </w:p>
    <w:p w14:paraId="7471143A" w14:textId="77777777" w:rsidR="003746B5" w:rsidRPr="00BB3B7F" w:rsidRDefault="003746B5" w:rsidP="003D685A">
      <w:pPr>
        <w:pStyle w:val="synopsis"/>
        <w:ind w:left="57" w:rightChars="-85" w:right="-187"/>
        <w:jc w:val="both"/>
        <w:rPr>
          <w:bCs/>
          <w:iCs/>
          <w:sz w:val="18"/>
          <w:lang w:val="en-US"/>
        </w:rPr>
      </w:pPr>
      <w:r w:rsidRPr="00BB3B7F">
        <w:rPr>
          <w:iCs/>
          <w:sz w:val="18"/>
        </w:rPr>
        <w:t xml:space="preserve">On Day 1 of the study, study medication was administered sc in the abdomen in the supine position. </w:t>
      </w:r>
      <w:r w:rsidRPr="00BB3B7F">
        <w:rPr>
          <w:bCs/>
          <w:iCs/>
          <w:sz w:val="18"/>
          <w:lang w:val="en-US"/>
        </w:rPr>
        <w:t xml:space="preserve">The volume was maximally 3 mL for each sc injection. </w:t>
      </w:r>
    </w:p>
    <w:p w14:paraId="3121F7F9" w14:textId="77777777" w:rsidR="003746B5" w:rsidRPr="00BB3B7F" w:rsidRDefault="003746B5" w:rsidP="003D685A">
      <w:pPr>
        <w:pStyle w:val="synopsis"/>
        <w:tabs>
          <w:tab w:val="left" w:pos="2600"/>
          <w:tab w:val="left" w:pos="2716"/>
        </w:tabs>
        <w:ind w:left="2716" w:rightChars="-85" w:right="-187" w:hanging="2659"/>
        <w:jc w:val="both"/>
        <w:rPr>
          <w:iCs/>
          <w:sz w:val="18"/>
          <w:u w:val="single"/>
        </w:rPr>
      </w:pPr>
    </w:p>
    <w:p w14:paraId="7F32CB84" w14:textId="77777777" w:rsidR="003746B5" w:rsidRPr="00BB3B7F" w:rsidRDefault="003746B5" w:rsidP="003D685A">
      <w:pPr>
        <w:pStyle w:val="synopsis"/>
        <w:tabs>
          <w:tab w:val="left" w:pos="2600"/>
          <w:tab w:val="left" w:pos="2716"/>
        </w:tabs>
        <w:ind w:left="2716" w:rightChars="-85" w:right="-187" w:hanging="2659"/>
        <w:jc w:val="both"/>
        <w:rPr>
          <w:iCs/>
          <w:sz w:val="18"/>
          <w:u w:val="single"/>
        </w:rPr>
      </w:pPr>
      <w:r w:rsidRPr="00BB3B7F">
        <w:rPr>
          <w:iCs/>
          <w:sz w:val="18"/>
          <w:u w:val="single"/>
        </w:rPr>
        <w:t>Procedures and assessments</w:t>
      </w:r>
    </w:p>
    <w:p w14:paraId="5AB692C5"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Screening (Days -35 to -16)</w:t>
      </w:r>
      <w:r w:rsidRPr="00BB3B7F">
        <w:rPr>
          <w:iCs/>
          <w:sz w:val="18"/>
        </w:rPr>
        <w:tab/>
        <w:t>:</w:t>
      </w:r>
      <w:r w:rsidRPr="00BB3B7F">
        <w:rPr>
          <w:iCs/>
          <w:sz w:val="18"/>
        </w:rPr>
        <w:tab/>
        <w:t>informed consent, inclusion/exclusion criteria, demographics, medical history, drug and alcohol screen, pregnancy test (females only), HBsAg, anti</w:t>
      </w:r>
      <w:r w:rsidRPr="00BB3B7F">
        <w:rPr>
          <w:iCs/>
          <w:sz w:val="18"/>
        </w:rPr>
        <w:noBreakHyphen/>
        <w:t>HCV and anti</w:t>
      </w:r>
      <w:r w:rsidRPr="00BB3B7F">
        <w:rPr>
          <w:iCs/>
          <w:sz w:val="18"/>
        </w:rPr>
        <w:noBreakHyphen/>
        <w:t>HIV 1/2, follicle stimulating hormone (females only), clinical laboratory (including clinical chemistry, hematology and urinalysis), vital signs (including supine systolic and diastolic blood pressure, pulse rate and oral body temperature), 12</w:t>
      </w:r>
      <w:r w:rsidRPr="00BB3B7F">
        <w:rPr>
          <w:iCs/>
          <w:sz w:val="18"/>
        </w:rPr>
        <w:noBreakHyphen/>
        <w:t>lead electrocardiogram (ECG), physical examination, adverse events (AEs), and previous and concomitant medication</w:t>
      </w:r>
    </w:p>
    <w:p w14:paraId="2929674F"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sz w:val="18"/>
        </w:rPr>
        <w:t>Admission (Day -2)</w:t>
      </w:r>
      <w:r w:rsidRPr="00BB3B7F">
        <w:rPr>
          <w:sz w:val="18"/>
        </w:rPr>
        <w:tab/>
        <w:t>:</w:t>
      </w:r>
      <w:r w:rsidRPr="00BB3B7F">
        <w:rPr>
          <w:sz w:val="18"/>
        </w:rPr>
        <w:tab/>
      </w:r>
      <w:r w:rsidRPr="00BB3B7F">
        <w:rPr>
          <w:iCs/>
          <w:sz w:val="18"/>
        </w:rPr>
        <w:t xml:space="preserve">inclusion/exclusion criteria, drug and alcohol screen, clinical laboratory (including clinical chemistry, hematology and urinalysis), pregnancy test (females only), AEs, and previous and concomitant medication </w:t>
      </w:r>
    </w:p>
    <w:p w14:paraId="346D1013"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 xml:space="preserve">Follow-up (Day 82 </w:t>
      </w:r>
      <w:r w:rsidRPr="00BB3B7F">
        <w:rPr>
          <w:rFonts w:cs="Arial"/>
          <w:iCs/>
          <w:sz w:val="18"/>
        </w:rPr>
        <w:t>±</w:t>
      </w:r>
      <w:r w:rsidRPr="00BB3B7F">
        <w:rPr>
          <w:iCs/>
          <w:sz w:val="18"/>
        </w:rPr>
        <w:t xml:space="preserve"> 4)</w:t>
      </w:r>
      <w:r w:rsidRPr="00BB3B7F">
        <w:rPr>
          <w:iCs/>
          <w:sz w:val="18"/>
        </w:rPr>
        <w:tab/>
        <w:t>:</w:t>
      </w:r>
      <w:r w:rsidRPr="00BB3B7F">
        <w:rPr>
          <w:iCs/>
          <w:sz w:val="18"/>
        </w:rPr>
        <w:tab/>
        <w:t>clinical laboratory (including clinical chemistry, hematology and urinalysis), vital signs (including supine systolic and diastolic blood pressure, pulse rate and oral body temperature), 12-lead ECG, physical examination, blood sampling for immunogenicity (anti-HM11260C antibodies), AEs and concomitant medication</w:t>
      </w:r>
    </w:p>
    <w:p w14:paraId="570E8297"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Observation period</w:t>
      </w:r>
      <w:r w:rsidRPr="00BB3B7F">
        <w:rPr>
          <w:iCs/>
          <w:sz w:val="18"/>
        </w:rPr>
        <w:tab/>
        <w:t>:</w:t>
      </w:r>
      <w:r w:rsidRPr="00BB3B7F">
        <w:rPr>
          <w:iCs/>
          <w:sz w:val="18"/>
        </w:rPr>
        <w:tab/>
        <w:t>one period in clinic from -41 h (Day -2) up to 168 h (Day 8) after drug administration, and from Days 13</w:t>
      </w:r>
      <w:r w:rsidRPr="00BB3B7F">
        <w:rPr>
          <w:iCs/>
          <w:sz w:val="18"/>
        </w:rPr>
        <w:noBreakHyphen/>
        <w:t>15, Days 20-22 and Days 27-29; ambulatory visits on Days 10, 35, 42 and 49</w:t>
      </w:r>
    </w:p>
    <w:p w14:paraId="62B4C4F4" w14:textId="77777777" w:rsidR="003746B5" w:rsidRDefault="003746B5" w:rsidP="00461297">
      <w:pPr>
        <w:ind w:left="0"/>
        <w:rPr>
          <w:b/>
          <w:sz w:val="28"/>
          <w:szCs w:val="28"/>
        </w:rPr>
      </w:pPr>
      <w:r w:rsidRPr="00BB3B7F">
        <w:br w:type="page"/>
      </w:r>
      <w:r w:rsidRPr="00461297">
        <w:rPr>
          <w:b/>
          <w:sz w:val="28"/>
          <w:szCs w:val="28"/>
        </w:rPr>
        <w:lastRenderedPageBreak/>
        <w:t>SYNOPSIS (Cont.)</w:t>
      </w:r>
    </w:p>
    <w:p w14:paraId="0424CBCF" w14:textId="77777777" w:rsidR="002D431F" w:rsidRPr="00461297" w:rsidRDefault="002D431F" w:rsidP="00461297">
      <w:pPr>
        <w:ind w:left="0"/>
        <w:rPr>
          <w:b/>
          <w:sz w:val="28"/>
          <w:szCs w:val="28"/>
        </w:rPr>
      </w:pPr>
    </w:p>
    <w:p w14:paraId="4BF4A646" w14:textId="1143F965" w:rsidR="003746B5" w:rsidRPr="00BB3B7F" w:rsidRDefault="003746B5" w:rsidP="003D685A">
      <w:pPr>
        <w:pStyle w:val="synopsis"/>
        <w:tabs>
          <w:tab w:val="left" w:pos="2700"/>
          <w:tab w:val="left" w:pos="2800"/>
        </w:tabs>
        <w:ind w:left="2800" w:rightChars="-85" w:right="-187" w:hanging="2743"/>
        <w:jc w:val="both"/>
        <w:rPr>
          <w:i/>
          <w:iCs/>
          <w:sz w:val="18"/>
        </w:rPr>
      </w:pPr>
      <w:r w:rsidRPr="00BB3B7F">
        <w:rPr>
          <w:iCs/>
          <w:sz w:val="18"/>
        </w:rPr>
        <w:tab/>
        <w:t>:</w:t>
      </w:r>
      <w:r w:rsidRPr="00BB3B7F">
        <w:rPr>
          <w:iCs/>
          <w:sz w:val="18"/>
        </w:rPr>
        <w:tab/>
        <w:t>an ambulatory visit was scheduled on Day -15 for patients receiving hypoglycemic agents (such as sulphonylureas, acarbose, metformin etc.). These patients were</w:t>
      </w:r>
      <w:r w:rsidR="00254051">
        <w:rPr>
          <w:iCs/>
          <w:sz w:val="18"/>
        </w:rPr>
        <w:t xml:space="preserve"> </w:t>
      </w:r>
      <w:r w:rsidRPr="00BB3B7F">
        <w:rPr>
          <w:iCs/>
          <w:sz w:val="18"/>
        </w:rPr>
        <w:t>discontinued from this treatment (starting on Day -14) and received dietary advice and explanation of the glucometer. They performed glucose measurements with a glucometer once a day, in the morning (while fasting) from Day </w:t>
      </w:r>
      <w:r w:rsidRPr="00BB3B7F">
        <w:rPr>
          <w:iCs/>
          <w:sz w:val="18"/>
        </w:rPr>
        <w:noBreakHyphen/>
        <w:t>14 to discharge on Day 29, and on Day 35</w:t>
      </w:r>
    </w:p>
    <w:p w14:paraId="039B98E9"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Blood sampling</w:t>
      </w:r>
      <w:r w:rsidRPr="00BB3B7F">
        <w:rPr>
          <w:iCs/>
          <w:sz w:val="18"/>
        </w:rPr>
        <w:tab/>
        <w:t>:</w:t>
      </w:r>
      <w:r w:rsidRPr="00BB3B7F">
        <w:rPr>
          <w:iCs/>
          <w:sz w:val="18"/>
        </w:rPr>
        <w:tab/>
        <w:t>for pharmacokinetics (PK) of HM11260C in serum: at pre-dose and at 1, 2, 4, 8 and 12 h post-dose on Day 1, and once on Days 2, 4, 7, 10, 14, 21, 28, 35, 42 and 49</w:t>
      </w:r>
    </w:p>
    <w:p w14:paraId="0345CF15"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ab/>
        <w:t>:</w:t>
      </w:r>
      <w:r w:rsidRPr="00BB3B7F">
        <w:rPr>
          <w:iCs/>
          <w:sz w:val="18"/>
        </w:rPr>
        <w:tab/>
        <w:t>for immunogenicity (anti-HM11260C antibodies): at pre</w:t>
      </w:r>
      <w:r w:rsidRPr="00BB3B7F">
        <w:rPr>
          <w:iCs/>
          <w:sz w:val="18"/>
        </w:rPr>
        <w:noBreakHyphen/>
        <w:t>dose, once on Days 28 and 49, and at follow-up</w:t>
      </w:r>
    </w:p>
    <w:p w14:paraId="28260118"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ab/>
        <w:t>:</w:t>
      </w:r>
      <w:r w:rsidRPr="00BB3B7F">
        <w:rPr>
          <w:iCs/>
          <w:sz w:val="18"/>
        </w:rPr>
        <w:tab/>
        <w:t>for genotyping: pre-dose</w:t>
      </w:r>
    </w:p>
    <w:p w14:paraId="5504AC7E"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Pharmacodynamic assessments</w:t>
      </w:r>
      <w:r w:rsidRPr="00BB3B7F">
        <w:rPr>
          <w:iCs/>
          <w:sz w:val="18"/>
        </w:rPr>
        <w:tab/>
        <w:t>:</w:t>
      </w:r>
      <w:r w:rsidRPr="00BB3B7F">
        <w:rPr>
          <w:iCs/>
          <w:sz w:val="18"/>
        </w:rPr>
        <w:tab/>
      </w:r>
      <w:r w:rsidRPr="00BB3B7F">
        <w:rPr>
          <w:iCs/>
          <w:sz w:val="18"/>
          <w:u w:val="single"/>
        </w:rPr>
        <w:t>blood sampling for pharmacodynamics (PD) of glucose, insulin and C-peptide:</w:t>
      </w:r>
      <w:r w:rsidRPr="00BB3B7F">
        <w:rPr>
          <w:iCs/>
          <w:sz w:val="18"/>
        </w:rPr>
        <w:t xml:space="preserve"> 24-h profiles obtained at baseline (Day -1) and on Days 1, 4, 7 and 14: on these days standardized meals, including Ensure Plus</w:t>
      </w:r>
      <w:r w:rsidRPr="00BB3B7F">
        <w:rPr>
          <w:iCs/>
          <w:sz w:val="18"/>
          <w:vertAlign w:val="superscript"/>
        </w:rPr>
        <w:t>®</w:t>
      </w:r>
      <w:r w:rsidRPr="00BB3B7F">
        <w:rPr>
          <w:iCs/>
          <w:sz w:val="18"/>
        </w:rPr>
        <w:t xml:space="preserve"> and a muffin as breakfast, were provided (time-points 24-h profile samples were: just following awakening, 5 minutes prior to breakfast, and 0.5, 1, 2 and 4 h after the start of each meal and in the evening prior to sleeping; 15 samples in total)</w:t>
      </w:r>
    </w:p>
    <w:p w14:paraId="2F5A4626" w14:textId="77C35188"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ab/>
      </w:r>
      <w:r w:rsidRPr="00BB3B7F">
        <w:rPr>
          <w:iCs/>
          <w:sz w:val="18"/>
        </w:rPr>
        <w:tab/>
      </w:r>
      <w:r w:rsidRPr="00BB3B7F">
        <w:rPr>
          <w:iCs/>
          <w:sz w:val="18"/>
          <w:u w:val="single"/>
        </w:rPr>
        <w:t>additional blood sampling for PD of glucose:</w:t>
      </w:r>
      <w:r w:rsidRPr="00BB3B7F">
        <w:rPr>
          <w:iCs/>
          <w:sz w:val="18"/>
        </w:rPr>
        <w:t xml:space="preserve"> 24-h profiles obtained on Days 21 and 28: on these days standardized meals, including Ensure Plus</w:t>
      </w:r>
      <w:r w:rsidRPr="00BB3B7F">
        <w:rPr>
          <w:iCs/>
          <w:sz w:val="18"/>
          <w:vertAlign w:val="superscript"/>
        </w:rPr>
        <w:t>®</w:t>
      </w:r>
      <w:r w:rsidRPr="00BB3B7F">
        <w:rPr>
          <w:iCs/>
          <w:sz w:val="18"/>
        </w:rPr>
        <w:t xml:space="preserve"> and a muffin as breakfast, were provided (time-points 24-h profile samples were: just following awakening, 5 minutes prior to breakfast, and 0.5, 1, 2 and 4 h after the start of each </w:t>
      </w:r>
      <w:r w:rsidRPr="00BB3B7F">
        <w:rPr>
          <w:iCs/>
          <w:sz w:val="18"/>
        </w:rPr>
        <w:lastRenderedPageBreak/>
        <w:t>meal and in the evening prior to sleeping; 15 samples in total)</w:t>
      </w:r>
    </w:p>
    <w:p w14:paraId="3541FA9E" w14:textId="77777777" w:rsidR="003746B5" w:rsidRPr="00BB3B7F" w:rsidRDefault="003746B5" w:rsidP="003D685A">
      <w:pPr>
        <w:pStyle w:val="synopsis"/>
        <w:tabs>
          <w:tab w:val="left" w:pos="2700"/>
          <w:tab w:val="left" w:pos="2800"/>
        </w:tabs>
        <w:ind w:left="2800" w:rightChars="-85" w:right="-187" w:hanging="2743"/>
        <w:jc w:val="both"/>
        <w:rPr>
          <w:i/>
          <w:iCs/>
          <w:sz w:val="18"/>
        </w:rPr>
      </w:pPr>
      <w:r w:rsidRPr="00BB3B7F">
        <w:rPr>
          <w:i/>
          <w:iCs/>
          <w:sz w:val="18"/>
        </w:rPr>
        <w:tab/>
      </w:r>
      <w:r w:rsidRPr="00BB3B7F">
        <w:rPr>
          <w:i/>
          <w:iCs/>
          <w:sz w:val="18"/>
        </w:rPr>
        <w:tab/>
      </w:r>
      <w:r w:rsidRPr="00BB3B7F">
        <w:rPr>
          <w:iCs/>
          <w:sz w:val="18"/>
          <w:u w:val="single"/>
        </w:rPr>
        <w:t>blood sampling for PD of glucagon:</w:t>
      </w:r>
      <w:r w:rsidRPr="00BB3B7F">
        <w:rPr>
          <w:i/>
          <w:iCs/>
          <w:sz w:val="18"/>
        </w:rPr>
        <w:t xml:space="preserve"> </w:t>
      </w:r>
      <w:r w:rsidRPr="00BB3B7F">
        <w:rPr>
          <w:iCs/>
          <w:sz w:val="18"/>
        </w:rPr>
        <w:t>24-h profiles</w:t>
      </w:r>
      <w:r w:rsidRPr="00BB3B7F" w:rsidDel="002128EC">
        <w:rPr>
          <w:iCs/>
          <w:sz w:val="18"/>
        </w:rPr>
        <w:t xml:space="preserve"> </w:t>
      </w:r>
      <w:r w:rsidRPr="00BB3B7F">
        <w:rPr>
          <w:iCs/>
          <w:sz w:val="18"/>
        </w:rPr>
        <w:t>obtained at baseline (Day -1) and on Day 4: on these days standardized meals, including Ensure Plus</w:t>
      </w:r>
      <w:r w:rsidRPr="00BB3B7F">
        <w:rPr>
          <w:iCs/>
          <w:sz w:val="18"/>
          <w:vertAlign w:val="superscript"/>
        </w:rPr>
        <w:t>®</w:t>
      </w:r>
      <w:r w:rsidRPr="00BB3B7F">
        <w:rPr>
          <w:iCs/>
          <w:sz w:val="18"/>
        </w:rPr>
        <w:t xml:space="preserve"> and a muffin as breakfast, were provided (time-points 24-h profile samples were: just following awakening, 5 minutes prior to breakfast, and 0.5, 1, 2 and 4 h after the start of each meal and in the evening prior to sleeping; 15 samples in total)</w:t>
      </w:r>
    </w:p>
    <w:p w14:paraId="3F385EEF"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
          <w:iCs/>
          <w:sz w:val="18"/>
        </w:rPr>
        <w:tab/>
      </w:r>
      <w:r w:rsidRPr="00BB3B7F">
        <w:rPr>
          <w:i/>
          <w:iCs/>
          <w:sz w:val="18"/>
        </w:rPr>
        <w:tab/>
      </w:r>
      <w:r w:rsidRPr="00BB3B7F">
        <w:rPr>
          <w:iCs/>
          <w:sz w:val="18"/>
          <w:u w:val="single"/>
        </w:rPr>
        <w:t>blood sampling for PD of fructosamine and lipids (total cholesterol, high density lipoprotein [HDL], low density lipoprotein [LDL], very low density lipoprotein [VLDL], free fatty acids, triglycerides):</w:t>
      </w:r>
      <w:r w:rsidRPr="00BB3B7F">
        <w:rPr>
          <w:iCs/>
          <w:sz w:val="18"/>
        </w:rPr>
        <w:t xml:space="preserve"> before breakfast on Days -1, 21, 28, 35, 42 and 49</w:t>
      </w:r>
    </w:p>
    <w:p w14:paraId="709EC100" w14:textId="77777777" w:rsidR="003746B5" w:rsidRPr="00BB3B7F" w:rsidRDefault="003746B5" w:rsidP="003D685A">
      <w:pPr>
        <w:pStyle w:val="synopsis"/>
        <w:tabs>
          <w:tab w:val="left" w:pos="2700"/>
          <w:tab w:val="left" w:pos="2800"/>
        </w:tabs>
        <w:ind w:left="2800" w:rightChars="-85" w:right="-187" w:hanging="2743"/>
        <w:jc w:val="both"/>
        <w:rPr>
          <w:i/>
          <w:iCs/>
          <w:sz w:val="18"/>
          <w:lang w:val="en-US"/>
        </w:rPr>
      </w:pPr>
      <w:r w:rsidRPr="00BB3B7F">
        <w:rPr>
          <w:iCs/>
          <w:sz w:val="18"/>
        </w:rPr>
        <w:tab/>
      </w:r>
      <w:r w:rsidRPr="00BB3B7F">
        <w:rPr>
          <w:iCs/>
          <w:sz w:val="18"/>
          <w:lang w:val="en-US"/>
        </w:rPr>
        <w:t>:</w:t>
      </w:r>
      <w:r w:rsidRPr="00BB3B7F">
        <w:rPr>
          <w:iCs/>
          <w:sz w:val="18"/>
          <w:lang w:val="en-US"/>
        </w:rPr>
        <w:tab/>
      </w:r>
      <w:r w:rsidRPr="00BB3B7F">
        <w:rPr>
          <w:iCs/>
          <w:sz w:val="18"/>
          <w:u w:val="single"/>
          <w:lang w:val="en-US"/>
        </w:rPr>
        <w:t>visual analogue scale (VAS) for hunger, craving and fullness:</w:t>
      </w:r>
      <w:r w:rsidRPr="00BB3B7F">
        <w:rPr>
          <w:iCs/>
          <w:sz w:val="18"/>
          <w:lang w:val="en-US"/>
        </w:rPr>
        <w:t xml:space="preserve"> once just before lunch on Days -1, 1, 4, 7, 14, 21 and 28</w:t>
      </w:r>
      <w:r w:rsidRPr="00BB3B7F">
        <w:rPr>
          <w:i/>
          <w:iCs/>
          <w:sz w:val="18"/>
          <w:lang w:val="en-US"/>
        </w:rPr>
        <w:t xml:space="preserve"> </w:t>
      </w:r>
    </w:p>
    <w:p w14:paraId="155F1676"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
          <w:iCs/>
          <w:sz w:val="18"/>
          <w:vertAlign w:val="superscript"/>
        </w:rPr>
        <w:tab/>
      </w:r>
      <w:r w:rsidRPr="00BB3B7F">
        <w:rPr>
          <w:iCs/>
          <w:sz w:val="18"/>
        </w:rPr>
        <w:t>:</w:t>
      </w:r>
      <w:r w:rsidRPr="00BB3B7F">
        <w:rPr>
          <w:iCs/>
          <w:sz w:val="18"/>
        </w:rPr>
        <w:tab/>
      </w:r>
      <w:r w:rsidRPr="00BB3B7F">
        <w:rPr>
          <w:iCs/>
          <w:sz w:val="18"/>
          <w:u w:val="single"/>
          <w:vertAlign w:val="superscript"/>
        </w:rPr>
        <w:t>13</w:t>
      </w:r>
      <w:r w:rsidRPr="00BB3B7F">
        <w:rPr>
          <w:iCs/>
          <w:sz w:val="18"/>
          <w:u w:val="single"/>
        </w:rPr>
        <w:t>C-octanoic acid meal and breath tests (gastric emptying):</w:t>
      </w:r>
      <w:r w:rsidRPr="00BB3B7F">
        <w:rPr>
          <w:iCs/>
          <w:sz w:val="18"/>
        </w:rPr>
        <w:t xml:space="preserve"> Days -1, 1 and 14: Breath tests twice pre-meal, </w:t>
      </w:r>
      <w:r w:rsidRPr="00BB3B7F">
        <w:rPr>
          <w:iCs/>
          <w:sz w:val="18"/>
          <w:vertAlign w:val="superscript"/>
        </w:rPr>
        <w:t>13</w:t>
      </w:r>
      <w:r w:rsidRPr="00BB3B7F">
        <w:rPr>
          <w:iCs/>
          <w:sz w:val="18"/>
        </w:rPr>
        <w:t>C-octanoic acid meal (Expiroger muffin) (combined with Ensure Plus</w:t>
      </w:r>
      <w:r w:rsidRPr="00BB3B7F">
        <w:rPr>
          <w:iCs/>
          <w:sz w:val="18"/>
          <w:vertAlign w:val="superscript"/>
        </w:rPr>
        <w:t>®</w:t>
      </w:r>
      <w:r w:rsidRPr="00BB3B7F">
        <w:rPr>
          <w:iCs/>
          <w:sz w:val="18"/>
        </w:rPr>
        <w:t xml:space="preserve">) for breakfast. On Day 1, </w:t>
      </w:r>
      <w:r w:rsidRPr="00BB3B7F">
        <w:rPr>
          <w:iCs/>
          <w:sz w:val="18"/>
          <w:vertAlign w:val="superscript"/>
        </w:rPr>
        <w:t>13</w:t>
      </w:r>
      <w:r w:rsidRPr="00BB3B7F">
        <w:rPr>
          <w:iCs/>
          <w:sz w:val="18"/>
        </w:rPr>
        <w:t>C-octanoic acid meal started 5 minutes after the start of dosing. Breath tests every 15 minutes until 5 h after the start of the meal</w:t>
      </w:r>
    </w:p>
    <w:p w14:paraId="7BED7146"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ab/>
        <w:t>:</w:t>
      </w:r>
      <w:r w:rsidRPr="00BB3B7F">
        <w:rPr>
          <w:iCs/>
          <w:sz w:val="18"/>
        </w:rPr>
        <w:tab/>
      </w:r>
      <w:r w:rsidRPr="00BB3B7F">
        <w:rPr>
          <w:iCs/>
          <w:sz w:val="18"/>
          <w:u w:val="single"/>
        </w:rPr>
        <w:t>b</w:t>
      </w:r>
      <w:r w:rsidRPr="00BB3B7F">
        <w:rPr>
          <w:iCs/>
          <w:sz w:val="18"/>
          <w:u w:val="single"/>
          <w:lang w:val="en-US"/>
        </w:rPr>
        <w:t>ody weight and waist circumference:</w:t>
      </w:r>
      <w:r w:rsidRPr="00BB3B7F">
        <w:rPr>
          <w:iCs/>
          <w:sz w:val="18"/>
          <w:lang w:val="en-US"/>
        </w:rPr>
        <w:t xml:space="preserve"> once at baseline (Day -1) and once on Days 28 and 49</w:t>
      </w:r>
      <w:r w:rsidRPr="00BB3B7F">
        <w:rPr>
          <w:iCs/>
          <w:sz w:val="18"/>
        </w:rPr>
        <w:t>; for Groups 6-8 also once on Day 14</w:t>
      </w:r>
    </w:p>
    <w:p w14:paraId="5F1F8469" w14:textId="77777777" w:rsidR="003746B5" w:rsidRPr="00BB3B7F" w:rsidRDefault="003746B5" w:rsidP="003D685A">
      <w:pPr>
        <w:pStyle w:val="synopsis"/>
        <w:tabs>
          <w:tab w:val="left" w:pos="2700"/>
          <w:tab w:val="left" w:pos="2800"/>
        </w:tabs>
        <w:ind w:left="2800" w:rightChars="-85" w:right="-187" w:hanging="2743"/>
        <w:jc w:val="both"/>
        <w:rPr>
          <w:iCs/>
          <w:sz w:val="18"/>
        </w:rPr>
      </w:pPr>
    </w:p>
    <w:p w14:paraId="5727A542" w14:textId="77777777" w:rsidR="003746B5" w:rsidRDefault="003746B5" w:rsidP="00461297">
      <w:pPr>
        <w:ind w:left="0"/>
        <w:rPr>
          <w:b/>
          <w:sz w:val="28"/>
          <w:szCs w:val="28"/>
        </w:rPr>
      </w:pPr>
      <w:r w:rsidRPr="00461297">
        <w:rPr>
          <w:b/>
          <w:sz w:val="28"/>
          <w:szCs w:val="28"/>
        </w:rPr>
        <w:br w:type="page"/>
      </w:r>
      <w:r w:rsidRPr="00461297">
        <w:rPr>
          <w:b/>
          <w:sz w:val="28"/>
          <w:szCs w:val="28"/>
        </w:rPr>
        <w:lastRenderedPageBreak/>
        <w:t>SYNOPSIS (Cont.)</w:t>
      </w:r>
    </w:p>
    <w:p w14:paraId="12AB6A31" w14:textId="77777777" w:rsidR="002D431F" w:rsidRPr="00461297" w:rsidRDefault="002D431F" w:rsidP="00461297">
      <w:pPr>
        <w:ind w:left="0"/>
        <w:rPr>
          <w:b/>
          <w:sz w:val="28"/>
          <w:szCs w:val="28"/>
        </w:rPr>
      </w:pPr>
    </w:p>
    <w:p w14:paraId="26FBAB25"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Safety assessments</w:t>
      </w:r>
      <w:r w:rsidRPr="00BB3B7F">
        <w:rPr>
          <w:iCs/>
          <w:sz w:val="18"/>
        </w:rPr>
        <w:tab/>
        <w:t>:</w:t>
      </w:r>
      <w:r w:rsidRPr="00BB3B7F">
        <w:rPr>
          <w:iCs/>
          <w:sz w:val="18"/>
        </w:rPr>
        <w:tab/>
        <w:t>AEs: from screening until completion of the follow</w:t>
      </w:r>
      <w:r w:rsidRPr="00BB3B7F">
        <w:rPr>
          <w:iCs/>
          <w:sz w:val="18"/>
        </w:rPr>
        <w:noBreakHyphen/>
        <w:t>up visit; vital signs (including supine systolic and diastolic blood pressure, pulse rate and oral body temperature), 12-lead ECG and clinical laboratory (including clinical chemistry, hematology and urinalysis): at screening, admission, once in the morning of Day -1 (12-lead ECG and vital signs only), once in the morning on Days 1 (pre-dose), 2, 4, 7, 14, 21 and 28, and at follow-up; glucose measurements with a glucometer (only for the diabetes patients taken off their</w:t>
      </w:r>
      <w:r>
        <w:rPr>
          <w:iCs/>
          <w:sz w:val="18"/>
        </w:rPr>
        <w:t xml:space="preserve"> </w:t>
      </w:r>
      <w:r w:rsidRPr="00BB3B7F">
        <w:rPr>
          <w:iCs/>
          <w:sz w:val="18"/>
        </w:rPr>
        <w:t>hypoglycemic medication), once a day, in the morning (while fasting), from Day </w:t>
      </w:r>
      <w:r w:rsidRPr="00BB3B7F">
        <w:rPr>
          <w:iCs/>
          <w:sz w:val="18"/>
        </w:rPr>
        <w:noBreakHyphen/>
        <w:t>14 to discharge on Day 29, and on Day 35</w:t>
      </w:r>
    </w:p>
    <w:p w14:paraId="1FE17FF0"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iCs/>
          <w:sz w:val="18"/>
        </w:rPr>
        <w:t>Bioanalysis</w:t>
      </w:r>
      <w:r w:rsidRPr="00BB3B7F">
        <w:rPr>
          <w:iCs/>
          <w:sz w:val="18"/>
        </w:rPr>
        <w:tab/>
        <w:t>:</w:t>
      </w:r>
      <w:r w:rsidRPr="00BB3B7F">
        <w:rPr>
          <w:iCs/>
          <w:sz w:val="18"/>
        </w:rPr>
        <w:tab/>
      </w:r>
      <w:r w:rsidRPr="00BB3B7F">
        <w:rPr>
          <w:bCs/>
          <w:iCs/>
          <w:sz w:val="18"/>
        </w:rPr>
        <w:t xml:space="preserve">analysis of HM11260C in serum samples was performed </w:t>
      </w:r>
    </w:p>
    <w:p w14:paraId="28F5D755" w14:textId="77777777" w:rsidR="003746B5" w:rsidRPr="00BB3B7F" w:rsidRDefault="003746B5" w:rsidP="003D685A">
      <w:pPr>
        <w:pStyle w:val="synopsis"/>
        <w:tabs>
          <w:tab w:val="left" w:pos="2700"/>
          <w:tab w:val="left" w:pos="2800"/>
        </w:tabs>
        <w:ind w:left="2800" w:rightChars="-85" w:right="-187" w:hanging="2743"/>
        <w:jc w:val="both"/>
        <w:rPr>
          <w:bCs/>
          <w:iCs/>
          <w:sz w:val="18"/>
        </w:rPr>
      </w:pPr>
      <w:r w:rsidRPr="00BB3B7F">
        <w:rPr>
          <w:bCs/>
          <w:iCs/>
          <w:sz w:val="18"/>
        </w:rPr>
        <w:tab/>
        <w:t>:</w:t>
      </w:r>
      <w:r w:rsidRPr="00BB3B7F">
        <w:rPr>
          <w:bCs/>
          <w:iCs/>
          <w:sz w:val="18"/>
        </w:rPr>
        <w:tab/>
        <w:t xml:space="preserve">analysis of glucose, insulin, C-peptide, fructosamine and lipids (total cholesterol, HDL, LDL, VLDL, free fatty acids, </w:t>
      </w:r>
      <w:r w:rsidRPr="00BB3B7F">
        <w:rPr>
          <w:iCs/>
          <w:sz w:val="18"/>
        </w:rPr>
        <w:t>triglycerides</w:t>
      </w:r>
      <w:r w:rsidRPr="00BB3B7F">
        <w:rPr>
          <w:bCs/>
          <w:iCs/>
          <w:sz w:val="18"/>
        </w:rPr>
        <w:t xml:space="preserve">) samples was performed </w:t>
      </w:r>
    </w:p>
    <w:p w14:paraId="7A5293BE" w14:textId="77777777" w:rsidR="003746B5" w:rsidRPr="00BB3B7F" w:rsidRDefault="003746B5" w:rsidP="003D685A">
      <w:pPr>
        <w:pStyle w:val="synopsis"/>
        <w:tabs>
          <w:tab w:val="left" w:pos="2700"/>
          <w:tab w:val="left" w:pos="2800"/>
        </w:tabs>
        <w:ind w:left="2800" w:rightChars="-85" w:right="-187" w:hanging="2743"/>
        <w:jc w:val="both"/>
        <w:rPr>
          <w:bCs/>
          <w:iCs/>
          <w:sz w:val="18"/>
        </w:rPr>
      </w:pPr>
      <w:r w:rsidRPr="00BB3B7F">
        <w:rPr>
          <w:bCs/>
          <w:iCs/>
          <w:sz w:val="18"/>
        </w:rPr>
        <w:tab/>
        <w:t>:</w:t>
      </w:r>
      <w:r w:rsidRPr="00BB3B7F">
        <w:rPr>
          <w:bCs/>
          <w:iCs/>
          <w:sz w:val="18"/>
        </w:rPr>
        <w:tab/>
        <w:t xml:space="preserve">analysis of glucagon samples was performed </w:t>
      </w:r>
    </w:p>
    <w:p w14:paraId="4CFAE53F" w14:textId="77777777" w:rsidR="003746B5" w:rsidRPr="00BB3B7F" w:rsidRDefault="003746B5" w:rsidP="003D685A">
      <w:pPr>
        <w:pStyle w:val="synopsis"/>
        <w:tabs>
          <w:tab w:val="left" w:pos="2700"/>
          <w:tab w:val="left" w:pos="2800"/>
        </w:tabs>
        <w:ind w:left="2800" w:rightChars="-85" w:right="-187" w:hanging="2743"/>
        <w:jc w:val="both"/>
        <w:rPr>
          <w:bCs/>
          <w:iCs/>
          <w:sz w:val="18"/>
        </w:rPr>
      </w:pPr>
      <w:r w:rsidRPr="00BB3B7F">
        <w:rPr>
          <w:bCs/>
          <w:iCs/>
          <w:sz w:val="18"/>
        </w:rPr>
        <w:t xml:space="preserve"> </w:t>
      </w:r>
      <w:r w:rsidRPr="00BB3B7F">
        <w:rPr>
          <w:bCs/>
          <w:iCs/>
          <w:sz w:val="18"/>
        </w:rPr>
        <w:tab/>
        <w:t>:</w:t>
      </w:r>
      <w:r w:rsidRPr="00BB3B7F">
        <w:rPr>
          <w:bCs/>
          <w:iCs/>
          <w:sz w:val="18"/>
        </w:rPr>
        <w:tab/>
      </w:r>
      <w:r w:rsidRPr="00BB3B7F">
        <w:rPr>
          <w:iCs/>
          <w:sz w:val="18"/>
        </w:rPr>
        <w:t xml:space="preserve">analysis of </w:t>
      </w:r>
      <w:r w:rsidRPr="00BB3B7F">
        <w:rPr>
          <w:iCs/>
          <w:sz w:val="18"/>
          <w:vertAlign w:val="superscript"/>
        </w:rPr>
        <w:t>13</w:t>
      </w:r>
      <w:r w:rsidRPr="00BB3B7F">
        <w:rPr>
          <w:iCs/>
          <w:sz w:val="18"/>
        </w:rPr>
        <w:t>C</w:t>
      </w:r>
      <w:r w:rsidRPr="00BB3B7F">
        <w:rPr>
          <w:iCs/>
          <w:sz w:val="18"/>
        </w:rPr>
        <w:noBreakHyphen/>
        <w:t>breath tests (gastric emptying) was performed</w:t>
      </w:r>
    </w:p>
    <w:p w14:paraId="50397A3A" w14:textId="77777777" w:rsidR="003746B5" w:rsidRPr="00BB3B7F" w:rsidRDefault="003746B5" w:rsidP="003D685A">
      <w:pPr>
        <w:pStyle w:val="synopsis"/>
        <w:tabs>
          <w:tab w:val="left" w:pos="2700"/>
          <w:tab w:val="left" w:pos="2800"/>
        </w:tabs>
        <w:ind w:left="2800" w:rightChars="-85" w:right="-187" w:hanging="2743"/>
        <w:jc w:val="both"/>
        <w:rPr>
          <w:bCs/>
          <w:iCs/>
          <w:sz w:val="18"/>
        </w:rPr>
      </w:pPr>
      <w:r w:rsidRPr="00BB3B7F">
        <w:rPr>
          <w:bCs/>
          <w:iCs/>
          <w:sz w:val="18"/>
        </w:rPr>
        <w:tab/>
        <w:t>:</w:t>
      </w:r>
      <w:r w:rsidRPr="00BB3B7F">
        <w:rPr>
          <w:bCs/>
          <w:iCs/>
          <w:sz w:val="18"/>
        </w:rPr>
        <w:tab/>
        <w:t xml:space="preserve">analysis of anti-HM11260C antibodies was performed </w:t>
      </w:r>
    </w:p>
    <w:p w14:paraId="4812E2D4" w14:textId="77777777" w:rsidR="003746B5" w:rsidRPr="00BB3B7F" w:rsidRDefault="003746B5" w:rsidP="003D685A">
      <w:pPr>
        <w:pStyle w:val="synopsis"/>
        <w:ind w:left="57" w:rightChars="-85" w:right="-187"/>
        <w:jc w:val="both"/>
        <w:rPr>
          <w:bCs/>
          <w:sz w:val="18"/>
        </w:rPr>
      </w:pPr>
    </w:p>
    <w:p w14:paraId="1794BE1A" w14:textId="77777777" w:rsidR="003746B5" w:rsidRPr="00BB3B7F" w:rsidRDefault="003746B5" w:rsidP="003D685A">
      <w:pPr>
        <w:pStyle w:val="synopsis"/>
        <w:ind w:left="57" w:rightChars="-85" w:right="-187"/>
        <w:rPr>
          <w:b/>
          <w:sz w:val="18"/>
        </w:rPr>
      </w:pPr>
      <w:r w:rsidRPr="00BB3B7F">
        <w:rPr>
          <w:b/>
          <w:sz w:val="18"/>
        </w:rPr>
        <w:t>Patients</w:t>
      </w:r>
    </w:p>
    <w:tbl>
      <w:tblPr>
        <w:tblW w:w="0" w:type="auto"/>
        <w:tblInd w:w="57" w:type="dxa"/>
        <w:tblCellMar>
          <w:left w:w="0" w:type="dxa"/>
          <w:right w:w="0" w:type="dxa"/>
        </w:tblCellMar>
        <w:tblLook w:val="0000" w:firstRow="0" w:lastRow="0" w:firstColumn="0" w:lastColumn="0" w:noHBand="0" w:noVBand="0"/>
      </w:tblPr>
      <w:tblGrid>
        <w:gridCol w:w="1051"/>
        <w:gridCol w:w="1192"/>
        <w:gridCol w:w="1792"/>
        <w:gridCol w:w="1808"/>
      </w:tblGrid>
      <w:tr w:rsidR="003746B5" w:rsidRPr="00BB3B7F" w14:paraId="75A1F6F1" w14:textId="77777777" w:rsidTr="004447BC">
        <w:tc>
          <w:tcPr>
            <w:tcW w:w="1051" w:type="dxa"/>
            <w:tcBorders>
              <w:bottom w:val="single" w:sz="4" w:space="0" w:color="auto"/>
            </w:tcBorders>
          </w:tcPr>
          <w:p w14:paraId="404DB22E" w14:textId="77777777" w:rsidR="003746B5" w:rsidRPr="00BB3B7F" w:rsidRDefault="003746B5" w:rsidP="003D685A">
            <w:pPr>
              <w:pStyle w:val="synopsis"/>
              <w:ind w:left="0" w:rightChars="-85" w:right="-187"/>
              <w:rPr>
                <w:b/>
                <w:color w:val="000000"/>
                <w:sz w:val="18"/>
              </w:rPr>
            </w:pPr>
          </w:p>
        </w:tc>
        <w:tc>
          <w:tcPr>
            <w:tcW w:w="1192" w:type="dxa"/>
            <w:tcBorders>
              <w:bottom w:val="single" w:sz="4" w:space="0" w:color="auto"/>
            </w:tcBorders>
          </w:tcPr>
          <w:p w14:paraId="7FB9542A" w14:textId="77777777" w:rsidR="003746B5" w:rsidRPr="00BB3B7F" w:rsidRDefault="003746B5" w:rsidP="003D685A">
            <w:pPr>
              <w:pStyle w:val="synopsis"/>
              <w:ind w:left="0" w:rightChars="-85" w:right="-187"/>
              <w:jc w:val="center"/>
              <w:rPr>
                <w:b/>
                <w:color w:val="000000"/>
                <w:sz w:val="18"/>
              </w:rPr>
            </w:pPr>
            <w:r w:rsidRPr="00BB3B7F">
              <w:rPr>
                <w:color w:val="000000"/>
                <w:sz w:val="18"/>
              </w:rPr>
              <w:t>Safety</w:t>
            </w:r>
          </w:p>
        </w:tc>
        <w:tc>
          <w:tcPr>
            <w:tcW w:w="1792" w:type="dxa"/>
            <w:tcBorders>
              <w:bottom w:val="single" w:sz="4" w:space="0" w:color="auto"/>
            </w:tcBorders>
          </w:tcPr>
          <w:p w14:paraId="03DEDE13" w14:textId="77777777" w:rsidR="003746B5" w:rsidRPr="00BB3B7F" w:rsidRDefault="003746B5" w:rsidP="003D685A">
            <w:pPr>
              <w:pStyle w:val="synopsis"/>
              <w:ind w:left="0" w:rightChars="-85" w:right="-187"/>
              <w:jc w:val="center"/>
              <w:rPr>
                <w:color w:val="000000"/>
                <w:sz w:val="18"/>
              </w:rPr>
            </w:pPr>
            <w:r w:rsidRPr="00BB3B7F">
              <w:rPr>
                <w:color w:val="000000"/>
                <w:sz w:val="18"/>
              </w:rPr>
              <w:t xml:space="preserve">Pharmacokinetics </w:t>
            </w:r>
          </w:p>
        </w:tc>
        <w:tc>
          <w:tcPr>
            <w:tcW w:w="1808" w:type="dxa"/>
            <w:tcBorders>
              <w:bottom w:val="single" w:sz="4" w:space="0" w:color="auto"/>
            </w:tcBorders>
          </w:tcPr>
          <w:p w14:paraId="17FA3A79" w14:textId="77777777" w:rsidR="003746B5" w:rsidRPr="00BB3B7F" w:rsidRDefault="003746B5" w:rsidP="003D685A">
            <w:pPr>
              <w:pStyle w:val="synopsis"/>
              <w:ind w:left="0" w:rightChars="-85" w:right="-187"/>
              <w:jc w:val="center"/>
              <w:rPr>
                <w:b/>
                <w:color w:val="000000"/>
                <w:sz w:val="18"/>
              </w:rPr>
            </w:pPr>
            <w:r w:rsidRPr="00BB3B7F">
              <w:rPr>
                <w:color w:val="000000"/>
                <w:sz w:val="18"/>
              </w:rPr>
              <w:t>Pharmacodynamics</w:t>
            </w:r>
          </w:p>
        </w:tc>
      </w:tr>
      <w:tr w:rsidR="003746B5" w:rsidRPr="00BB3B7F" w14:paraId="34A3249A" w14:textId="77777777" w:rsidTr="004447BC">
        <w:tc>
          <w:tcPr>
            <w:tcW w:w="1051" w:type="dxa"/>
            <w:tcBorders>
              <w:top w:val="single" w:sz="4" w:space="0" w:color="auto"/>
            </w:tcBorders>
          </w:tcPr>
          <w:p w14:paraId="618B6439" w14:textId="77777777" w:rsidR="003746B5" w:rsidRPr="00BB3B7F" w:rsidRDefault="003746B5" w:rsidP="003D685A">
            <w:pPr>
              <w:pStyle w:val="synopsis"/>
              <w:ind w:left="0" w:rightChars="-85" w:right="-187"/>
              <w:rPr>
                <w:b/>
                <w:color w:val="000000"/>
                <w:sz w:val="18"/>
              </w:rPr>
            </w:pPr>
            <w:r w:rsidRPr="00BB3B7F">
              <w:rPr>
                <w:color w:val="000000"/>
                <w:sz w:val="18"/>
              </w:rPr>
              <w:t>Planned</w:t>
            </w:r>
          </w:p>
        </w:tc>
        <w:tc>
          <w:tcPr>
            <w:tcW w:w="1192" w:type="dxa"/>
            <w:tcBorders>
              <w:top w:val="single" w:sz="4" w:space="0" w:color="auto"/>
            </w:tcBorders>
          </w:tcPr>
          <w:p w14:paraId="3B90D578" w14:textId="77777777" w:rsidR="003746B5" w:rsidRPr="00BB3B7F" w:rsidRDefault="003746B5" w:rsidP="003D685A">
            <w:pPr>
              <w:pStyle w:val="synopsis"/>
              <w:ind w:left="0" w:rightChars="-85" w:right="-187"/>
              <w:jc w:val="center"/>
              <w:rPr>
                <w:color w:val="000000"/>
                <w:sz w:val="18"/>
              </w:rPr>
            </w:pPr>
            <w:r w:rsidRPr="00BB3B7F">
              <w:rPr>
                <w:color w:val="000000"/>
                <w:sz w:val="18"/>
              </w:rPr>
              <w:t>48</w:t>
            </w:r>
          </w:p>
        </w:tc>
        <w:tc>
          <w:tcPr>
            <w:tcW w:w="1792" w:type="dxa"/>
            <w:tcBorders>
              <w:top w:val="single" w:sz="4" w:space="0" w:color="auto"/>
            </w:tcBorders>
          </w:tcPr>
          <w:p w14:paraId="3E5A329D" w14:textId="77777777" w:rsidR="003746B5" w:rsidRPr="00BB3B7F" w:rsidRDefault="003746B5" w:rsidP="003D685A">
            <w:pPr>
              <w:pStyle w:val="synopsis"/>
              <w:ind w:left="0" w:rightChars="-85" w:right="-187"/>
              <w:jc w:val="center"/>
              <w:rPr>
                <w:color w:val="000000"/>
                <w:sz w:val="18"/>
              </w:rPr>
            </w:pPr>
            <w:r w:rsidRPr="00BB3B7F">
              <w:rPr>
                <w:color w:val="000000"/>
                <w:sz w:val="18"/>
              </w:rPr>
              <w:t>40</w:t>
            </w:r>
          </w:p>
        </w:tc>
        <w:tc>
          <w:tcPr>
            <w:tcW w:w="1808" w:type="dxa"/>
            <w:tcBorders>
              <w:top w:val="single" w:sz="4" w:space="0" w:color="auto"/>
            </w:tcBorders>
          </w:tcPr>
          <w:p w14:paraId="25547898" w14:textId="77777777" w:rsidR="003746B5" w:rsidRPr="00BB3B7F" w:rsidRDefault="003746B5" w:rsidP="003D685A">
            <w:pPr>
              <w:pStyle w:val="synopsis"/>
              <w:ind w:left="0" w:rightChars="-85" w:right="-187"/>
              <w:jc w:val="center"/>
              <w:rPr>
                <w:color w:val="000000"/>
                <w:sz w:val="18"/>
              </w:rPr>
            </w:pPr>
            <w:r w:rsidRPr="00BB3B7F">
              <w:rPr>
                <w:color w:val="000000"/>
                <w:sz w:val="18"/>
              </w:rPr>
              <w:t>48</w:t>
            </w:r>
          </w:p>
        </w:tc>
      </w:tr>
      <w:tr w:rsidR="003746B5" w:rsidRPr="00BB3B7F" w14:paraId="5886524D" w14:textId="77777777" w:rsidTr="004447BC">
        <w:tc>
          <w:tcPr>
            <w:tcW w:w="1051" w:type="dxa"/>
          </w:tcPr>
          <w:p w14:paraId="71C0096D" w14:textId="77777777" w:rsidR="003746B5" w:rsidRPr="00BB3B7F" w:rsidRDefault="003746B5" w:rsidP="003D685A">
            <w:pPr>
              <w:pStyle w:val="synopsis"/>
              <w:ind w:left="0" w:rightChars="-85" w:right="-187"/>
              <w:rPr>
                <w:b/>
                <w:color w:val="000000"/>
                <w:sz w:val="18"/>
              </w:rPr>
            </w:pPr>
            <w:r w:rsidRPr="00BB3B7F">
              <w:rPr>
                <w:color w:val="000000"/>
                <w:sz w:val="18"/>
              </w:rPr>
              <w:t>Included</w:t>
            </w:r>
          </w:p>
        </w:tc>
        <w:tc>
          <w:tcPr>
            <w:tcW w:w="1192" w:type="dxa"/>
          </w:tcPr>
          <w:p w14:paraId="6F36807F" w14:textId="77777777" w:rsidR="003746B5" w:rsidRPr="00BB3B7F" w:rsidRDefault="003746B5" w:rsidP="003D685A">
            <w:pPr>
              <w:pStyle w:val="synopsis"/>
              <w:ind w:left="0" w:rightChars="-85" w:right="-187"/>
              <w:jc w:val="center"/>
              <w:rPr>
                <w:color w:val="000000"/>
                <w:sz w:val="18"/>
              </w:rPr>
            </w:pPr>
            <w:r w:rsidRPr="00BB3B7F">
              <w:rPr>
                <w:color w:val="000000"/>
                <w:sz w:val="18"/>
              </w:rPr>
              <w:t>48</w:t>
            </w:r>
          </w:p>
        </w:tc>
        <w:tc>
          <w:tcPr>
            <w:tcW w:w="1792" w:type="dxa"/>
          </w:tcPr>
          <w:p w14:paraId="18EC898A" w14:textId="77777777" w:rsidR="003746B5" w:rsidRPr="00BB3B7F" w:rsidRDefault="003746B5" w:rsidP="003D685A">
            <w:pPr>
              <w:pStyle w:val="synopsis"/>
              <w:ind w:left="0" w:rightChars="-85" w:right="-187"/>
              <w:jc w:val="center"/>
              <w:rPr>
                <w:color w:val="000000"/>
                <w:sz w:val="18"/>
              </w:rPr>
            </w:pPr>
            <w:r w:rsidRPr="00BB3B7F">
              <w:rPr>
                <w:color w:val="000000"/>
                <w:sz w:val="18"/>
              </w:rPr>
              <w:t>40</w:t>
            </w:r>
          </w:p>
        </w:tc>
        <w:tc>
          <w:tcPr>
            <w:tcW w:w="1808" w:type="dxa"/>
          </w:tcPr>
          <w:p w14:paraId="45654148" w14:textId="77777777" w:rsidR="003746B5" w:rsidRPr="00BB3B7F" w:rsidRDefault="003746B5" w:rsidP="003D685A">
            <w:pPr>
              <w:pStyle w:val="synopsis"/>
              <w:ind w:left="0" w:rightChars="-85" w:right="-187"/>
              <w:jc w:val="center"/>
              <w:rPr>
                <w:color w:val="000000"/>
                <w:sz w:val="18"/>
              </w:rPr>
            </w:pPr>
            <w:r w:rsidRPr="00BB3B7F">
              <w:rPr>
                <w:color w:val="000000"/>
                <w:sz w:val="18"/>
              </w:rPr>
              <w:t>48</w:t>
            </w:r>
          </w:p>
        </w:tc>
      </w:tr>
      <w:tr w:rsidR="003746B5" w:rsidRPr="00BB3B7F" w14:paraId="29FCA46A" w14:textId="77777777" w:rsidTr="004447BC">
        <w:tc>
          <w:tcPr>
            <w:tcW w:w="1051" w:type="dxa"/>
          </w:tcPr>
          <w:p w14:paraId="34104A6F" w14:textId="77777777" w:rsidR="003746B5" w:rsidRPr="00BB3B7F" w:rsidRDefault="003746B5" w:rsidP="003D685A">
            <w:pPr>
              <w:pStyle w:val="synopsis"/>
              <w:ind w:left="0" w:rightChars="-85" w:right="-187"/>
              <w:rPr>
                <w:b/>
                <w:color w:val="000000"/>
                <w:sz w:val="18"/>
              </w:rPr>
            </w:pPr>
            <w:r w:rsidRPr="00BB3B7F">
              <w:rPr>
                <w:color w:val="000000"/>
                <w:sz w:val="18"/>
              </w:rPr>
              <w:t>Evaluable</w:t>
            </w:r>
          </w:p>
        </w:tc>
        <w:tc>
          <w:tcPr>
            <w:tcW w:w="1192" w:type="dxa"/>
          </w:tcPr>
          <w:p w14:paraId="700464D4" w14:textId="77777777" w:rsidR="003746B5" w:rsidRPr="00BB3B7F" w:rsidRDefault="003746B5" w:rsidP="003D685A">
            <w:pPr>
              <w:pStyle w:val="synopsis"/>
              <w:ind w:left="0" w:rightChars="-85" w:right="-187"/>
              <w:jc w:val="center"/>
              <w:rPr>
                <w:color w:val="000000"/>
                <w:sz w:val="18"/>
              </w:rPr>
            </w:pPr>
            <w:r w:rsidRPr="00BB3B7F">
              <w:rPr>
                <w:color w:val="000000"/>
                <w:sz w:val="18"/>
              </w:rPr>
              <w:t>48</w:t>
            </w:r>
          </w:p>
        </w:tc>
        <w:tc>
          <w:tcPr>
            <w:tcW w:w="1792" w:type="dxa"/>
          </w:tcPr>
          <w:p w14:paraId="739D176B" w14:textId="77777777" w:rsidR="003746B5" w:rsidRPr="00BB3B7F" w:rsidRDefault="003746B5" w:rsidP="003D685A">
            <w:pPr>
              <w:pStyle w:val="synopsis"/>
              <w:ind w:left="0" w:rightChars="-85" w:right="-187"/>
              <w:jc w:val="center"/>
              <w:rPr>
                <w:color w:val="000000"/>
                <w:sz w:val="18"/>
              </w:rPr>
            </w:pPr>
            <w:r w:rsidRPr="00BB3B7F">
              <w:rPr>
                <w:color w:val="000000"/>
                <w:sz w:val="18"/>
              </w:rPr>
              <w:t>40</w:t>
            </w:r>
          </w:p>
        </w:tc>
        <w:tc>
          <w:tcPr>
            <w:tcW w:w="1808" w:type="dxa"/>
          </w:tcPr>
          <w:p w14:paraId="6C984E31" w14:textId="77777777" w:rsidR="003746B5" w:rsidRPr="00BB3B7F" w:rsidRDefault="003746B5" w:rsidP="003D685A">
            <w:pPr>
              <w:pStyle w:val="synopsis"/>
              <w:ind w:left="0" w:rightChars="-85" w:right="-187"/>
              <w:jc w:val="center"/>
              <w:rPr>
                <w:color w:val="000000"/>
                <w:sz w:val="18"/>
              </w:rPr>
            </w:pPr>
            <w:r w:rsidRPr="00BB3B7F">
              <w:rPr>
                <w:color w:val="000000"/>
                <w:sz w:val="18"/>
              </w:rPr>
              <w:t>48*</w:t>
            </w:r>
          </w:p>
        </w:tc>
      </w:tr>
    </w:tbl>
    <w:p w14:paraId="5C3C3EAA" w14:textId="5198FFE3" w:rsidR="003746B5" w:rsidRPr="00BB3B7F" w:rsidRDefault="003746B5" w:rsidP="003D685A">
      <w:pPr>
        <w:pStyle w:val="synopsis"/>
        <w:tabs>
          <w:tab w:val="left" w:pos="200"/>
        </w:tabs>
        <w:spacing w:before="60"/>
        <w:ind w:left="199" w:rightChars="-85" w:right="-187" w:hanging="142"/>
        <w:jc w:val="both"/>
        <w:rPr>
          <w:color w:val="000000"/>
          <w:szCs w:val="16"/>
        </w:rPr>
      </w:pPr>
      <w:r w:rsidRPr="00BB3B7F">
        <w:rPr>
          <w:b/>
          <w:color w:val="000000"/>
          <w:sz w:val="18"/>
        </w:rPr>
        <w:t>*</w:t>
      </w:r>
      <w:r w:rsidRPr="00BB3B7F">
        <w:rPr>
          <w:b/>
          <w:color w:val="000000"/>
          <w:sz w:val="18"/>
        </w:rPr>
        <w:tab/>
      </w:r>
      <w:r w:rsidRPr="00BB3B7F">
        <w:rPr>
          <w:color w:val="000000"/>
          <w:szCs w:val="16"/>
        </w:rPr>
        <w:t xml:space="preserve">Patient 014 (8 </w:t>
      </w:r>
      <w:r w:rsidRPr="00BB3B7F">
        <w:rPr>
          <w:szCs w:val="16"/>
        </w:rPr>
        <w:t xml:space="preserve">µg/kg) resumed his anti-diabetic medication from Day 10 onwards and was excluded from the PD population from Day 10 until Day 29 </w:t>
      </w:r>
    </w:p>
    <w:p w14:paraId="0E3CD687" w14:textId="77777777" w:rsidR="003746B5" w:rsidRPr="00BB3B7F" w:rsidRDefault="003746B5" w:rsidP="003D685A">
      <w:pPr>
        <w:pStyle w:val="synopsis"/>
        <w:ind w:left="57" w:rightChars="-85" w:right="-187"/>
        <w:rPr>
          <w:b/>
          <w:color w:val="000000"/>
          <w:sz w:val="18"/>
        </w:rPr>
      </w:pPr>
    </w:p>
    <w:p w14:paraId="4EFEB98E" w14:textId="77777777" w:rsidR="003746B5" w:rsidRPr="00BB3B7F" w:rsidRDefault="003746B5" w:rsidP="003D685A">
      <w:pPr>
        <w:pStyle w:val="synopsis"/>
        <w:ind w:left="57" w:rightChars="-85" w:right="-187"/>
        <w:rPr>
          <w:b/>
          <w:color w:val="000000"/>
          <w:sz w:val="18"/>
        </w:rPr>
      </w:pPr>
      <w:r w:rsidRPr="00BB3B7F">
        <w:rPr>
          <w:b/>
          <w:color w:val="000000"/>
          <w:sz w:val="18"/>
        </w:rPr>
        <w:t>Main criteria for inclusion</w:t>
      </w:r>
    </w:p>
    <w:p w14:paraId="1D21657D" w14:textId="77777777" w:rsidR="003746B5" w:rsidRPr="00BB3B7F" w:rsidRDefault="003746B5" w:rsidP="003D685A">
      <w:pPr>
        <w:pStyle w:val="synopsis"/>
        <w:tabs>
          <w:tab w:val="left" w:pos="2700"/>
          <w:tab w:val="left" w:pos="2800"/>
        </w:tabs>
        <w:ind w:left="2800" w:rightChars="-85" w:right="-187" w:hanging="2743"/>
        <w:jc w:val="both"/>
        <w:rPr>
          <w:color w:val="000000"/>
          <w:sz w:val="18"/>
          <w:szCs w:val="18"/>
        </w:rPr>
      </w:pPr>
      <w:r w:rsidRPr="00BB3B7F">
        <w:rPr>
          <w:color w:val="000000"/>
          <w:sz w:val="18"/>
          <w:szCs w:val="18"/>
        </w:rPr>
        <w:t>Age</w:t>
      </w:r>
      <w:r w:rsidRPr="00BB3B7F">
        <w:rPr>
          <w:color w:val="000000"/>
          <w:sz w:val="18"/>
          <w:szCs w:val="18"/>
        </w:rPr>
        <w:tab/>
        <w:t>:</w:t>
      </w:r>
      <w:r w:rsidRPr="00BB3B7F">
        <w:rPr>
          <w:color w:val="000000"/>
          <w:sz w:val="18"/>
          <w:szCs w:val="18"/>
        </w:rPr>
        <w:tab/>
        <w:t xml:space="preserve">18 </w:t>
      </w:r>
      <w:r w:rsidRPr="00BB3B7F">
        <w:rPr>
          <w:sz w:val="18"/>
          <w:szCs w:val="18"/>
        </w:rPr>
        <w:t>- 75 years, inclusive</w:t>
      </w:r>
    </w:p>
    <w:p w14:paraId="253F2B47" w14:textId="77777777" w:rsidR="003746B5" w:rsidRPr="00BB3B7F" w:rsidRDefault="003746B5" w:rsidP="003D685A">
      <w:pPr>
        <w:pStyle w:val="synopsis"/>
        <w:tabs>
          <w:tab w:val="left" w:pos="2700"/>
          <w:tab w:val="left" w:pos="2800"/>
        </w:tabs>
        <w:ind w:left="2800" w:rightChars="-85" w:right="-187" w:hanging="2743"/>
        <w:jc w:val="both"/>
        <w:rPr>
          <w:color w:val="000000"/>
          <w:sz w:val="18"/>
          <w:szCs w:val="18"/>
        </w:rPr>
      </w:pPr>
      <w:r w:rsidRPr="00BB3B7F">
        <w:rPr>
          <w:color w:val="000000"/>
          <w:sz w:val="18"/>
          <w:szCs w:val="18"/>
        </w:rPr>
        <w:lastRenderedPageBreak/>
        <w:t>Body Mass Index</w:t>
      </w:r>
      <w:r w:rsidRPr="00BB3B7F">
        <w:rPr>
          <w:color w:val="000000"/>
          <w:sz w:val="18"/>
          <w:szCs w:val="18"/>
        </w:rPr>
        <w:tab/>
        <w:t>:</w:t>
      </w:r>
      <w:r w:rsidRPr="00BB3B7F">
        <w:rPr>
          <w:color w:val="000000"/>
          <w:sz w:val="18"/>
          <w:szCs w:val="18"/>
        </w:rPr>
        <w:tab/>
        <w:t xml:space="preserve">25 </w:t>
      </w:r>
      <w:r w:rsidRPr="00BB3B7F">
        <w:rPr>
          <w:sz w:val="18"/>
          <w:szCs w:val="18"/>
        </w:rPr>
        <w:t>- 40 kg/m</w:t>
      </w:r>
      <w:r w:rsidRPr="00BB3B7F">
        <w:rPr>
          <w:sz w:val="18"/>
          <w:szCs w:val="18"/>
          <w:vertAlign w:val="superscript"/>
        </w:rPr>
        <w:t>2</w:t>
      </w:r>
      <w:r w:rsidRPr="00BB3B7F">
        <w:rPr>
          <w:sz w:val="18"/>
          <w:szCs w:val="18"/>
        </w:rPr>
        <w:t>, inclusive</w:t>
      </w:r>
      <w:r w:rsidRPr="00BB3B7F" w:rsidDel="00925AFC">
        <w:rPr>
          <w:color w:val="000000"/>
          <w:sz w:val="18"/>
          <w:szCs w:val="18"/>
        </w:rPr>
        <w:t xml:space="preserve"> </w:t>
      </w:r>
    </w:p>
    <w:p w14:paraId="036C057C" w14:textId="77777777" w:rsidR="003746B5" w:rsidRPr="00BB3B7F" w:rsidRDefault="003746B5" w:rsidP="003D685A">
      <w:pPr>
        <w:pStyle w:val="synopsis"/>
        <w:tabs>
          <w:tab w:val="left" w:pos="2700"/>
          <w:tab w:val="left" w:pos="2800"/>
        </w:tabs>
        <w:ind w:left="2800" w:rightChars="-85" w:right="-187" w:hanging="2743"/>
        <w:jc w:val="both"/>
        <w:rPr>
          <w:sz w:val="18"/>
        </w:rPr>
      </w:pPr>
      <w:r w:rsidRPr="00BB3B7F">
        <w:rPr>
          <w:color w:val="000000"/>
          <w:sz w:val="18"/>
        </w:rPr>
        <w:t>Patients</w:t>
      </w:r>
      <w:r w:rsidRPr="00BB3B7F">
        <w:rPr>
          <w:color w:val="000000"/>
          <w:sz w:val="18"/>
        </w:rPr>
        <w:tab/>
        <w:t>:</w:t>
      </w:r>
      <w:r w:rsidRPr="00BB3B7F">
        <w:rPr>
          <w:color w:val="000000"/>
          <w:sz w:val="18"/>
        </w:rPr>
        <w:tab/>
      </w:r>
      <w:r w:rsidRPr="00BB3B7F">
        <w:rPr>
          <w:iCs/>
          <w:sz w:val="18"/>
        </w:rPr>
        <w:t xml:space="preserve">male and/or female patients with type 2 diabetes mellitus </w:t>
      </w:r>
    </w:p>
    <w:p w14:paraId="621B0C7C" w14:textId="77777777" w:rsidR="003746B5" w:rsidRPr="00BB3B7F" w:rsidRDefault="003746B5" w:rsidP="003D685A">
      <w:pPr>
        <w:pStyle w:val="synopsis"/>
        <w:tabs>
          <w:tab w:val="left" w:pos="2600"/>
          <w:tab w:val="left" w:pos="2716"/>
        </w:tabs>
        <w:ind w:left="2716" w:rightChars="-85" w:right="-187" w:hanging="2659"/>
        <w:jc w:val="both"/>
        <w:rPr>
          <w:sz w:val="18"/>
        </w:rPr>
      </w:pPr>
    </w:p>
    <w:p w14:paraId="42BAD1DB" w14:textId="77777777" w:rsidR="003746B5" w:rsidRPr="00BB3B7F" w:rsidRDefault="003746B5" w:rsidP="003D685A">
      <w:pPr>
        <w:pStyle w:val="synopsis"/>
        <w:ind w:left="57" w:rightChars="-85" w:right="-187"/>
        <w:rPr>
          <w:b/>
          <w:color w:val="000000"/>
          <w:sz w:val="18"/>
        </w:rPr>
      </w:pPr>
      <w:r w:rsidRPr="00BB3B7F">
        <w:rPr>
          <w:b/>
          <w:color w:val="000000"/>
          <w:sz w:val="18"/>
        </w:rPr>
        <w:t>Study Medication</w:t>
      </w:r>
    </w:p>
    <w:p w14:paraId="14118C1D" w14:textId="77777777" w:rsidR="003746B5" w:rsidRPr="00BB3B7F" w:rsidRDefault="003746B5" w:rsidP="003D685A">
      <w:pPr>
        <w:pStyle w:val="synopsis"/>
        <w:tabs>
          <w:tab w:val="left" w:pos="2600"/>
          <w:tab w:val="left" w:pos="2716"/>
        </w:tabs>
        <w:ind w:left="2716" w:rightChars="-85" w:right="-187" w:hanging="2659"/>
        <w:jc w:val="both"/>
        <w:rPr>
          <w:bCs/>
          <w:color w:val="000000"/>
          <w:sz w:val="18"/>
        </w:rPr>
      </w:pPr>
      <w:r w:rsidRPr="00BB3B7F">
        <w:rPr>
          <w:bCs/>
          <w:color w:val="000000"/>
          <w:sz w:val="18"/>
        </w:rPr>
        <w:t>Active medication:</w:t>
      </w:r>
      <w:r w:rsidRPr="00BB3B7F">
        <w:rPr>
          <w:bCs/>
          <w:color w:val="000000"/>
          <w:sz w:val="18"/>
        </w:rPr>
        <w:tab/>
      </w:r>
      <w:r w:rsidRPr="00BB3B7F">
        <w:rPr>
          <w:bCs/>
          <w:color w:val="000000"/>
          <w:sz w:val="18"/>
        </w:rPr>
        <w:tab/>
      </w:r>
      <w:r w:rsidRPr="00BB3B7F">
        <w:rPr>
          <w:color w:val="000000"/>
          <w:sz w:val="18"/>
        </w:rPr>
        <w:tab/>
      </w:r>
      <w:r w:rsidRPr="00BB3B7F">
        <w:rPr>
          <w:color w:val="000000"/>
          <w:sz w:val="18"/>
        </w:rPr>
        <w:tab/>
      </w:r>
    </w:p>
    <w:p w14:paraId="0038E7F1" w14:textId="77777777" w:rsidR="003746B5" w:rsidRPr="00BB3B7F" w:rsidRDefault="003746B5" w:rsidP="003D685A">
      <w:pPr>
        <w:pStyle w:val="synopsis"/>
        <w:tabs>
          <w:tab w:val="left" w:pos="2700"/>
          <w:tab w:val="left" w:pos="2800"/>
        </w:tabs>
        <w:ind w:left="2800" w:rightChars="-85" w:right="-187" w:hanging="2743"/>
        <w:jc w:val="both"/>
        <w:rPr>
          <w:sz w:val="18"/>
        </w:rPr>
      </w:pPr>
      <w:r w:rsidRPr="00BB3B7F">
        <w:rPr>
          <w:color w:val="000000"/>
          <w:sz w:val="18"/>
        </w:rPr>
        <w:t>Active substance</w:t>
      </w:r>
      <w:r w:rsidRPr="00BB3B7F">
        <w:rPr>
          <w:color w:val="000000"/>
          <w:sz w:val="18"/>
        </w:rPr>
        <w:tab/>
        <w:t>:</w:t>
      </w:r>
      <w:r w:rsidRPr="00BB3B7F">
        <w:rPr>
          <w:color w:val="000000"/>
          <w:sz w:val="18"/>
        </w:rPr>
        <w:tab/>
      </w:r>
      <w:r w:rsidRPr="00BB3B7F">
        <w:rPr>
          <w:sz w:val="18"/>
          <w:szCs w:val="18"/>
        </w:rPr>
        <w:t>HM11260C</w:t>
      </w:r>
    </w:p>
    <w:p w14:paraId="2226ACE5" w14:textId="77777777" w:rsidR="003746B5" w:rsidRPr="00BB3B7F" w:rsidRDefault="003746B5" w:rsidP="003D685A">
      <w:pPr>
        <w:pStyle w:val="synopsis"/>
        <w:tabs>
          <w:tab w:val="left" w:pos="2700"/>
          <w:tab w:val="left" w:pos="2800"/>
        </w:tabs>
        <w:ind w:left="2800" w:rightChars="-85" w:right="-187" w:hanging="2743"/>
        <w:jc w:val="both"/>
        <w:rPr>
          <w:sz w:val="18"/>
        </w:rPr>
      </w:pPr>
      <w:r w:rsidRPr="00BB3B7F">
        <w:rPr>
          <w:sz w:val="18"/>
        </w:rPr>
        <w:t>Activity</w:t>
      </w:r>
      <w:r w:rsidRPr="00BB3B7F">
        <w:rPr>
          <w:sz w:val="18"/>
        </w:rPr>
        <w:tab/>
        <w:t>:</w:t>
      </w:r>
      <w:r w:rsidRPr="00BB3B7F">
        <w:rPr>
          <w:sz w:val="18"/>
        </w:rPr>
        <w:tab/>
        <w:t>GLP-1R agonist (lowering of blood glucose level)</w:t>
      </w:r>
    </w:p>
    <w:p w14:paraId="40C38457" w14:textId="77777777" w:rsidR="003746B5" w:rsidRPr="00BB3B7F" w:rsidRDefault="003746B5" w:rsidP="003D685A">
      <w:pPr>
        <w:pStyle w:val="synopsis"/>
        <w:tabs>
          <w:tab w:val="left" w:pos="2700"/>
          <w:tab w:val="left" w:pos="2800"/>
        </w:tabs>
        <w:ind w:left="2800" w:rightChars="-85" w:right="-187" w:hanging="2743"/>
        <w:jc w:val="both"/>
        <w:rPr>
          <w:sz w:val="18"/>
        </w:rPr>
      </w:pPr>
      <w:r w:rsidRPr="00BB3B7F">
        <w:rPr>
          <w:sz w:val="18"/>
        </w:rPr>
        <w:t>Indication</w:t>
      </w:r>
      <w:r w:rsidRPr="00BB3B7F">
        <w:rPr>
          <w:sz w:val="18"/>
        </w:rPr>
        <w:tab/>
        <w:t>:</w:t>
      </w:r>
      <w:r w:rsidRPr="00BB3B7F">
        <w:rPr>
          <w:sz w:val="18"/>
        </w:rPr>
        <w:tab/>
        <w:t>type 2 diabetes mellitus</w:t>
      </w:r>
    </w:p>
    <w:p w14:paraId="27B8D9D8" w14:textId="77777777" w:rsidR="003746B5" w:rsidRPr="00BB3B7F" w:rsidRDefault="003746B5" w:rsidP="003D685A">
      <w:pPr>
        <w:pStyle w:val="synopsis"/>
        <w:tabs>
          <w:tab w:val="left" w:pos="2700"/>
          <w:tab w:val="left" w:pos="2800"/>
        </w:tabs>
        <w:ind w:left="2800" w:rightChars="-85" w:right="-187" w:hanging="2743"/>
        <w:jc w:val="both"/>
        <w:rPr>
          <w:sz w:val="18"/>
        </w:rPr>
      </w:pPr>
      <w:r w:rsidRPr="00BB3B7F">
        <w:rPr>
          <w:sz w:val="18"/>
        </w:rPr>
        <w:t>Strength</w:t>
      </w:r>
      <w:r w:rsidRPr="00BB3B7F">
        <w:rPr>
          <w:sz w:val="18"/>
        </w:rPr>
        <w:tab/>
        <w:t>:</w:t>
      </w:r>
      <w:r w:rsidRPr="00BB3B7F">
        <w:rPr>
          <w:sz w:val="18"/>
        </w:rPr>
        <w:tab/>
        <w:t>bulk solution of 0.520 mg/mL (Groups 1-6) or 13 mg/mL (Groups 7-8)</w:t>
      </w:r>
    </w:p>
    <w:p w14:paraId="7989FDF2" w14:textId="77777777" w:rsidR="003746B5" w:rsidRPr="00BB3B7F" w:rsidRDefault="003746B5" w:rsidP="003D685A">
      <w:pPr>
        <w:pStyle w:val="synopsis"/>
        <w:tabs>
          <w:tab w:val="left" w:pos="2700"/>
          <w:tab w:val="left" w:pos="2800"/>
        </w:tabs>
        <w:ind w:left="2800" w:rightChars="-85" w:right="-187" w:hanging="2743"/>
        <w:jc w:val="both"/>
        <w:rPr>
          <w:sz w:val="18"/>
        </w:rPr>
      </w:pPr>
      <w:r w:rsidRPr="00BB3B7F">
        <w:rPr>
          <w:sz w:val="18"/>
        </w:rPr>
        <w:t>Dosage form</w:t>
      </w:r>
      <w:r w:rsidRPr="00BB3B7F">
        <w:rPr>
          <w:sz w:val="18"/>
        </w:rPr>
        <w:tab/>
        <w:t>:</w:t>
      </w:r>
      <w:r w:rsidRPr="00BB3B7F">
        <w:rPr>
          <w:sz w:val="18"/>
        </w:rPr>
        <w:tab/>
      </w:r>
      <w:r w:rsidRPr="00BB3B7F">
        <w:rPr>
          <w:bCs/>
          <w:sz w:val="18"/>
        </w:rPr>
        <w:t xml:space="preserve">sc injection (maximal dosing volume of </w:t>
      </w:r>
      <w:r w:rsidRPr="00BB3B7F">
        <w:rPr>
          <w:bCs/>
          <w:iCs/>
          <w:sz w:val="18"/>
        </w:rPr>
        <w:t>3</w:t>
      </w:r>
      <w:r w:rsidRPr="00BB3B7F">
        <w:rPr>
          <w:bCs/>
          <w:sz w:val="18"/>
        </w:rPr>
        <w:t xml:space="preserve"> mL per injection)</w:t>
      </w:r>
    </w:p>
    <w:p w14:paraId="3DE01BE2" w14:textId="77777777" w:rsidR="003746B5" w:rsidRPr="00BB3B7F" w:rsidRDefault="003746B5" w:rsidP="003D685A">
      <w:pPr>
        <w:pStyle w:val="synopsis"/>
        <w:tabs>
          <w:tab w:val="left" w:pos="2700"/>
          <w:tab w:val="left" w:pos="2800"/>
        </w:tabs>
        <w:ind w:left="2800" w:rightChars="-85" w:right="-187" w:hanging="2743"/>
        <w:jc w:val="both"/>
        <w:rPr>
          <w:bCs/>
          <w:sz w:val="18"/>
        </w:rPr>
      </w:pPr>
      <w:r w:rsidRPr="00BB3B7F">
        <w:rPr>
          <w:bCs/>
          <w:sz w:val="18"/>
        </w:rPr>
        <w:t>Manufacturer</w:t>
      </w:r>
      <w:r w:rsidRPr="00BB3B7F">
        <w:rPr>
          <w:bCs/>
          <w:sz w:val="18"/>
        </w:rPr>
        <w:tab/>
        <w:t>:</w:t>
      </w:r>
      <w:r w:rsidRPr="00BB3B7F">
        <w:rPr>
          <w:bCs/>
          <w:sz w:val="18"/>
        </w:rPr>
        <w:tab/>
        <w:t>Hanmi Pharmaceutical Company Ltd</w:t>
      </w:r>
    </w:p>
    <w:p w14:paraId="599A8764" w14:textId="77777777" w:rsidR="003746B5" w:rsidRPr="00BB3B7F" w:rsidRDefault="003746B5" w:rsidP="003D685A">
      <w:pPr>
        <w:pStyle w:val="synopsis"/>
        <w:tabs>
          <w:tab w:val="left" w:pos="2600"/>
          <w:tab w:val="left" w:pos="2716"/>
        </w:tabs>
        <w:ind w:left="2716" w:rightChars="-85" w:right="-187" w:hanging="2659"/>
        <w:jc w:val="both"/>
        <w:rPr>
          <w:bCs/>
          <w:color w:val="000000"/>
          <w:sz w:val="18"/>
        </w:rPr>
      </w:pPr>
    </w:p>
    <w:p w14:paraId="1848DC73" w14:textId="77777777" w:rsidR="003746B5" w:rsidRPr="00461297" w:rsidRDefault="003746B5" w:rsidP="00461297">
      <w:pPr>
        <w:ind w:left="0"/>
        <w:rPr>
          <w:b/>
          <w:sz w:val="28"/>
          <w:szCs w:val="28"/>
        </w:rPr>
      </w:pPr>
      <w:r w:rsidRPr="00BB3B7F">
        <w:rPr>
          <w:bCs/>
          <w:sz w:val="18"/>
        </w:rPr>
        <w:br w:type="page"/>
      </w:r>
      <w:r w:rsidRPr="00461297">
        <w:rPr>
          <w:b/>
          <w:sz w:val="28"/>
          <w:szCs w:val="28"/>
        </w:rPr>
        <w:lastRenderedPageBreak/>
        <w:t>SYNOPSIS (Cont.)</w:t>
      </w:r>
    </w:p>
    <w:p w14:paraId="66F0CA78" w14:textId="77777777" w:rsidR="002D431F" w:rsidRPr="00461297" w:rsidRDefault="002D431F" w:rsidP="00461297">
      <w:pPr>
        <w:ind w:left="0"/>
        <w:rPr>
          <w:b/>
          <w:bCs/>
          <w:sz w:val="18"/>
        </w:rPr>
      </w:pPr>
    </w:p>
    <w:p w14:paraId="3E3DE871" w14:textId="77777777" w:rsidR="003746B5" w:rsidRPr="00BB3B7F" w:rsidRDefault="003746B5" w:rsidP="003D685A">
      <w:pPr>
        <w:pStyle w:val="synopsis"/>
        <w:tabs>
          <w:tab w:val="left" w:pos="2700"/>
          <w:tab w:val="left" w:pos="2800"/>
        </w:tabs>
        <w:ind w:left="2800" w:rightChars="-85" w:right="-187" w:hanging="2743"/>
        <w:jc w:val="both"/>
        <w:rPr>
          <w:sz w:val="18"/>
        </w:rPr>
      </w:pPr>
      <w:r w:rsidRPr="00BB3B7F">
        <w:rPr>
          <w:bCs/>
          <w:color w:val="000000"/>
          <w:sz w:val="18"/>
        </w:rPr>
        <w:t>Placebo</w:t>
      </w:r>
      <w:r w:rsidRPr="00BB3B7F">
        <w:rPr>
          <w:bCs/>
          <w:color w:val="000000"/>
          <w:sz w:val="18"/>
        </w:rPr>
        <w:tab/>
        <w:t>:</w:t>
      </w:r>
      <w:r w:rsidRPr="00BB3B7F">
        <w:rPr>
          <w:bCs/>
          <w:color w:val="000000"/>
          <w:sz w:val="18"/>
        </w:rPr>
        <w:tab/>
      </w:r>
      <w:r w:rsidRPr="00BB3B7F">
        <w:rPr>
          <w:bCs/>
          <w:sz w:val="18"/>
        </w:rPr>
        <w:t>visually matching active medication</w:t>
      </w:r>
    </w:p>
    <w:p w14:paraId="680B0786" w14:textId="77777777" w:rsidR="003746B5" w:rsidRPr="00BB3B7F" w:rsidRDefault="003746B5" w:rsidP="003D685A">
      <w:pPr>
        <w:pStyle w:val="synopsis"/>
        <w:tabs>
          <w:tab w:val="left" w:pos="2700"/>
          <w:tab w:val="left" w:pos="2800"/>
        </w:tabs>
        <w:ind w:left="2800" w:rightChars="-85" w:right="-187" w:hanging="2743"/>
        <w:jc w:val="both"/>
        <w:rPr>
          <w:bCs/>
          <w:sz w:val="18"/>
        </w:rPr>
      </w:pPr>
      <w:r w:rsidRPr="00BB3B7F">
        <w:rPr>
          <w:bCs/>
          <w:sz w:val="18"/>
        </w:rPr>
        <w:t>Activity</w:t>
      </w:r>
      <w:r w:rsidRPr="00BB3B7F">
        <w:rPr>
          <w:bCs/>
          <w:sz w:val="18"/>
        </w:rPr>
        <w:tab/>
        <w:t>:</w:t>
      </w:r>
      <w:r w:rsidRPr="00BB3B7F">
        <w:rPr>
          <w:bCs/>
          <w:sz w:val="18"/>
        </w:rPr>
        <w:tab/>
        <w:t>none</w:t>
      </w:r>
    </w:p>
    <w:p w14:paraId="0A2C7CAB" w14:textId="77777777" w:rsidR="003746B5" w:rsidRPr="00BB3B7F" w:rsidRDefault="003746B5" w:rsidP="003D685A">
      <w:pPr>
        <w:pStyle w:val="synopsis"/>
        <w:tabs>
          <w:tab w:val="left" w:pos="2700"/>
          <w:tab w:val="left" w:pos="2800"/>
        </w:tabs>
        <w:ind w:left="2800" w:rightChars="-85" w:right="-187" w:hanging="2743"/>
        <w:jc w:val="both"/>
        <w:rPr>
          <w:bCs/>
          <w:sz w:val="18"/>
        </w:rPr>
      </w:pPr>
      <w:r w:rsidRPr="00BB3B7F">
        <w:rPr>
          <w:bCs/>
          <w:sz w:val="18"/>
        </w:rPr>
        <w:t>Indication</w:t>
      </w:r>
      <w:r w:rsidRPr="00BB3B7F">
        <w:rPr>
          <w:bCs/>
          <w:sz w:val="18"/>
        </w:rPr>
        <w:tab/>
        <w:t>:</w:t>
      </w:r>
      <w:r w:rsidRPr="00BB3B7F">
        <w:rPr>
          <w:bCs/>
          <w:sz w:val="18"/>
        </w:rPr>
        <w:tab/>
        <w:t>not applicable</w:t>
      </w:r>
    </w:p>
    <w:p w14:paraId="67B76F8E" w14:textId="77777777" w:rsidR="003746B5" w:rsidRPr="00BB3B7F" w:rsidRDefault="003746B5" w:rsidP="003D685A">
      <w:pPr>
        <w:pStyle w:val="synopsis"/>
        <w:tabs>
          <w:tab w:val="left" w:pos="2700"/>
          <w:tab w:val="left" w:pos="2800"/>
        </w:tabs>
        <w:ind w:left="2800" w:rightChars="-85" w:right="-187" w:hanging="2743"/>
        <w:jc w:val="both"/>
        <w:rPr>
          <w:bCs/>
          <w:sz w:val="18"/>
        </w:rPr>
      </w:pPr>
      <w:r w:rsidRPr="00BB3B7F">
        <w:rPr>
          <w:bCs/>
          <w:sz w:val="18"/>
        </w:rPr>
        <w:t>Strength</w:t>
      </w:r>
      <w:r w:rsidRPr="00BB3B7F">
        <w:rPr>
          <w:bCs/>
          <w:sz w:val="18"/>
        </w:rPr>
        <w:tab/>
        <w:t>: not applicable</w:t>
      </w:r>
    </w:p>
    <w:p w14:paraId="033F86B6" w14:textId="77777777" w:rsidR="003746B5" w:rsidRPr="00BB3B7F" w:rsidRDefault="003746B5" w:rsidP="003D685A">
      <w:pPr>
        <w:pStyle w:val="synopsis"/>
        <w:tabs>
          <w:tab w:val="left" w:pos="2700"/>
          <w:tab w:val="left" w:pos="2800"/>
        </w:tabs>
        <w:ind w:left="2800" w:rightChars="-85" w:right="-187" w:hanging="2743"/>
        <w:jc w:val="both"/>
        <w:rPr>
          <w:bCs/>
          <w:sz w:val="18"/>
        </w:rPr>
      </w:pPr>
      <w:r w:rsidRPr="00BB3B7F">
        <w:rPr>
          <w:bCs/>
          <w:sz w:val="18"/>
        </w:rPr>
        <w:t>Dosage form</w:t>
      </w:r>
      <w:r w:rsidRPr="00BB3B7F">
        <w:rPr>
          <w:bCs/>
          <w:sz w:val="18"/>
        </w:rPr>
        <w:tab/>
        <w:t>:</w:t>
      </w:r>
      <w:r w:rsidRPr="00BB3B7F">
        <w:rPr>
          <w:bCs/>
          <w:sz w:val="18"/>
        </w:rPr>
        <w:tab/>
        <w:t xml:space="preserve">sc injection (maximal dosing volume of </w:t>
      </w:r>
      <w:r w:rsidRPr="00BB3B7F">
        <w:rPr>
          <w:bCs/>
          <w:iCs/>
          <w:sz w:val="18"/>
        </w:rPr>
        <w:t>3</w:t>
      </w:r>
      <w:r w:rsidRPr="00BB3B7F">
        <w:rPr>
          <w:bCs/>
          <w:sz w:val="18"/>
        </w:rPr>
        <w:t xml:space="preserve"> mL per injection)</w:t>
      </w:r>
    </w:p>
    <w:p w14:paraId="371FABB7" w14:textId="77777777" w:rsidR="003746B5" w:rsidRPr="00BB3B7F" w:rsidRDefault="003746B5" w:rsidP="003D685A">
      <w:pPr>
        <w:pStyle w:val="synopsis"/>
        <w:tabs>
          <w:tab w:val="left" w:pos="2700"/>
          <w:tab w:val="left" w:pos="2800"/>
        </w:tabs>
        <w:ind w:left="2800" w:rightChars="-85" w:right="-187" w:hanging="2743"/>
        <w:jc w:val="both"/>
        <w:rPr>
          <w:bCs/>
          <w:sz w:val="18"/>
        </w:rPr>
      </w:pPr>
      <w:r w:rsidRPr="00BB3B7F">
        <w:rPr>
          <w:bCs/>
          <w:sz w:val="18"/>
        </w:rPr>
        <w:t>Manufacturer</w:t>
      </w:r>
      <w:r w:rsidRPr="00BB3B7F">
        <w:rPr>
          <w:bCs/>
          <w:sz w:val="18"/>
        </w:rPr>
        <w:tab/>
        <w:t>:</w:t>
      </w:r>
      <w:r w:rsidRPr="00BB3B7F">
        <w:rPr>
          <w:bCs/>
          <w:sz w:val="18"/>
        </w:rPr>
        <w:tab/>
        <w:t>Hanmi Pharmaceutical Company Ltd</w:t>
      </w:r>
    </w:p>
    <w:p w14:paraId="550B5CC7" w14:textId="77777777" w:rsidR="003746B5" w:rsidRPr="00BB3B7F" w:rsidRDefault="003746B5" w:rsidP="003D685A">
      <w:pPr>
        <w:pStyle w:val="synopsis"/>
        <w:ind w:left="57" w:rightChars="-85" w:right="-187"/>
        <w:rPr>
          <w:b/>
          <w:color w:val="000000"/>
          <w:sz w:val="18"/>
        </w:rPr>
      </w:pPr>
    </w:p>
    <w:p w14:paraId="2FF33235" w14:textId="77777777" w:rsidR="003746B5" w:rsidRPr="00BB3B7F" w:rsidRDefault="003746B5" w:rsidP="003D685A">
      <w:pPr>
        <w:pStyle w:val="synopsis"/>
        <w:ind w:left="57" w:rightChars="-85" w:right="-187"/>
        <w:rPr>
          <w:i/>
          <w:iCs/>
          <w:color w:val="000000"/>
          <w:sz w:val="18"/>
        </w:rPr>
      </w:pPr>
      <w:r w:rsidRPr="00BB3B7F">
        <w:rPr>
          <w:b/>
          <w:color w:val="000000"/>
          <w:sz w:val="18"/>
        </w:rPr>
        <w:t>Criteria for evaluation</w:t>
      </w:r>
      <w:r w:rsidRPr="00BB3B7F">
        <w:rPr>
          <w:color w:val="FF0000"/>
          <w:sz w:val="18"/>
        </w:rPr>
        <w:t xml:space="preserve"> </w:t>
      </w:r>
    </w:p>
    <w:p w14:paraId="1FD9F505"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rFonts w:cs="Arial"/>
          <w:iCs/>
          <w:sz w:val="18"/>
        </w:rPr>
        <w:t>S</w:t>
      </w:r>
      <w:r w:rsidRPr="00BB3B7F">
        <w:rPr>
          <w:rFonts w:cs="Arial"/>
          <w:sz w:val="18"/>
        </w:rPr>
        <w:t>afety</w:t>
      </w:r>
      <w:r w:rsidRPr="00BB3B7F">
        <w:rPr>
          <w:rFonts w:cs="Arial"/>
          <w:sz w:val="18"/>
        </w:rPr>
        <w:tab/>
        <w:t>:</w:t>
      </w:r>
      <w:r w:rsidRPr="00BB3B7F">
        <w:rPr>
          <w:rFonts w:cs="Arial"/>
          <w:sz w:val="18"/>
        </w:rPr>
        <w:tab/>
      </w:r>
      <w:r w:rsidRPr="00BB3B7F">
        <w:rPr>
          <w:iCs/>
          <w:sz w:val="18"/>
        </w:rPr>
        <w:t>AEs, vital signs, 12-lead ECG, clinical laboratory, immunogenicity and physical examination</w:t>
      </w:r>
    </w:p>
    <w:p w14:paraId="07998B86" w14:textId="77777777" w:rsidR="003746B5" w:rsidRPr="00BB3B7F" w:rsidRDefault="003746B5" w:rsidP="003D685A">
      <w:pPr>
        <w:pStyle w:val="synopsis"/>
        <w:tabs>
          <w:tab w:val="left" w:pos="2700"/>
          <w:tab w:val="left" w:pos="2800"/>
        </w:tabs>
        <w:ind w:left="2800" w:rightChars="-85" w:right="-187" w:hanging="2743"/>
        <w:jc w:val="both"/>
        <w:rPr>
          <w:iCs/>
          <w:sz w:val="18"/>
        </w:rPr>
      </w:pPr>
      <w:r w:rsidRPr="00BB3B7F">
        <w:rPr>
          <w:sz w:val="18"/>
        </w:rPr>
        <w:t>Pharmacokinetics</w:t>
      </w:r>
      <w:r w:rsidRPr="00BB3B7F">
        <w:rPr>
          <w:sz w:val="18"/>
        </w:rPr>
        <w:tab/>
        <w:t>:</w:t>
      </w:r>
      <w:r w:rsidRPr="00BB3B7F">
        <w:rPr>
          <w:sz w:val="18"/>
        </w:rPr>
        <w:tab/>
        <w:t>serum</w:t>
      </w:r>
      <w:r w:rsidRPr="00BB3B7F">
        <w:rPr>
          <w:iCs/>
          <w:sz w:val="18"/>
        </w:rPr>
        <w:t xml:space="preserve"> concentrations of HM11260C and derived PK parameters </w:t>
      </w:r>
    </w:p>
    <w:p w14:paraId="288A4AD4" w14:textId="77777777" w:rsidR="003746B5" w:rsidRPr="00BB3B7F" w:rsidRDefault="003746B5" w:rsidP="003D685A">
      <w:pPr>
        <w:pStyle w:val="synopsis"/>
        <w:tabs>
          <w:tab w:val="left" w:pos="2700"/>
          <w:tab w:val="left" w:pos="2800"/>
        </w:tabs>
        <w:ind w:left="2800" w:rightChars="-85" w:right="-187" w:hanging="2743"/>
        <w:jc w:val="both"/>
        <w:rPr>
          <w:i/>
          <w:iCs/>
          <w:sz w:val="18"/>
        </w:rPr>
      </w:pPr>
      <w:r w:rsidRPr="00BB3B7F">
        <w:rPr>
          <w:sz w:val="18"/>
        </w:rPr>
        <w:t>Pharmacodynamics</w:t>
      </w:r>
      <w:r w:rsidRPr="00BB3B7F">
        <w:rPr>
          <w:sz w:val="18"/>
        </w:rPr>
        <w:tab/>
        <w:t>:</w:t>
      </w:r>
      <w:r w:rsidRPr="00BB3B7F">
        <w:rPr>
          <w:sz w:val="18"/>
        </w:rPr>
        <w:tab/>
      </w:r>
      <w:r w:rsidRPr="00BB3B7F">
        <w:rPr>
          <w:sz w:val="18"/>
          <w:lang w:val="en-US"/>
        </w:rPr>
        <w:t xml:space="preserve">glucose, insulin, C-peptide and glucagon concentrations, fructosamine and lipids (total cholesterol, HDL, LDL, VLDL, free fatty acids, triglycerides) concentrations, </w:t>
      </w:r>
      <w:r w:rsidRPr="00BB3B7F">
        <w:rPr>
          <w:sz w:val="18"/>
        </w:rPr>
        <w:t xml:space="preserve"> </w:t>
      </w:r>
      <w:r w:rsidRPr="00BB3B7F">
        <w:rPr>
          <w:sz w:val="18"/>
          <w:lang w:val="en-US"/>
        </w:rPr>
        <w:t xml:space="preserve">VAS for hunger, craving and fullness, </w:t>
      </w:r>
      <w:r w:rsidRPr="00BB3B7F">
        <w:rPr>
          <w:sz w:val="18"/>
          <w:vertAlign w:val="superscript"/>
        </w:rPr>
        <w:t>13</w:t>
      </w:r>
      <w:r w:rsidRPr="00BB3B7F">
        <w:rPr>
          <w:sz w:val="18"/>
        </w:rPr>
        <w:t>C-breath tests as a measure of gastric emptying, body weight and waist circumference</w:t>
      </w:r>
    </w:p>
    <w:p w14:paraId="5C6574DD" w14:textId="77777777" w:rsidR="003746B5" w:rsidRPr="00BB3B7F" w:rsidRDefault="003746B5" w:rsidP="003D685A">
      <w:pPr>
        <w:pStyle w:val="synopsis"/>
        <w:ind w:left="57" w:rightChars="-85" w:right="-187"/>
        <w:rPr>
          <w:b/>
          <w:color w:val="000000"/>
          <w:sz w:val="18"/>
        </w:rPr>
      </w:pPr>
    </w:p>
    <w:p w14:paraId="3B4137EC" w14:textId="77777777" w:rsidR="003746B5" w:rsidRPr="00BB3B7F" w:rsidRDefault="003746B5" w:rsidP="003D685A">
      <w:pPr>
        <w:pStyle w:val="synopsis"/>
        <w:ind w:left="57" w:rightChars="-85" w:right="-187"/>
        <w:rPr>
          <w:b/>
          <w:sz w:val="18"/>
        </w:rPr>
      </w:pPr>
      <w:r w:rsidRPr="00BB3B7F">
        <w:rPr>
          <w:b/>
          <w:sz w:val="18"/>
        </w:rPr>
        <w:t>Statistical methods</w:t>
      </w:r>
    </w:p>
    <w:p w14:paraId="500B3951" w14:textId="77777777" w:rsidR="003746B5" w:rsidRPr="00BB3B7F" w:rsidRDefault="003746B5" w:rsidP="003D685A">
      <w:pPr>
        <w:pStyle w:val="synopsis"/>
        <w:tabs>
          <w:tab w:val="left" w:pos="2700"/>
          <w:tab w:val="left" w:pos="2800"/>
        </w:tabs>
        <w:ind w:left="2800" w:rightChars="-85" w:right="-187" w:hanging="2743"/>
        <w:jc w:val="both"/>
        <w:rPr>
          <w:sz w:val="18"/>
        </w:rPr>
      </w:pPr>
      <w:r w:rsidRPr="00BB3B7F">
        <w:rPr>
          <w:sz w:val="18"/>
        </w:rPr>
        <w:t>Safety parameters</w:t>
      </w:r>
      <w:r w:rsidRPr="00BB3B7F">
        <w:rPr>
          <w:sz w:val="18"/>
        </w:rPr>
        <w:tab/>
        <w:t xml:space="preserve">: </w:t>
      </w:r>
      <w:r w:rsidRPr="00BB3B7F">
        <w:rPr>
          <w:iCs/>
          <w:sz w:val="18"/>
        </w:rPr>
        <w:t>descriptive statistics</w:t>
      </w:r>
    </w:p>
    <w:p w14:paraId="59A2B76F" w14:textId="77777777" w:rsidR="003746B5" w:rsidRPr="00BB3B7F" w:rsidRDefault="003746B5" w:rsidP="003D685A">
      <w:pPr>
        <w:pStyle w:val="synopsis"/>
        <w:tabs>
          <w:tab w:val="left" w:pos="2700"/>
          <w:tab w:val="left" w:pos="2800"/>
        </w:tabs>
        <w:ind w:left="2800" w:rightChars="-85" w:right="-187" w:hanging="2743"/>
        <w:jc w:val="both"/>
        <w:rPr>
          <w:i/>
          <w:iCs/>
          <w:sz w:val="18"/>
        </w:rPr>
      </w:pPr>
      <w:r w:rsidRPr="00BB3B7F">
        <w:rPr>
          <w:sz w:val="18"/>
        </w:rPr>
        <w:t>Pharmacokinetic parameters</w:t>
      </w:r>
      <w:r w:rsidRPr="00BB3B7F">
        <w:rPr>
          <w:sz w:val="18"/>
        </w:rPr>
        <w:tab/>
      </w:r>
      <w:r w:rsidRPr="00BB3B7F">
        <w:rPr>
          <w:iCs/>
          <w:sz w:val="18"/>
        </w:rPr>
        <w:t>: descriptive statistics, statistical analysis for dose proportionality</w:t>
      </w:r>
    </w:p>
    <w:p w14:paraId="52640373" w14:textId="77777777" w:rsidR="003746B5" w:rsidRPr="00BB3B7F" w:rsidRDefault="003746B5" w:rsidP="003D685A">
      <w:pPr>
        <w:pStyle w:val="synopsis"/>
        <w:tabs>
          <w:tab w:val="left" w:pos="2700"/>
          <w:tab w:val="left" w:pos="2800"/>
        </w:tabs>
        <w:ind w:left="2800" w:rightChars="-85" w:right="-187" w:hanging="2743"/>
        <w:jc w:val="both"/>
        <w:rPr>
          <w:sz w:val="18"/>
        </w:rPr>
      </w:pPr>
      <w:r w:rsidRPr="00BB3B7F">
        <w:rPr>
          <w:sz w:val="18"/>
        </w:rPr>
        <w:t>Pharmacodynamic parameters</w:t>
      </w:r>
      <w:r w:rsidRPr="00BB3B7F">
        <w:rPr>
          <w:sz w:val="18"/>
        </w:rPr>
        <w:tab/>
        <w:t>:</w:t>
      </w:r>
      <w:r w:rsidRPr="00BB3B7F">
        <w:rPr>
          <w:sz w:val="18"/>
        </w:rPr>
        <w:tab/>
        <w:t>descriptive statistics, statistical comparison of active treatment versus placebo for the PD parameters (glucose, insulin and C-peptide)</w:t>
      </w:r>
    </w:p>
    <w:p w14:paraId="61E542B8" w14:textId="77777777" w:rsidR="003746B5" w:rsidRPr="00BB3B7F" w:rsidRDefault="003746B5" w:rsidP="003D685A">
      <w:pPr>
        <w:pStyle w:val="synopsis"/>
        <w:ind w:left="57" w:rightChars="-85" w:right="-187"/>
        <w:rPr>
          <w:b/>
          <w:sz w:val="18"/>
        </w:rPr>
      </w:pPr>
    </w:p>
    <w:p w14:paraId="333D74EC" w14:textId="77777777" w:rsidR="003746B5" w:rsidRPr="00BB3B7F" w:rsidRDefault="003746B5" w:rsidP="003D685A">
      <w:pPr>
        <w:pStyle w:val="synopsis"/>
        <w:ind w:left="57" w:rightChars="-85" w:right="-187"/>
        <w:jc w:val="both"/>
        <w:rPr>
          <w:i/>
          <w:iCs/>
          <w:sz w:val="18"/>
        </w:rPr>
      </w:pPr>
      <w:r w:rsidRPr="00BB3B7F">
        <w:rPr>
          <w:b/>
          <w:bCs/>
          <w:sz w:val="18"/>
        </w:rPr>
        <w:t>Results</w:t>
      </w:r>
      <w:r w:rsidRPr="00BB3B7F">
        <w:rPr>
          <w:i/>
          <w:iCs/>
          <w:sz w:val="18"/>
        </w:rPr>
        <w:t xml:space="preserve"> </w:t>
      </w:r>
    </w:p>
    <w:p w14:paraId="57BB40AC" w14:textId="77777777" w:rsidR="003746B5" w:rsidRPr="00BB3B7F" w:rsidRDefault="003746B5" w:rsidP="003D685A">
      <w:pPr>
        <w:pStyle w:val="synopsis"/>
        <w:ind w:left="57" w:rightChars="-85" w:right="-187"/>
        <w:rPr>
          <w:spacing w:val="-2"/>
          <w:sz w:val="18"/>
        </w:rPr>
      </w:pPr>
      <w:r w:rsidRPr="00BB3B7F">
        <w:rPr>
          <w:rFonts w:cs="Arial"/>
          <w:bCs/>
          <w:color w:val="000000"/>
          <w:spacing w:val="-2"/>
          <w:sz w:val="18"/>
          <w:u w:val="single"/>
        </w:rPr>
        <w:t>Safety</w:t>
      </w:r>
    </w:p>
    <w:p w14:paraId="45ACF681" w14:textId="77777777" w:rsidR="003746B5" w:rsidRPr="00BB3B7F" w:rsidRDefault="003746B5" w:rsidP="003D685A">
      <w:pPr>
        <w:pStyle w:val="synopsis"/>
        <w:ind w:left="57" w:rightChars="-85" w:right="-187"/>
        <w:jc w:val="both"/>
        <w:rPr>
          <w:iCs/>
          <w:color w:val="000000"/>
          <w:spacing w:val="-2"/>
          <w:sz w:val="18"/>
        </w:rPr>
      </w:pPr>
      <w:r w:rsidRPr="00BB3B7F">
        <w:rPr>
          <w:iCs/>
          <w:color w:val="000000"/>
          <w:spacing w:val="-2"/>
          <w:sz w:val="18"/>
        </w:rPr>
        <w:t>A total of 181 treatment</w:t>
      </w:r>
      <w:r w:rsidRPr="00BB3B7F">
        <w:rPr>
          <w:iCs/>
          <w:color w:val="000000"/>
          <w:spacing w:val="-2"/>
          <w:sz w:val="18"/>
        </w:rPr>
        <w:noBreakHyphen/>
        <w:t xml:space="preserve">emergent AEs (TEAEs) were reported by 40 patients (83%). There were no deaths or serious AEs (SAEs) reported </w:t>
      </w:r>
      <w:r w:rsidRPr="00BB3B7F">
        <w:rPr>
          <w:iCs/>
          <w:color w:val="000000"/>
          <w:spacing w:val="-2"/>
          <w:sz w:val="18"/>
        </w:rPr>
        <w:lastRenderedPageBreak/>
        <w:t>during the study and none of the reported TEAEs resulted in discontinuation of patients.  Most of the TEAEs were transient and resolved without sequelae. Three TEAEs were unresolved at the time of last follow-up (musculoskeletal stiffness for Patient 014 [Group 3], vitreous floaters for Patient 045 [Group 8] and catheter site pain for Patient 048 [Group 8]).</w:t>
      </w:r>
    </w:p>
    <w:p w14:paraId="17797B8C" w14:textId="77777777" w:rsidR="003746B5" w:rsidRPr="00BB3B7F" w:rsidRDefault="003746B5" w:rsidP="003D685A">
      <w:pPr>
        <w:pStyle w:val="synopsis"/>
        <w:ind w:left="57" w:rightChars="-85" w:right="-187"/>
        <w:jc w:val="both"/>
        <w:rPr>
          <w:iCs/>
          <w:color w:val="000000"/>
          <w:spacing w:val="-2"/>
          <w:sz w:val="18"/>
        </w:rPr>
      </w:pPr>
    </w:p>
    <w:p w14:paraId="2A8564AE" w14:textId="77777777" w:rsidR="003746B5" w:rsidRPr="00BB3B7F" w:rsidRDefault="003746B5" w:rsidP="003D685A">
      <w:pPr>
        <w:pStyle w:val="synopsis"/>
        <w:ind w:left="57" w:rightChars="-85" w:right="-187"/>
        <w:jc w:val="both"/>
        <w:rPr>
          <w:iCs/>
          <w:color w:val="000000"/>
          <w:spacing w:val="-2"/>
          <w:sz w:val="18"/>
        </w:rPr>
      </w:pPr>
      <w:r w:rsidRPr="00BB3B7F">
        <w:rPr>
          <w:iCs/>
          <w:color w:val="000000"/>
          <w:spacing w:val="-2"/>
          <w:sz w:val="18"/>
        </w:rPr>
        <w:t>Overall, the most frequently reported TEAEs were gastrointestinal disorders (73 events reported by 27 patients [56%]) with mainly diarrhoea (17 events reported by 14 patients [29%]) and flatulence (11 events reported by 10 patients [21%]) reported within this category, and general disorders and administration site conditions (29 events by 19 patients [40%]) with mainly injection site pain (5 events reported by 5 patients [10%]) and catheter site pain (5 events reported by 4 patients [8%]) reported within this category.</w:t>
      </w:r>
    </w:p>
    <w:p w14:paraId="5A74313D" w14:textId="77777777" w:rsidR="003746B5" w:rsidRPr="00BB3B7F" w:rsidRDefault="003746B5" w:rsidP="003D685A">
      <w:pPr>
        <w:pStyle w:val="synopsis"/>
        <w:ind w:left="57" w:rightChars="-85" w:right="-187"/>
        <w:jc w:val="both"/>
        <w:rPr>
          <w:iCs/>
          <w:color w:val="000000"/>
          <w:spacing w:val="-2"/>
          <w:sz w:val="18"/>
        </w:rPr>
      </w:pPr>
    </w:p>
    <w:p w14:paraId="3691DCAF" w14:textId="77777777" w:rsidR="003746B5" w:rsidRPr="00BB3B7F" w:rsidRDefault="003746B5" w:rsidP="003D685A">
      <w:pPr>
        <w:pStyle w:val="synopsis"/>
        <w:ind w:left="57" w:rightChars="-85" w:right="-187"/>
        <w:jc w:val="both"/>
        <w:rPr>
          <w:iCs/>
          <w:color w:val="000000"/>
          <w:spacing w:val="-2"/>
          <w:sz w:val="18"/>
        </w:rPr>
      </w:pPr>
      <w:r w:rsidRPr="00BB3B7F">
        <w:rPr>
          <w:iCs/>
          <w:color w:val="000000"/>
          <w:spacing w:val="-2"/>
          <w:sz w:val="18"/>
        </w:rPr>
        <w:t xml:space="preserve">Seventy-eight TEAEs reported by 24 patients (50%) were considered to be related to the study medication. </w:t>
      </w:r>
      <w:r w:rsidRPr="00BB3B7F">
        <w:rPr>
          <w:bCs/>
          <w:iCs/>
          <w:color w:val="000000"/>
          <w:spacing w:val="-2"/>
          <w:sz w:val="18"/>
        </w:rPr>
        <w:t>The remainder of the TEAEs, 103 TEAEs, were considered not to be related to the study medication.</w:t>
      </w:r>
    </w:p>
    <w:p w14:paraId="14CBF227" w14:textId="77777777" w:rsidR="003746B5" w:rsidRPr="00BB3B7F" w:rsidRDefault="003746B5" w:rsidP="003D685A">
      <w:pPr>
        <w:pStyle w:val="synopsis"/>
        <w:ind w:left="57" w:rightChars="-85" w:right="-187"/>
        <w:jc w:val="both"/>
        <w:rPr>
          <w:iCs/>
          <w:color w:val="000000"/>
          <w:spacing w:val="-2"/>
          <w:sz w:val="18"/>
        </w:rPr>
      </w:pPr>
    </w:p>
    <w:p w14:paraId="6F158E11" w14:textId="77777777" w:rsidR="003746B5" w:rsidRPr="00BB3B7F" w:rsidRDefault="003746B5" w:rsidP="003D685A">
      <w:pPr>
        <w:pStyle w:val="synopsis"/>
        <w:ind w:left="57" w:rightChars="-85" w:right="-187"/>
        <w:jc w:val="both"/>
        <w:rPr>
          <w:color w:val="000000"/>
          <w:spacing w:val="-2"/>
          <w:sz w:val="18"/>
        </w:rPr>
      </w:pPr>
      <w:r w:rsidRPr="00BB3B7F">
        <w:rPr>
          <w:color w:val="000000"/>
          <w:spacing w:val="-2"/>
          <w:sz w:val="18"/>
        </w:rPr>
        <w:t xml:space="preserve">Overall, the most frequently reported drug-related TEAEs were diarrhoea (12 events), headache (10 events), flatulence (7 events), nausea (7 events), eructation (6 events), abdominal distension (6 events), abdominal pain (5 events) and injection site pain (5 events). All remaining drug-related TEAEs were reported only once, twice or 3 times. </w:t>
      </w:r>
    </w:p>
    <w:p w14:paraId="28F82274" w14:textId="77777777" w:rsidR="003746B5" w:rsidRDefault="003746B5" w:rsidP="00461297">
      <w:pPr>
        <w:ind w:left="0"/>
        <w:rPr>
          <w:b/>
          <w:sz w:val="28"/>
          <w:szCs w:val="28"/>
        </w:rPr>
      </w:pPr>
      <w:r w:rsidRPr="00BB3B7F">
        <w:br w:type="page"/>
      </w:r>
      <w:r w:rsidRPr="00461297">
        <w:rPr>
          <w:b/>
          <w:sz w:val="28"/>
          <w:szCs w:val="28"/>
        </w:rPr>
        <w:lastRenderedPageBreak/>
        <w:t>SYNOPSIS (Cont.)</w:t>
      </w:r>
    </w:p>
    <w:p w14:paraId="33B00025" w14:textId="77777777" w:rsidR="0029404E" w:rsidRPr="00461297" w:rsidRDefault="0029404E" w:rsidP="00461297">
      <w:pPr>
        <w:ind w:left="0"/>
        <w:rPr>
          <w:b/>
          <w:sz w:val="28"/>
          <w:szCs w:val="28"/>
        </w:rPr>
      </w:pPr>
    </w:p>
    <w:p w14:paraId="524E94C8" w14:textId="77777777" w:rsidR="003746B5" w:rsidRPr="00BB3B7F" w:rsidRDefault="003746B5" w:rsidP="003D685A">
      <w:pPr>
        <w:pStyle w:val="synopsis"/>
        <w:ind w:left="57" w:rightChars="-85" w:right="-187"/>
        <w:jc w:val="both"/>
        <w:rPr>
          <w:bCs/>
          <w:iCs/>
          <w:color w:val="000000"/>
          <w:spacing w:val="-2"/>
          <w:sz w:val="18"/>
        </w:rPr>
      </w:pPr>
      <w:r w:rsidRPr="00BB3B7F">
        <w:rPr>
          <w:iCs/>
          <w:color w:val="000000"/>
          <w:spacing w:val="-2"/>
          <w:sz w:val="18"/>
        </w:rPr>
        <w:t>Most TEAEs were of mild severity. A total of 22 TEAEs of moderate severity were reported.</w:t>
      </w:r>
      <w:r w:rsidRPr="00BB3B7F">
        <w:rPr>
          <w:bCs/>
          <w:iCs/>
          <w:color w:val="000000"/>
          <w:spacing w:val="-2"/>
          <w:sz w:val="18"/>
        </w:rPr>
        <w:t xml:space="preserve"> No severe TEAEs were reported. The moderate TEAEs that were considered to be related to the study medication (8 events reported by 5 patients [10%]) were reported by patients who received the higher dose levels from 20 up to 100 µg/kg HM11260C.</w:t>
      </w:r>
    </w:p>
    <w:p w14:paraId="2BAE91ED" w14:textId="77777777" w:rsidR="003746B5" w:rsidRPr="00BB3B7F" w:rsidRDefault="003746B5" w:rsidP="003D685A">
      <w:pPr>
        <w:pStyle w:val="synopsis"/>
        <w:ind w:left="57" w:rightChars="-85" w:right="-187"/>
        <w:jc w:val="both"/>
        <w:rPr>
          <w:color w:val="000000"/>
          <w:spacing w:val="-2"/>
          <w:sz w:val="18"/>
        </w:rPr>
      </w:pPr>
      <w:r w:rsidRPr="00BB3B7F">
        <w:rPr>
          <w:bCs/>
          <w:color w:val="000000"/>
          <w:spacing w:val="-2"/>
          <w:sz w:val="18"/>
        </w:rPr>
        <w:t>The number of reported (drug-related) TEAEs was higher for the subjects receiving the highest dose levels of 60 and 100 µg/kg HM11260C compared to the lower dose levels of HM11260C (from 2 up to 40 µg/kg) and placebo.</w:t>
      </w:r>
    </w:p>
    <w:p w14:paraId="6320FFB2" w14:textId="77777777" w:rsidR="003746B5" w:rsidRPr="00BB3B7F" w:rsidRDefault="003746B5" w:rsidP="003D685A">
      <w:pPr>
        <w:pStyle w:val="synopsis"/>
        <w:ind w:left="57" w:rightChars="-85" w:right="-187"/>
        <w:jc w:val="both"/>
        <w:rPr>
          <w:iCs/>
          <w:sz w:val="18"/>
          <w:szCs w:val="18"/>
        </w:rPr>
      </w:pPr>
    </w:p>
    <w:p w14:paraId="03FE3E43" w14:textId="77777777" w:rsidR="003746B5" w:rsidRPr="00BB3B7F" w:rsidRDefault="003746B5" w:rsidP="003D685A">
      <w:pPr>
        <w:pStyle w:val="synopsis"/>
        <w:ind w:left="57" w:rightChars="-85" w:right="-187"/>
        <w:jc w:val="both"/>
        <w:rPr>
          <w:iCs/>
          <w:sz w:val="18"/>
          <w:szCs w:val="18"/>
        </w:rPr>
      </w:pPr>
      <w:r w:rsidRPr="00BB3B7F">
        <w:rPr>
          <w:iCs/>
          <w:sz w:val="18"/>
          <w:szCs w:val="18"/>
        </w:rPr>
        <w:t>There were no findings of clinical relevance with respect to vital signs, clinical laboratory (including amylase, lipase, liver enzymes and hematologic parameters) and physical examination. All serum samples of all groups were negative for anti-HM11260C antibodies. No signs of arrhythmia or electrocardiographic changes due to QTc prolongation or conduction disorders were seen.</w:t>
      </w:r>
    </w:p>
    <w:p w14:paraId="4BA747B6" w14:textId="77777777" w:rsidR="003746B5" w:rsidRPr="00BB3B7F" w:rsidRDefault="003746B5" w:rsidP="003D685A">
      <w:pPr>
        <w:pStyle w:val="synopsis"/>
        <w:ind w:left="57" w:rightChars="-85" w:right="-187"/>
        <w:jc w:val="both"/>
        <w:rPr>
          <w:iCs/>
          <w:sz w:val="18"/>
          <w:szCs w:val="18"/>
        </w:rPr>
      </w:pPr>
    </w:p>
    <w:p w14:paraId="6B76F3DF" w14:textId="77777777" w:rsidR="003746B5" w:rsidRPr="00BB3B7F" w:rsidRDefault="003746B5" w:rsidP="003D685A">
      <w:pPr>
        <w:pStyle w:val="synopsis"/>
        <w:ind w:left="57" w:rightChars="-85" w:right="-187"/>
        <w:rPr>
          <w:spacing w:val="-2"/>
          <w:sz w:val="18"/>
        </w:rPr>
      </w:pPr>
      <w:r w:rsidRPr="00BB3B7F">
        <w:rPr>
          <w:color w:val="000000"/>
          <w:spacing w:val="-2"/>
          <w:sz w:val="18"/>
          <w:u w:val="single"/>
        </w:rPr>
        <w:t>Pharmacokinetics</w:t>
      </w:r>
      <w:r w:rsidRPr="00BB3B7F">
        <w:rPr>
          <w:spacing w:val="-2"/>
          <w:sz w:val="18"/>
        </w:rPr>
        <w:t xml:space="preserve"> </w:t>
      </w:r>
    </w:p>
    <w:p w14:paraId="4D769B49" w14:textId="77777777" w:rsidR="003746B5" w:rsidRPr="00BB3B7F" w:rsidRDefault="003746B5" w:rsidP="003D685A">
      <w:pPr>
        <w:pStyle w:val="synopsis"/>
        <w:ind w:left="57" w:rightChars="-85" w:right="-187"/>
        <w:rPr>
          <w:i/>
          <w:sz w:val="18"/>
          <w:szCs w:val="18"/>
          <w:lang w:val="en-US"/>
        </w:rPr>
      </w:pPr>
    </w:p>
    <w:p w14:paraId="5A30214D" w14:textId="77777777" w:rsidR="003746B5" w:rsidRPr="00BB3B7F" w:rsidRDefault="003746B5" w:rsidP="003D685A">
      <w:pPr>
        <w:pStyle w:val="synopsis"/>
        <w:ind w:left="57" w:rightChars="-85" w:right="-187"/>
        <w:rPr>
          <w:i/>
          <w:spacing w:val="-2"/>
          <w:sz w:val="18"/>
          <w:szCs w:val="18"/>
        </w:rPr>
      </w:pPr>
      <w:r w:rsidRPr="00BB3B7F">
        <w:rPr>
          <w:i/>
          <w:sz w:val="18"/>
          <w:szCs w:val="18"/>
          <w:lang w:val="en-US"/>
        </w:rPr>
        <w:t>Summary Statistics of Pharmacokinetic Parameters for HM1120C in Serum (Geometric Mean (%CV)[Min-Max])</w:t>
      </w:r>
    </w:p>
    <w:tbl>
      <w:tblPr>
        <w:tblW w:w="9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0" w:type="dxa"/>
          <w:right w:w="60" w:type="dxa"/>
        </w:tblCellMar>
        <w:tblLook w:val="0000" w:firstRow="0" w:lastRow="0" w:firstColumn="0" w:lastColumn="0" w:noHBand="0" w:noVBand="0"/>
      </w:tblPr>
      <w:tblGrid>
        <w:gridCol w:w="897"/>
        <w:gridCol w:w="927"/>
        <w:gridCol w:w="1068"/>
        <w:gridCol w:w="1248"/>
        <w:gridCol w:w="1248"/>
        <w:gridCol w:w="876"/>
        <w:gridCol w:w="744"/>
        <w:gridCol w:w="984"/>
        <w:gridCol w:w="800"/>
        <w:gridCol w:w="800"/>
      </w:tblGrid>
      <w:tr w:rsidR="003746B5" w:rsidRPr="00BB3B7F" w14:paraId="7A1831D7" w14:textId="77777777" w:rsidTr="000359C7">
        <w:trPr>
          <w:cantSplit/>
          <w:trHeight w:val="561"/>
          <w:tblHeader/>
        </w:trPr>
        <w:tc>
          <w:tcPr>
            <w:tcW w:w="897" w:type="dxa"/>
            <w:tcBorders>
              <w:top w:val="single" w:sz="12" w:space="0" w:color="auto"/>
              <w:left w:val="nil"/>
              <w:bottom w:val="single" w:sz="6" w:space="0" w:color="auto"/>
              <w:right w:val="nil"/>
            </w:tcBorders>
            <w:shd w:val="clear" w:color="auto" w:fill="auto"/>
          </w:tcPr>
          <w:p w14:paraId="037A6264" w14:textId="77777777" w:rsidR="003746B5" w:rsidRPr="00BB3B7F" w:rsidRDefault="003746B5" w:rsidP="003D685A">
            <w:pPr>
              <w:pStyle w:val="TableText"/>
              <w:keepNext/>
              <w:keepLines/>
              <w:ind w:rightChars="-85" w:right="-187"/>
              <w:rPr>
                <w:b/>
                <w:bCs/>
                <w:color w:val="000000"/>
                <w:szCs w:val="16"/>
              </w:rPr>
            </w:pPr>
            <w:r w:rsidRPr="00BB3B7F">
              <w:rPr>
                <w:b/>
                <w:bCs/>
                <w:color w:val="000000"/>
                <w:szCs w:val="16"/>
              </w:rPr>
              <w:t>HM 11260C Treatment</w:t>
            </w:r>
            <w:r w:rsidRPr="00BB3B7F">
              <w:rPr>
                <w:b/>
                <w:bCs/>
                <w:color w:val="000000"/>
                <w:szCs w:val="16"/>
              </w:rPr>
              <w:br/>
            </w:r>
          </w:p>
        </w:tc>
        <w:tc>
          <w:tcPr>
            <w:tcW w:w="927" w:type="dxa"/>
            <w:tcBorders>
              <w:top w:val="single" w:sz="12" w:space="0" w:color="auto"/>
              <w:left w:val="nil"/>
              <w:bottom w:val="single" w:sz="6" w:space="0" w:color="auto"/>
              <w:right w:val="nil"/>
            </w:tcBorders>
            <w:shd w:val="clear" w:color="auto" w:fill="auto"/>
          </w:tcPr>
          <w:p w14:paraId="091D3A86" w14:textId="77777777" w:rsidR="003746B5" w:rsidRPr="00BB3B7F" w:rsidRDefault="003746B5" w:rsidP="003D685A">
            <w:pPr>
              <w:pStyle w:val="TableText"/>
              <w:keepNext/>
              <w:keepLines/>
              <w:ind w:rightChars="-85" w:right="-187"/>
              <w:jc w:val="center"/>
              <w:rPr>
                <w:b/>
                <w:bCs/>
                <w:color w:val="000000"/>
                <w:szCs w:val="16"/>
              </w:rPr>
            </w:pPr>
            <w:r w:rsidRPr="00BB3B7F">
              <w:rPr>
                <w:b/>
                <w:bCs/>
                <w:color w:val="000000"/>
                <w:szCs w:val="16"/>
              </w:rPr>
              <w:t>C</w:t>
            </w:r>
            <w:r w:rsidRPr="00BB3B7F">
              <w:rPr>
                <w:b/>
                <w:bCs/>
                <w:color w:val="000000"/>
                <w:szCs w:val="16"/>
                <w:vertAlign w:val="subscript"/>
              </w:rPr>
              <w:t>max</w:t>
            </w:r>
            <w:r w:rsidRPr="00BB3B7F">
              <w:rPr>
                <w:b/>
                <w:bCs/>
                <w:color w:val="000000"/>
                <w:szCs w:val="16"/>
              </w:rPr>
              <w:t xml:space="preserve"> </w:t>
            </w:r>
          </w:p>
          <w:p w14:paraId="415ACFE4" w14:textId="77777777" w:rsidR="003746B5" w:rsidRPr="00BB3B7F" w:rsidRDefault="003746B5" w:rsidP="003D685A">
            <w:pPr>
              <w:pStyle w:val="TableText"/>
              <w:keepNext/>
              <w:keepLines/>
              <w:ind w:rightChars="-85" w:right="-187"/>
              <w:jc w:val="center"/>
              <w:rPr>
                <w:b/>
                <w:bCs/>
                <w:color w:val="000000"/>
                <w:szCs w:val="16"/>
              </w:rPr>
            </w:pPr>
            <w:r w:rsidRPr="00BB3B7F">
              <w:rPr>
                <w:b/>
                <w:bCs/>
                <w:color w:val="000000"/>
                <w:szCs w:val="16"/>
              </w:rPr>
              <w:t>(ng/mL)</w:t>
            </w:r>
            <w:r w:rsidRPr="00BB3B7F">
              <w:rPr>
                <w:b/>
                <w:bCs/>
                <w:color w:val="000000"/>
                <w:szCs w:val="16"/>
              </w:rPr>
              <w:br/>
            </w:r>
          </w:p>
        </w:tc>
        <w:tc>
          <w:tcPr>
            <w:tcW w:w="1068" w:type="dxa"/>
            <w:tcBorders>
              <w:top w:val="single" w:sz="12" w:space="0" w:color="auto"/>
              <w:left w:val="nil"/>
              <w:bottom w:val="single" w:sz="6" w:space="0" w:color="auto"/>
              <w:right w:val="nil"/>
            </w:tcBorders>
            <w:shd w:val="clear" w:color="auto" w:fill="auto"/>
          </w:tcPr>
          <w:p w14:paraId="53E633EB" w14:textId="77777777" w:rsidR="003746B5" w:rsidRPr="00BB3B7F" w:rsidRDefault="003746B5" w:rsidP="003D685A">
            <w:pPr>
              <w:pStyle w:val="TableText"/>
              <w:keepNext/>
              <w:keepLines/>
              <w:ind w:rightChars="-85" w:right="-187"/>
              <w:jc w:val="center"/>
              <w:rPr>
                <w:b/>
                <w:bCs/>
                <w:color w:val="000000"/>
                <w:szCs w:val="16"/>
                <w:vertAlign w:val="subscript"/>
              </w:rPr>
            </w:pPr>
            <w:r w:rsidRPr="00BB3B7F">
              <w:rPr>
                <w:b/>
                <w:bCs/>
                <w:color w:val="000000"/>
                <w:szCs w:val="16"/>
              </w:rPr>
              <w:t>t</w:t>
            </w:r>
            <w:r w:rsidRPr="00BB3B7F">
              <w:rPr>
                <w:b/>
                <w:bCs/>
                <w:color w:val="000000"/>
                <w:szCs w:val="16"/>
                <w:vertAlign w:val="subscript"/>
              </w:rPr>
              <w:t>max</w:t>
            </w:r>
            <w:r w:rsidRPr="00BB3B7F">
              <w:rPr>
                <w:b/>
                <w:bCs/>
                <w:color w:val="000000"/>
                <w:szCs w:val="16"/>
                <w:vertAlign w:val="superscript"/>
              </w:rPr>
              <w:t>*</w:t>
            </w:r>
            <w:r w:rsidRPr="00BB3B7F">
              <w:rPr>
                <w:b/>
                <w:bCs/>
                <w:color w:val="000000"/>
                <w:szCs w:val="16"/>
                <w:vertAlign w:val="subscript"/>
              </w:rPr>
              <w:t xml:space="preserve"> </w:t>
            </w:r>
          </w:p>
          <w:p w14:paraId="4162B342" w14:textId="77777777" w:rsidR="003746B5" w:rsidRPr="00BB3B7F" w:rsidRDefault="003746B5" w:rsidP="003D685A">
            <w:pPr>
              <w:pStyle w:val="TableText"/>
              <w:keepNext/>
              <w:keepLines/>
              <w:ind w:rightChars="-85" w:right="-187"/>
              <w:jc w:val="center"/>
              <w:rPr>
                <w:b/>
                <w:bCs/>
                <w:color w:val="000000"/>
                <w:szCs w:val="16"/>
              </w:rPr>
            </w:pPr>
            <w:r w:rsidRPr="00BB3B7F">
              <w:rPr>
                <w:b/>
                <w:bCs/>
                <w:color w:val="000000"/>
                <w:szCs w:val="16"/>
              </w:rPr>
              <w:t>(h)</w:t>
            </w:r>
            <w:r w:rsidRPr="00BB3B7F">
              <w:rPr>
                <w:b/>
                <w:bCs/>
                <w:color w:val="000000"/>
                <w:szCs w:val="16"/>
              </w:rPr>
              <w:br/>
            </w:r>
          </w:p>
        </w:tc>
        <w:tc>
          <w:tcPr>
            <w:tcW w:w="1248" w:type="dxa"/>
            <w:tcBorders>
              <w:top w:val="single" w:sz="12" w:space="0" w:color="auto"/>
              <w:left w:val="nil"/>
              <w:bottom w:val="single" w:sz="6" w:space="0" w:color="auto"/>
              <w:right w:val="nil"/>
            </w:tcBorders>
            <w:shd w:val="clear" w:color="auto" w:fill="auto"/>
          </w:tcPr>
          <w:p w14:paraId="0283D29B" w14:textId="77777777" w:rsidR="003746B5" w:rsidRPr="00BB3B7F" w:rsidRDefault="003746B5" w:rsidP="003D685A">
            <w:pPr>
              <w:pStyle w:val="TableText"/>
              <w:keepNext/>
              <w:keepLines/>
              <w:ind w:rightChars="-85" w:right="-187"/>
              <w:jc w:val="center"/>
              <w:rPr>
                <w:b/>
                <w:bCs/>
                <w:color w:val="000000"/>
                <w:szCs w:val="16"/>
              </w:rPr>
            </w:pPr>
            <w:r w:rsidRPr="00BB3B7F">
              <w:rPr>
                <w:b/>
                <w:bCs/>
                <w:color w:val="000000"/>
                <w:szCs w:val="16"/>
              </w:rPr>
              <w:t>AUC</w:t>
            </w:r>
            <w:r w:rsidRPr="00BB3B7F">
              <w:rPr>
                <w:b/>
                <w:bCs/>
                <w:color w:val="000000"/>
                <w:szCs w:val="16"/>
                <w:vertAlign w:val="subscript"/>
              </w:rPr>
              <w:t>(0-last)</w:t>
            </w:r>
          </w:p>
          <w:p w14:paraId="16333FCE" w14:textId="77777777" w:rsidR="003746B5" w:rsidRPr="00BB3B7F" w:rsidRDefault="003746B5" w:rsidP="003D685A">
            <w:pPr>
              <w:pStyle w:val="TableText"/>
              <w:keepNext/>
              <w:keepLines/>
              <w:ind w:rightChars="-85" w:right="-187"/>
              <w:jc w:val="center"/>
              <w:rPr>
                <w:b/>
                <w:bCs/>
                <w:color w:val="000000"/>
                <w:szCs w:val="16"/>
              </w:rPr>
            </w:pPr>
            <w:r w:rsidRPr="00BB3B7F">
              <w:rPr>
                <w:b/>
                <w:bCs/>
                <w:color w:val="000000"/>
                <w:szCs w:val="16"/>
              </w:rPr>
              <w:t>(ng.h/mL)</w:t>
            </w:r>
            <w:r w:rsidRPr="00BB3B7F">
              <w:rPr>
                <w:b/>
                <w:bCs/>
                <w:color w:val="000000"/>
                <w:szCs w:val="16"/>
              </w:rPr>
              <w:br/>
            </w:r>
          </w:p>
        </w:tc>
        <w:tc>
          <w:tcPr>
            <w:tcW w:w="1248" w:type="dxa"/>
            <w:tcBorders>
              <w:top w:val="single" w:sz="12" w:space="0" w:color="auto"/>
              <w:left w:val="nil"/>
              <w:bottom w:val="single" w:sz="6" w:space="0" w:color="auto"/>
              <w:right w:val="nil"/>
            </w:tcBorders>
            <w:shd w:val="clear" w:color="auto" w:fill="auto"/>
          </w:tcPr>
          <w:p w14:paraId="47237DDB" w14:textId="77777777" w:rsidR="003746B5" w:rsidRPr="00BB3B7F" w:rsidRDefault="003746B5" w:rsidP="003D685A">
            <w:pPr>
              <w:pStyle w:val="TableText"/>
              <w:keepNext/>
              <w:keepLines/>
              <w:ind w:rightChars="-85" w:right="-187"/>
              <w:jc w:val="center"/>
              <w:rPr>
                <w:b/>
                <w:bCs/>
                <w:color w:val="000000"/>
                <w:szCs w:val="16"/>
                <w:lang w:val="de-DE"/>
              </w:rPr>
            </w:pPr>
            <w:r w:rsidRPr="00BB3B7F">
              <w:rPr>
                <w:b/>
                <w:bCs/>
                <w:color w:val="000000"/>
                <w:szCs w:val="16"/>
                <w:lang w:val="de-DE"/>
              </w:rPr>
              <w:t>AUC</w:t>
            </w:r>
            <w:r w:rsidRPr="00BB3B7F">
              <w:rPr>
                <w:b/>
                <w:bCs/>
                <w:color w:val="000000"/>
                <w:szCs w:val="16"/>
                <w:vertAlign w:val="subscript"/>
                <w:lang w:val="de-DE"/>
              </w:rPr>
              <w:t>(0-inf)</w:t>
            </w:r>
            <w:r w:rsidRPr="00BB3B7F">
              <w:rPr>
                <w:b/>
                <w:bCs/>
                <w:color w:val="000000"/>
                <w:szCs w:val="16"/>
                <w:lang w:val="de-DE"/>
              </w:rPr>
              <w:t xml:space="preserve"> </w:t>
            </w:r>
          </w:p>
          <w:p w14:paraId="37A017FF" w14:textId="77777777" w:rsidR="003746B5" w:rsidRPr="00BB3B7F" w:rsidRDefault="003746B5" w:rsidP="003D685A">
            <w:pPr>
              <w:pStyle w:val="TableText"/>
              <w:keepNext/>
              <w:keepLines/>
              <w:ind w:rightChars="-85" w:right="-187"/>
              <w:jc w:val="center"/>
              <w:rPr>
                <w:b/>
                <w:bCs/>
                <w:color w:val="000000"/>
                <w:szCs w:val="16"/>
                <w:lang w:val="de-DE"/>
              </w:rPr>
            </w:pPr>
            <w:r w:rsidRPr="00BB3B7F">
              <w:rPr>
                <w:b/>
                <w:bCs/>
                <w:color w:val="000000"/>
                <w:szCs w:val="16"/>
                <w:lang w:val="de-DE"/>
              </w:rPr>
              <w:t>(ng.h/mL)</w:t>
            </w:r>
          </w:p>
        </w:tc>
        <w:tc>
          <w:tcPr>
            <w:tcW w:w="876" w:type="dxa"/>
            <w:tcBorders>
              <w:top w:val="single" w:sz="12" w:space="0" w:color="auto"/>
              <w:left w:val="nil"/>
              <w:bottom w:val="single" w:sz="6" w:space="0" w:color="auto"/>
              <w:right w:val="nil"/>
            </w:tcBorders>
          </w:tcPr>
          <w:p w14:paraId="13C55886" w14:textId="77777777" w:rsidR="003746B5" w:rsidRPr="00BB3B7F" w:rsidRDefault="003746B5" w:rsidP="003D685A">
            <w:pPr>
              <w:pStyle w:val="TableText"/>
              <w:keepNext/>
              <w:keepLines/>
              <w:ind w:rightChars="-85" w:right="-187"/>
              <w:jc w:val="center"/>
              <w:rPr>
                <w:b/>
                <w:bCs/>
                <w:color w:val="000000"/>
                <w:szCs w:val="16"/>
                <w:vertAlign w:val="subscript"/>
              </w:rPr>
            </w:pPr>
            <w:r w:rsidRPr="00BB3B7F">
              <w:rPr>
                <w:b/>
                <w:bCs/>
                <w:color w:val="000000"/>
                <w:szCs w:val="16"/>
              </w:rPr>
              <w:t>%AUC</w:t>
            </w:r>
            <w:r w:rsidRPr="00BB3B7F">
              <w:rPr>
                <w:b/>
                <w:bCs/>
                <w:color w:val="000000"/>
                <w:szCs w:val="16"/>
                <w:vertAlign w:val="subscript"/>
              </w:rPr>
              <w:t>extra</w:t>
            </w:r>
          </w:p>
        </w:tc>
        <w:tc>
          <w:tcPr>
            <w:tcW w:w="744" w:type="dxa"/>
            <w:tcBorders>
              <w:top w:val="single" w:sz="12" w:space="0" w:color="auto"/>
              <w:left w:val="nil"/>
              <w:bottom w:val="single" w:sz="6" w:space="0" w:color="auto"/>
              <w:right w:val="nil"/>
            </w:tcBorders>
          </w:tcPr>
          <w:p w14:paraId="14E1B9B7" w14:textId="77777777" w:rsidR="003746B5" w:rsidRPr="00BB3B7F" w:rsidRDefault="003746B5" w:rsidP="003D685A">
            <w:pPr>
              <w:pStyle w:val="TableText"/>
              <w:keepNext/>
              <w:keepLines/>
              <w:ind w:rightChars="-85" w:right="-187"/>
              <w:jc w:val="center"/>
              <w:rPr>
                <w:b/>
                <w:bCs/>
                <w:color w:val="000000"/>
                <w:szCs w:val="16"/>
                <w:vertAlign w:val="subscript"/>
              </w:rPr>
            </w:pPr>
            <w:r w:rsidRPr="00BB3B7F">
              <w:rPr>
                <w:b/>
                <w:bCs/>
                <w:color w:val="000000"/>
                <w:szCs w:val="16"/>
              </w:rPr>
              <w:t>t</w:t>
            </w:r>
            <w:r w:rsidRPr="00BB3B7F">
              <w:rPr>
                <w:b/>
                <w:bCs/>
                <w:color w:val="000000"/>
                <w:szCs w:val="16"/>
                <w:vertAlign w:val="subscript"/>
              </w:rPr>
              <w:t xml:space="preserve">1/2 </w:t>
            </w:r>
          </w:p>
          <w:p w14:paraId="329E5B54" w14:textId="77777777" w:rsidR="003746B5" w:rsidRPr="00BB3B7F" w:rsidRDefault="003746B5" w:rsidP="003D685A">
            <w:pPr>
              <w:pStyle w:val="TableText"/>
              <w:keepNext/>
              <w:keepLines/>
              <w:ind w:rightChars="-85" w:right="-187"/>
              <w:jc w:val="center"/>
              <w:rPr>
                <w:b/>
                <w:bCs/>
                <w:color w:val="000000"/>
                <w:szCs w:val="16"/>
              </w:rPr>
            </w:pPr>
            <w:r w:rsidRPr="00BB3B7F">
              <w:rPr>
                <w:b/>
                <w:bCs/>
                <w:color w:val="000000"/>
                <w:szCs w:val="16"/>
              </w:rPr>
              <w:t>(h)</w:t>
            </w:r>
          </w:p>
        </w:tc>
        <w:tc>
          <w:tcPr>
            <w:tcW w:w="984" w:type="dxa"/>
            <w:tcBorders>
              <w:top w:val="single" w:sz="12" w:space="0" w:color="auto"/>
              <w:left w:val="nil"/>
              <w:bottom w:val="single" w:sz="6" w:space="0" w:color="auto"/>
              <w:right w:val="nil"/>
            </w:tcBorders>
          </w:tcPr>
          <w:p w14:paraId="002261B0" w14:textId="77777777" w:rsidR="003746B5" w:rsidRPr="00BB3B7F" w:rsidRDefault="003746B5" w:rsidP="003D685A">
            <w:pPr>
              <w:pStyle w:val="TableText"/>
              <w:keepNext/>
              <w:keepLines/>
              <w:ind w:rightChars="-85" w:right="-187"/>
              <w:jc w:val="center"/>
              <w:rPr>
                <w:b/>
                <w:bCs/>
                <w:color w:val="000000"/>
                <w:szCs w:val="16"/>
                <w:vertAlign w:val="subscript"/>
              </w:rPr>
            </w:pPr>
            <w:r w:rsidRPr="00BB3B7F">
              <w:rPr>
                <w:b/>
                <w:bCs/>
                <w:color w:val="000000"/>
                <w:szCs w:val="16"/>
              </w:rPr>
              <w:t>CL/F</w:t>
            </w:r>
          </w:p>
          <w:p w14:paraId="420A4AF2" w14:textId="77777777" w:rsidR="003746B5" w:rsidRPr="00BB3B7F" w:rsidRDefault="003746B5" w:rsidP="003D685A">
            <w:pPr>
              <w:pStyle w:val="TableText"/>
              <w:keepNext/>
              <w:keepLines/>
              <w:ind w:rightChars="-85" w:right="-187"/>
              <w:jc w:val="center"/>
              <w:rPr>
                <w:b/>
                <w:bCs/>
                <w:color w:val="000000"/>
                <w:szCs w:val="16"/>
              </w:rPr>
            </w:pPr>
            <w:r w:rsidRPr="00BB3B7F">
              <w:rPr>
                <w:b/>
                <w:bCs/>
                <w:color w:val="000000"/>
                <w:szCs w:val="16"/>
              </w:rPr>
              <w:t>(mL/h/kg)</w:t>
            </w:r>
          </w:p>
        </w:tc>
        <w:tc>
          <w:tcPr>
            <w:tcW w:w="800" w:type="dxa"/>
            <w:tcBorders>
              <w:top w:val="single" w:sz="12" w:space="0" w:color="auto"/>
              <w:left w:val="nil"/>
              <w:bottom w:val="single" w:sz="6" w:space="0" w:color="auto"/>
              <w:right w:val="nil"/>
            </w:tcBorders>
          </w:tcPr>
          <w:p w14:paraId="1FE9EDA0" w14:textId="77777777" w:rsidR="003746B5" w:rsidRPr="00BB3B7F" w:rsidRDefault="003746B5" w:rsidP="003D685A">
            <w:pPr>
              <w:pStyle w:val="TableText"/>
              <w:keepNext/>
              <w:keepLines/>
              <w:ind w:rightChars="-85" w:right="-187"/>
              <w:jc w:val="center"/>
              <w:rPr>
                <w:b/>
                <w:bCs/>
                <w:color w:val="000000"/>
                <w:szCs w:val="16"/>
              </w:rPr>
            </w:pPr>
            <w:r w:rsidRPr="00BB3B7F">
              <w:rPr>
                <w:b/>
                <w:bCs/>
                <w:color w:val="000000"/>
                <w:szCs w:val="16"/>
              </w:rPr>
              <w:t>V</w:t>
            </w:r>
            <w:r w:rsidRPr="00BB3B7F">
              <w:rPr>
                <w:b/>
                <w:bCs/>
                <w:color w:val="000000"/>
                <w:szCs w:val="16"/>
                <w:vertAlign w:val="subscript"/>
              </w:rPr>
              <w:t>z</w:t>
            </w:r>
            <w:r w:rsidRPr="00BB3B7F">
              <w:rPr>
                <w:b/>
                <w:bCs/>
                <w:color w:val="000000"/>
                <w:szCs w:val="16"/>
              </w:rPr>
              <w:t>/F</w:t>
            </w:r>
          </w:p>
          <w:p w14:paraId="6C4DCE77" w14:textId="77777777" w:rsidR="003746B5" w:rsidRPr="00BB3B7F" w:rsidRDefault="003746B5" w:rsidP="003D685A">
            <w:pPr>
              <w:pStyle w:val="TableText"/>
              <w:keepNext/>
              <w:keepLines/>
              <w:ind w:rightChars="-85" w:right="-187"/>
              <w:jc w:val="center"/>
              <w:rPr>
                <w:b/>
                <w:bCs/>
                <w:color w:val="000000"/>
                <w:szCs w:val="16"/>
              </w:rPr>
            </w:pPr>
            <w:r w:rsidRPr="00BB3B7F">
              <w:rPr>
                <w:b/>
                <w:bCs/>
                <w:color w:val="000000"/>
                <w:szCs w:val="16"/>
              </w:rPr>
              <w:t>(mL/kg)</w:t>
            </w:r>
          </w:p>
        </w:tc>
        <w:tc>
          <w:tcPr>
            <w:tcW w:w="800" w:type="dxa"/>
            <w:tcBorders>
              <w:top w:val="single" w:sz="12" w:space="0" w:color="auto"/>
              <w:left w:val="nil"/>
              <w:bottom w:val="single" w:sz="6" w:space="0" w:color="auto"/>
              <w:right w:val="nil"/>
            </w:tcBorders>
          </w:tcPr>
          <w:p w14:paraId="7FF6A609" w14:textId="77777777" w:rsidR="003746B5" w:rsidRPr="00BB3B7F" w:rsidRDefault="003746B5" w:rsidP="003D685A">
            <w:pPr>
              <w:pStyle w:val="TableText"/>
              <w:keepNext/>
              <w:keepLines/>
              <w:ind w:rightChars="-85" w:right="-187"/>
              <w:jc w:val="center"/>
              <w:rPr>
                <w:b/>
                <w:bCs/>
                <w:color w:val="000000"/>
                <w:szCs w:val="16"/>
                <w:vertAlign w:val="subscript"/>
              </w:rPr>
            </w:pPr>
            <w:r w:rsidRPr="00BB3B7F">
              <w:rPr>
                <w:b/>
                <w:bCs/>
                <w:color w:val="000000"/>
                <w:szCs w:val="16"/>
              </w:rPr>
              <w:t>k</w:t>
            </w:r>
            <w:r w:rsidRPr="00BB3B7F">
              <w:rPr>
                <w:b/>
                <w:bCs/>
                <w:color w:val="000000"/>
                <w:szCs w:val="16"/>
                <w:vertAlign w:val="subscript"/>
              </w:rPr>
              <w:t xml:space="preserve">el </w:t>
            </w:r>
          </w:p>
          <w:p w14:paraId="344C9C62" w14:textId="77777777" w:rsidR="003746B5" w:rsidRPr="00BB3B7F" w:rsidRDefault="003746B5" w:rsidP="003D685A">
            <w:pPr>
              <w:pStyle w:val="TableText"/>
              <w:keepNext/>
              <w:keepLines/>
              <w:ind w:rightChars="-85" w:right="-187"/>
              <w:jc w:val="center"/>
              <w:rPr>
                <w:b/>
                <w:bCs/>
                <w:color w:val="000000"/>
                <w:szCs w:val="16"/>
              </w:rPr>
            </w:pPr>
            <w:r w:rsidRPr="00BB3B7F">
              <w:rPr>
                <w:b/>
                <w:bCs/>
                <w:color w:val="000000"/>
                <w:szCs w:val="16"/>
              </w:rPr>
              <w:t>(/h)</w:t>
            </w:r>
          </w:p>
        </w:tc>
      </w:tr>
      <w:tr w:rsidR="003746B5" w:rsidRPr="00BB3B7F" w14:paraId="10789341" w14:textId="77777777" w:rsidTr="000359C7">
        <w:trPr>
          <w:cantSplit/>
        </w:trPr>
        <w:tc>
          <w:tcPr>
            <w:tcW w:w="897" w:type="dxa"/>
            <w:tcBorders>
              <w:top w:val="nil"/>
              <w:left w:val="nil"/>
              <w:bottom w:val="nil"/>
              <w:right w:val="nil"/>
            </w:tcBorders>
          </w:tcPr>
          <w:p w14:paraId="0D3D07EF" w14:textId="77777777" w:rsidR="003746B5" w:rsidRPr="00BB3B7F" w:rsidRDefault="003746B5" w:rsidP="003D685A">
            <w:pPr>
              <w:pStyle w:val="TableText"/>
              <w:keepNext/>
              <w:keepLines/>
              <w:ind w:rightChars="-85" w:right="-187"/>
              <w:rPr>
                <w:color w:val="000000"/>
                <w:szCs w:val="16"/>
              </w:rPr>
            </w:pPr>
            <w:r w:rsidRPr="00BB3B7F">
              <w:rPr>
                <w:color w:val="000000"/>
                <w:szCs w:val="16"/>
              </w:rPr>
              <w:t>2 µg/kg</w:t>
            </w:r>
          </w:p>
        </w:tc>
        <w:tc>
          <w:tcPr>
            <w:tcW w:w="927" w:type="dxa"/>
            <w:tcBorders>
              <w:top w:val="nil"/>
              <w:left w:val="nil"/>
              <w:bottom w:val="nil"/>
              <w:right w:val="nil"/>
            </w:tcBorders>
          </w:tcPr>
          <w:p w14:paraId="796614FE"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10.4 (11)</w:t>
            </w:r>
          </w:p>
        </w:tc>
        <w:tc>
          <w:tcPr>
            <w:tcW w:w="1068" w:type="dxa"/>
            <w:tcBorders>
              <w:top w:val="nil"/>
              <w:left w:val="nil"/>
              <w:bottom w:val="nil"/>
              <w:right w:val="nil"/>
            </w:tcBorders>
          </w:tcPr>
          <w:p w14:paraId="5C4044D0"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144.00</w:t>
            </w:r>
          </w:p>
        </w:tc>
        <w:tc>
          <w:tcPr>
            <w:tcW w:w="1248" w:type="dxa"/>
            <w:tcBorders>
              <w:top w:val="nil"/>
              <w:left w:val="nil"/>
              <w:bottom w:val="nil"/>
              <w:right w:val="nil"/>
            </w:tcBorders>
          </w:tcPr>
          <w:p w14:paraId="289CD92C"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2913 (19)</w:t>
            </w:r>
          </w:p>
        </w:tc>
        <w:tc>
          <w:tcPr>
            <w:tcW w:w="1248" w:type="dxa"/>
            <w:tcBorders>
              <w:top w:val="nil"/>
              <w:left w:val="nil"/>
              <w:bottom w:val="nil"/>
              <w:right w:val="nil"/>
            </w:tcBorders>
          </w:tcPr>
          <w:p w14:paraId="24443F42" w14:textId="77777777" w:rsidR="003746B5" w:rsidRPr="00BB3B7F" w:rsidRDefault="003746B5" w:rsidP="003D685A">
            <w:pPr>
              <w:pStyle w:val="TableText"/>
              <w:keepNext/>
              <w:keepLines/>
              <w:ind w:rightChars="-85" w:right="-187"/>
              <w:jc w:val="center"/>
              <w:rPr>
                <w:color w:val="000000"/>
                <w:szCs w:val="16"/>
                <w:vertAlign w:val="superscript"/>
              </w:rPr>
            </w:pPr>
            <w:r w:rsidRPr="00BB3B7F">
              <w:rPr>
                <w:color w:val="000000"/>
                <w:szCs w:val="16"/>
                <w:vertAlign w:val="superscript"/>
              </w:rPr>
              <w:t>#</w:t>
            </w:r>
          </w:p>
        </w:tc>
        <w:tc>
          <w:tcPr>
            <w:tcW w:w="876" w:type="dxa"/>
            <w:tcBorders>
              <w:top w:val="nil"/>
              <w:left w:val="nil"/>
              <w:bottom w:val="nil"/>
              <w:right w:val="nil"/>
            </w:tcBorders>
          </w:tcPr>
          <w:p w14:paraId="693B8B62" w14:textId="77777777" w:rsidR="003746B5" w:rsidRPr="00BB3B7F" w:rsidRDefault="003746B5" w:rsidP="003D685A">
            <w:pPr>
              <w:pStyle w:val="TableText"/>
              <w:keepNext/>
              <w:keepLines/>
              <w:ind w:rightChars="-85" w:right="-187"/>
              <w:jc w:val="center"/>
              <w:rPr>
                <w:color w:val="000000"/>
                <w:szCs w:val="16"/>
                <w:vertAlign w:val="superscript"/>
              </w:rPr>
            </w:pPr>
            <w:r w:rsidRPr="00BB3B7F">
              <w:rPr>
                <w:color w:val="000000"/>
                <w:szCs w:val="16"/>
                <w:vertAlign w:val="superscript"/>
              </w:rPr>
              <w:t>#</w:t>
            </w:r>
          </w:p>
        </w:tc>
        <w:tc>
          <w:tcPr>
            <w:tcW w:w="744" w:type="dxa"/>
            <w:tcBorders>
              <w:top w:val="nil"/>
              <w:left w:val="nil"/>
              <w:bottom w:val="nil"/>
              <w:right w:val="nil"/>
            </w:tcBorders>
          </w:tcPr>
          <w:p w14:paraId="2C5F2896" w14:textId="77777777" w:rsidR="003746B5" w:rsidRPr="00BB3B7F" w:rsidRDefault="003746B5" w:rsidP="003D685A">
            <w:pPr>
              <w:pStyle w:val="TableText"/>
              <w:keepNext/>
              <w:keepLines/>
              <w:ind w:rightChars="-85" w:right="-187"/>
              <w:jc w:val="center"/>
              <w:rPr>
                <w:color w:val="000000"/>
                <w:szCs w:val="16"/>
                <w:vertAlign w:val="superscript"/>
              </w:rPr>
            </w:pPr>
            <w:r w:rsidRPr="00BB3B7F">
              <w:rPr>
                <w:color w:val="000000"/>
                <w:szCs w:val="16"/>
                <w:vertAlign w:val="superscript"/>
              </w:rPr>
              <w:t>#</w:t>
            </w:r>
          </w:p>
        </w:tc>
        <w:tc>
          <w:tcPr>
            <w:tcW w:w="984" w:type="dxa"/>
            <w:tcBorders>
              <w:top w:val="nil"/>
              <w:left w:val="nil"/>
              <w:bottom w:val="nil"/>
              <w:right w:val="nil"/>
            </w:tcBorders>
          </w:tcPr>
          <w:p w14:paraId="59A4D13E" w14:textId="77777777" w:rsidR="003746B5" w:rsidRPr="00BB3B7F" w:rsidRDefault="003746B5" w:rsidP="003D685A">
            <w:pPr>
              <w:pStyle w:val="TableText"/>
              <w:keepNext/>
              <w:keepLines/>
              <w:ind w:rightChars="-85" w:right="-187"/>
              <w:jc w:val="center"/>
              <w:rPr>
                <w:color w:val="000000"/>
                <w:szCs w:val="16"/>
                <w:vertAlign w:val="superscript"/>
              </w:rPr>
            </w:pPr>
            <w:r w:rsidRPr="00BB3B7F">
              <w:rPr>
                <w:color w:val="000000"/>
                <w:szCs w:val="16"/>
                <w:vertAlign w:val="superscript"/>
              </w:rPr>
              <w:t>#</w:t>
            </w:r>
          </w:p>
        </w:tc>
        <w:tc>
          <w:tcPr>
            <w:tcW w:w="800" w:type="dxa"/>
            <w:tcBorders>
              <w:top w:val="nil"/>
              <w:left w:val="nil"/>
              <w:bottom w:val="nil"/>
              <w:right w:val="nil"/>
            </w:tcBorders>
          </w:tcPr>
          <w:p w14:paraId="22FC0DB1" w14:textId="77777777" w:rsidR="003746B5" w:rsidRPr="00BB3B7F" w:rsidRDefault="003746B5" w:rsidP="003D685A">
            <w:pPr>
              <w:pStyle w:val="TableText"/>
              <w:keepNext/>
              <w:keepLines/>
              <w:ind w:rightChars="-85" w:right="-187"/>
              <w:jc w:val="center"/>
              <w:rPr>
                <w:color w:val="000000"/>
                <w:szCs w:val="16"/>
                <w:vertAlign w:val="superscript"/>
              </w:rPr>
            </w:pPr>
            <w:r w:rsidRPr="00BB3B7F">
              <w:rPr>
                <w:color w:val="000000"/>
                <w:szCs w:val="16"/>
                <w:vertAlign w:val="superscript"/>
              </w:rPr>
              <w:t>#</w:t>
            </w:r>
          </w:p>
        </w:tc>
        <w:tc>
          <w:tcPr>
            <w:tcW w:w="800" w:type="dxa"/>
            <w:tcBorders>
              <w:top w:val="nil"/>
              <w:left w:val="nil"/>
              <w:bottom w:val="nil"/>
              <w:right w:val="nil"/>
            </w:tcBorders>
          </w:tcPr>
          <w:p w14:paraId="3AA614CB" w14:textId="77777777" w:rsidR="003746B5" w:rsidRPr="00BB3B7F" w:rsidRDefault="003746B5" w:rsidP="003D685A">
            <w:pPr>
              <w:pStyle w:val="TableText"/>
              <w:keepNext/>
              <w:keepLines/>
              <w:ind w:rightChars="-85" w:right="-187"/>
              <w:jc w:val="center"/>
              <w:rPr>
                <w:color w:val="000000"/>
                <w:szCs w:val="16"/>
                <w:vertAlign w:val="superscript"/>
              </w:rPr>
            </w:pPr>
            <w:r w:rsidRPr="00BB3B7F">
              <w:rPr>
                <w:color w:val="000000"/>
                <w:szCs w:val="16"/>
                <w:vertAlign w:val="superscript"/>
              </w:rPr>
              <w:t>#</w:t>
            </w:r>
          </w:p>
        </w:tc>
      </w:tr>
      <w:tr w:rsidR="003746B5" w:rsidRPr="00BB3B7F" w14:paraId="6205AAA8" w14:textId="77777777" w:rsidTr="000359C7">
        <w:trPr>
          <w:cantSplit/>
        </w:trPr>
        <w:tc>
          <w:tcPr>
            <w:tcW w:w="897" w:type="dxa"/>
            <w:tcBorders>
              <w:top w:val="nil"/>
              <w:left w:val="nil"/>
              <w:bottom w:val="nil"/>
              <w:right w:val="nil"/>
            </w:tcBorders>
          </w:tcPr>
          <w:p w14:paraId="7CB5E07A" w14:textId="77777777" w:rsidR="003746B5" w:rsidRPr="00BB3B7F" w:rsidRDefault="003746B5" w:rsidP="003D685A">
            <w:pPr>
              <w:pStyle w:val="TableText"/>
              <w:keepNext/>
              <w:keepLines/>
              <w:ind w:rightChars="-85" w:right="-187"/>
              <w:rPr>
                <w:color w:val="000000"/>
                <w:szCs w:val="16"/>
              </w:rPr>
            </w:pPr>
          </w:p>
        </w:tc>
        <w:tc>
          <w:tcPr>
            <w:tcW w:w="927" w:type="dxa"/>
            <w:tcBorders>
              <w:top w:val="nil"/>
              <w:left w:val="nil"/>
              <w:bottom w:val="nil"/>
              <w:right w:val="nil"/>
            </w:tcBorders>
          </w:tcPr>
          <w:p w14:paraId="6871AD8A"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9.22-12.1</w:t>
            </w:r>
          </w:p>
        </w:tc>
        <w:tc>
          <w:tcPr>
            <w:tcW w:w="1068" w:type="dxa"/>
            <w:tcBorders>
              <w:top w:val="nil"/>
              <w:left w:val="nil"/>
              <w:bottom w:val="nil"/>
              <w:right w:val="nil"/>
            </w:tcBorders>
          </w:tcPr>
          <w:p w14:paraId="6C1B85D6"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72.06-216.76</w:t>
            </w:r>
          </w:p>
        </w:tc>
        <w:tc>
          <w:tcPr>
            <w:tcW w:w="1248" w:type="dxa"/>
            <w:tcBorders>
              <w:top w:val="nil"/>
              <w:left w:val="nil"/>
              <w:bottom w:val="nil"/>
              <w:right w:val="nil"/>
            </w:tcBorders>
          </w:tcPr>
          <w:p w14:paraId="76EA427F"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2267-3615</w:t>
            </w:r>
          </w:p>
        </w:tc>
        <w:tc>
          <w:tcPr>
            <w:tcW w:w="1248" w:type="dxa"/>
            <w:tcBorders>
              <w:top w:val="nil"/>
              <w:left w:val="nil"/>
              <w:bottom w:val="nil"/>
              <w:right w:val="nil"/>
            </w:tcBorders>
          </w:tcPr>
          <w:p w14:paraId="140607BD" w14:textId="77777777" w:rsidR="003746B5" w:rsidRPr="00BB3B7F" w:rsidRDefault="003746B5" w:rsidP="003D685A">
            <w:pPr>
              <w:pStyle w:val="TableText"/>
              <w:keepNext/>
              <w:keepLines/>
              <w:ind w:rightChars="-85" w:right="-187"/>
              <w:jc w:val="center"/>
              <w:rPr>
                <w:color w:val="000000"/>
                <w:szCs w:val="16"/>
                <w:vertAlign w:val="superscript"/>
              </w:rPr>
            </w:pPr>
            <w:r w:rsidRPr="00BB3B7F">
              <w:rPr>
                <w:color w:val="000000"/>
                <w:szCs w:val="16"/>
                <w:vertAlign w:val="superscript"/>
              </w:rPr>
              <w:t>#</w:t>
            </w:r>
          </w:p>
        </w:tc>
        <w:tc>
          <w:tcPr>
            <w:tcW w:w="876" w:type="dxa"/>
            <w:tcBorders>
              <w:top w:val="nil"/>
              <w:left w:val="nil"/>
              <w:bottom w:val="nil"/>
              <w:right w:val="nil"/>
            </w:tcBorders>
          </w:tcPr>
          <w:p w14:paraId="46638C0A" w14:textId="77777777" w:rsidR="003746B5" w:rsidRPr="00BB3B7F" w:rsidRDefault="003746B5" w:rsidP="003D685A">
            <w:pPr>
              <w:pStyle w:val="TableText"/>
              <w:keepNext/>
              <w:keepLines/>
              <w:ind w:rightChars="-85" w:right="-187"/>
              <w:jc w:val="center"/>
              <w:rPr>
                <w:color w:val="000000"/>
                <w:szCs w:val="16"/>
                <w:vertAlign w:val="superscript"/>
              </w:rPr>
            </w:pPr>
            <w:r w:rsidRPr="00BB3B7F">
              <w:rPr>
                <w:color w:val="000000"/>
                <w:szCs w:val="16"/>
                <w:vertAlign w:val="superscript"/>
              </w:rPr>
              <w:t>#</w:t>
            </w:r>
          </w:p>
        </w:tc>
        <w:tc>
          <w:tcPr>
            <w:tcW w:w="744" w:type="dxa"/>
            <w:tcBorders>
              <w:top w:val="nil"/>
              <w:left w:val="nil"/>
              <w:bottom w:val="nil"/>
              <w:right w:val="nil"/>
            </w:tcBorders>
          </w:tcPr>
          <w:p w14:paraId="7400462E" w14:textId="77777777" w:rsidR="003746B5" w:rsidRPr="00BB3B7F" w:rsidRDefault="003746B5" w:rsidP="003D685A">
            <w:pPr>
              <w:pStyle w:val="TableText"/>
              <w:keepNext/>
              <w:keepLines/>
              <w:ind w:rightChars="-85" w:right="-187"/>
              <w:jc w:val="center"/>
              <w:rPr>
                <w:color w:val="000000"/>
                <w:szCs w:val="16"/>
                <w:vertAlign w:val="superscript"/>
              </w:rPr>
            </w:pPr>
            <w:r w:rsidRPr="00BB3B7F">
              <w:rPr>
                <w:color w:val="000000"/>
                <w:szCs w:val="16"/>
                <w:vertAlign w:val="superscript"/>
              </w:rPr>
              <w:t>#</w:t>
            </w:r>
          </w:p>
        </w:tc>
        <w:tc>
          <w:tcPr>
            <w:tcW w:w="984" w:type="dxa"/>
            <w:tcBorders>
              <w:top w:val="nil"/>
              <w:left w:val="nil"/>
              <w:bottom w:val="nil"/>
              <w:right w:val="nil"/>
            </w:tcBorders>
          </w:tcPr>
          <w:p w14:paraId="499137CA" w14:textId="77777777" w:rsidR="003746B5" w:rsidRPr="00BB3B7F" w:rsidRDefault="003746B5" w:rsidP="003D685A">
            <w:pPr>
              <w:pStyle w:val="TableText"/>
              <w:keepNext/>
              <w:keepLines/>
              <w:ind w:rightChars="-85" w:right="-187"/>
              <w:jc w:val="center"/>
              <w:rPr>
                <w:color w:val="000000"/>
                <w:szCs w:val="16"/>
                <w:vertAlign w:val="superscript"/>
              </w:rPr>
            </w:pPr>
            <w:r w:rsidRPr="00BB3B7F">
              <w:rPr>
                <w:color w:val="000000"/>
                <w:szCs w:val="16"/>
                <w:vertAlign w:val="superscript"/>
              </w:rPr>
              <w:t>#</w:t>
            </w:r>
          </w:p>
        </w:tc>
        <w:tc>
          <w:tcPr>
            <w:tcW w:w="800" w:type="dxa"/>
            <w:tcBorders>
              <w:top w:val="nil"/>
              <w:left w:val="nil"/>
              <w:bottom w:val="nil"/>
              <w:right w:val="nil"/>
            </w:tcBorders>
          </w:tcPr>
          <w:p w14:paraId="63161B92" w14:textId="77777777" w:rsidR="003746B5" w:rsidRPr="00BB3B7F" w:rsidRDefault="003746B5" w:rsidP="003D685A">
            <w:pPr>
              <w:pStyle w:val="TableText"/>
              <w:keepNext/>
              <w:keepLines/>
              <w:ind w:rightChars="-85" w:right="-187"/>
              <w:jc w:val="center"/>
              <w:rPr>
                <w:color w:val="000000"/>
                <w:szCs w:val="16"/>
                <w:vertAlign w:val="superscript"/>
              </w:rPr>
            </w:pPr>
            <w:r w:rsidRPr="00BB3B7F">
              <w:rPr>
                <w:color w:val="000000"/>
                <w:szCs w:val="16"/>
                <w:vertAlign w:val="superscript"/>
              </w:rPr>
              <w:t>#</w:t>
            </w:r>
          </w:p>
        </w:tc>
        <w:tc>
          <w:tcPr>
            <w:tcW w:w="800" w:type="dxa"/>
            <w:tcBorders>
              <w:top w:val="nil"/>
              <w:left w:val="nil"/>
              <w:bottom w:val="nil"/>
              <w:right w:val="nil"/>
            </w:tcBorders>
          </w:tcPr>
          <w:p w14:paraId="622C8C0D" w14:textId="77777777" w:rsidR="003746B5" w:rsidRPr="00BB3B7F" w:rsidRDefault="003746B5" w:rsidP="003D685A">
            <w:pPr>
              <w:pStyle w:val="TableText"/>
              <w:keepNext/>
              <w:keepLines/>
              <w:ind w:rightChars="-85" w:right="-187"/>
              <w:jc w:val="center"/>
              <w:rPr>
                <w:color w:val="000000"/>
                <w:szCs w:val="16"/>
                <w:vertAlign w:val="superscript"/>
              </w:rPr>
            </w:pPr>
            <w:r w:rsidRPr="00BB3B7F">
              <w:rPr>
                <w:color w:val="000000"/>
                <w:szCs w:val="16"/>
                <w:vertAlign w:val="superscript"/>
              </w:rPr>
              <w:t>#</w:t>
            </w:r>
          </w:p>
        </w:tc>
      </w:tr>
      <w:tr w:rsidR="003746B5" w:rsidRPr="00BB3B7F" w14:paraId="6DC27CA7" w14:textId="77777777" w:rsidTr="000359C7">
        <w:trPr>
          <w:cantSplit/>
        </w:trPr>
        <w:tc>
          <w:tcPr>
            <w:tcW w:w="897" w:type="dxa"/>
            <w:tcBorders>
              <w:top w:val="nil"/>
              <w:left w:val="nil"/>
              <w:bottom w:val="nil"/>
              <w:right w:val="nil"/>
            </w:tcBorders>
          </w:tcPr>
          <w:p w14:paraId="0E70EA5E" w14:textId="77777777" w:rsidR="003746B5" w:rsidRPr="00BB3B7F" w:rsidRDefault="003746B5" w:rsidP="003D685A">
            <w:pPr>
              <w:pStyle w:val="TableText"/>
              <w:keepNext/>
              <w:keepLines/>
              <w:ind w:rightChars="-85" w:right="-187"/>
              <w:rPr>
                <w:color w:val="000000"/>
                <w:szCs w:val="16"/>
              </w:rPr>
            </w:pPr>
            <w:r w:rsidRPr="00BB3B7F">
              <w:rPr>
                <w:color w:val="000000"/>
                <w:szCs w:val="16"/>
              </w:rPr>
              <w:t>4 µg/kg</w:t>
            </w:r>
          </w:p>
        </w:tc>
        <w:tc>
          <w:tcPr>
            <w:tcW w:w="927" w:type="dxa"/>
            <w:tcBorders>
              <w:top w:val="nil"/>
              <w:left w:val="nil"/>
              <w:bottom w:val="nil"/>
              <w:right w:val="nil"/>
            </w:tcBorders>
          </w:tcPr>
          <w:p w14:paraId="1CDBCAE1"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25.7 (16)</w:t>
            </w:r>
          </w:p>
        </w:tc>
        <w:tc>
          <w:tcPr>
            <w:tcW w:w="1068" w:type="dxa"/>
            <w:tcBorders>
              <w:top w:val="nil"/>
              <w:left w:val="nil"/>
              <w:bottom w:val="nil"/>
              <w:right w:val="nil"/>
            </w:tcBorders>
          </w:tcPr>
          <w:p w14:paraId="3702CC17"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72.06</w:t>
            </w:r>
          </w:p>
        </w:tc>
        <w:tc>
          <w:tcPr>
            <w:tcW w:w="1248" w:type="dxa"/>
            <w:tcBorders>
              <w:top w:val="nil"/>
              <w:left w:val="nil"/>
              <w:bottom w:val="nil"/>
              <w:right w:val="nil"/>
            </w:tcBorders>
          </w:tcPr>
          <w:p w14:paraId="015C6A99"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7911 (12)</w:t>
            </w:r>
          </w:p>
        </w:tc>
        <w:tc>
          <w:tcPr>
            <w:tcW w:w="1248" w:type="dxa"/>
            <w:tcBorders>
              <w:top w:val="nil"/>
              <w:left w:val="nil"/>
              <w:bottom w:val="nil"/>
              <w:right w:val="nil"/>
            </w:tcBorders>
          </w:tcPr>
          <w:p w14:paraId="517213B2"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9060 (12)</w:t>
            </w:r>
          </w:p>
        </w:tc>
        <w:tc>
          <w:tcPr>
            <w:tcW w:w="876" w:type="dxa"/>
            <w:tcBorders>
              <w:top w:val="nil"/>
              <w:left w:val="nil"/>
              <w:bottom w:val="nil"/>
              <w:right w:val="nil"/>
            </w:tcBorders>
          </w:tcPr>
          <w:p w14:paraId="206A82A3"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11.1</w:t>
            </w:r>
          </w:p>
        </w:tc>
        <w:tc>
          <w:tcPr>
            <w:tcW w:w="744" w:type="dxa"/>
            <w:tcBorders>
              <w:top w:val="nil"/>
              <w:left w:val="nil"/>
              <w:bottom w:val="nil"/>
              <w:right w:val="nil"/>
            </w:tcBorders>
          </w:tcPr>
          <w:p w14:paraId="31226688"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144 (10)</w:t>
            </w:r>
          </w:p>
        </w:tc>
        <w:tc>
          <w:tcPr>
            <w:tcW w:w="984" w:type="dxa"/>
            <w:tcBorders>
              <w:top w:val="nil"/>
              <w:left w:val="nil"/>
              <w:bottom w:val="nil"/>
              <w:right w:val="nil"/>
            </w:tcBorders>
          </w:tcPr>
          <w:p w14:paraId="0FC4358B"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0.441</w:t>
            </w:r>
          </w:p>
        </w:tc>
        <w:tc>
          <w:tcPr>
            <w:tcW w:w="800" w:type="dxa"/>
            <w:tcBorders>
              <w:top w:val="nil"/>
              <w:left w:val="nil"/>
              <w:bottom w:val="nil"/>
              <w:right w:val="nil"/>
            </w:tcBorders>
          </w:tcPr>
          <w:p w14:paraId="7546C991"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91.7</w:t>
            </w:r>
          </w:p>
        </w:tc>
        <w:tc>
          <w:tcPr>
            <w:tcW w:w="800" w:type="dxa"/>
            <w:tcBorders>
              <w:top w:val="nil"/>
              <w:left w:val="nil"/>
              <w:bottom w:val="nil"/>
              <w:right w:val="nil"/>
            </w:tcBorders>
          </w:tcPr>
          <w:p w14:paraId="37AFC918"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0.00482</w:t>
            </w:r>
          </w:p>
        </w:tc>
      </w:tr>
      <w:tr w:rsidR="003746B5" w:rsidRPr="00BB3B7F" w14:paraId="31FCFA9F" w14:textId="77777777" w:rsidTr="000359C7">
        <w:trPr>
          <w:cantSplit/>
        </w:trPr>
        <w:tc>
          <w:tcPr>
            <w:tcW w:w="897" w:type="dxa"/>
            <w:tcBorders>
              <w:top w:val="nil"/>
              <w:left w:val="nil"/>
              <w:bottom w:val="nil"/>
              <w:right w:val="nil"/>
            </w:tcBorders>
          </w:tcPr>
          <w:p w14:paraId="5934F1D3" w14:textId="77777777" w:rsidR="003746B5" w:rsidRPr="00BB3B7F" w:rsidRDefault="003746B5" w:rsidP="003D685A">
            <w:pPr>
              <w:pStyle w:val="TableText"/>
              <w:keepNext/>
              <w:keepLines/>
              <w:ind w:rightChars="-85" w:right="-187"/>
              <w:rPr>
                <w:color w:val="000000"/>
                <w:szCs w:val="16"/>
              </w:rPr>
            </w:pPr>
          </w:p>
        </w:tc>
        <w:tc>
          <w:tcPr>
            <w:tcW w:w="927" w:type="dxa"/>
            <w:tcBorders>
              <w:top w:val="nil"/>
              <w:left w:val="nil"/>
              <w:bottom w:val="nil"/>
              <w:right w:val="nil"/>
            </w:tcBorders>
          </w:tcPr>
          <w:p w14:paraId="5F2E1FDD"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22.7-33.0</w:t>
            </w:r>
          </w:p>
        </w:tc>
        <w:tc>
          <w:tcPr>
            <w:tcW w:w="1068" w:type="dxa"/>
            <w:tcBorders>
              <w:top w:val="nil"/>
              <w:left w:val="nil"/>
              <w:bottom w:val="nil"/>
              <w:right w:val="nil"/>
            </w:tcBorders>
          </w:tcPr>
          <w:p w14:paraId="078956ED"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72.00-216.80</w:t>
            </w:r>
          </w:p>
        </w:tc>
        <w:tc>
          <w:tcPr>
            <w:tcW w:w="1248" w:type="dxa"/>
            <w:tcBorders>
              <w:top w:val="nil"/>
              <w:left w:val="nil"/>
              <w:bottom w:val="nil"/>
              <w:right w:val="nil"/>
            </w:tcBorders>
          </w:tcPr>
          <w:p w14:paraId="3AD87C51"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6764-8930</w:t>
            </w:r>
          </w:p>
        </w:tc>
        <w:tc>
          <w:tcPr>
            <w:tcW w:w="1248" w:type="dxa"/>
            <w:tcBorders>
              <w:top w:val="nil"/>
              <w:left w:val="nil"/>
              <w:bottom w:val="nil"/>
              <w:right w:val="nil"/>
            </w:tcBorders>
          </w:tcPr>
          <w:p w14:paraId="1E260E70"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7670-10226</w:t>
            </w:r>
          </w:p>
        </w:tc>
        <w:tc>
          <w:tcPr>
            <w:tcW w:w="876" w:type="dxa"/>
            <w:tcBorders>
              <w:top w:val="nil"/>
              <w:left w:val="nil"/>
              <w:bottom w:val="nil"/>
              <w:right w:val="nil"/>
            </w:tcBorders>
          </w:tcPr>
          <w:p w14:paraId="35049E74"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8.9-12.7</w:t>
            </w:r>
          </w:p>
        </w:tc>
        <w:tc>
          <w:tcPr>
            <w:tcW w:w="744" w:type="dxa"/>
            <w:tcBorders>
              <w:top w:val="nil"/>
              <w:left w:val="nil"/>
              <w:bottom w:val="nil"/>
              <w:right w:val="nil"/>
            </w:tcBorders>
          </w:tcPr>
          <w:p w14:paraId="0D3F91B9"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128-161</w:t>
            </w:r>
          </w:p>
        </w:tc>
        <w:tc>
          <w:tcPr>
            <w:tcW w:w="984" w:type="dxa"/>
            <w:tcBorders>
              <w:top w:val="nil"/>
              <w:left w:val="nil"/>
              <w:bottom w:val="nil"/>
              <w:right w:val="nil"/>
            </w:tcBorders>
          </w:tcPr>
          <w:p w14:paraId="5AC627EB"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0.391-0.521</w:t>
            </w:r>
          </w:p>
        </w:tc>
        <w:tc>
          <w:tcPr>
            <w:tcW w:w="800" w:type="dxa"/>
            <w:tcBorders>
              <w:top w:val="nil"/>
              <w:left w:val="nil"/>
              <w:bottom w:val="nil"/>
              <w:right w:val="nil"/>
            </w:tcBorders>
          </w:tcPr>
          <w:p w14:paraId="7EF647AC"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83.3-105</w:t>
            </w:r>
          </w:p>
        </w:tc>
        <w:tc>
          <w:tcPr>
            <w:tcW w:w="800" w:type="dxa"/>
            <w:tcBorders>
              <w:top w:val="nil"/>
              <w:left w:val="nil"/>
              <w:bottom w:val="nil"/>
              <w:right w:val="nil"/>
            </w:tcBorders>
          </w:tcPr>
          <w:p w14:paraId="49288180"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0.00430-0.00540</w:t>
            </w:r>
          </w:p>
        </w:tc>
      </w:tr>
      <w:tr w:rsidR="003746B5" w:rsidRPr="00BB3B7F" w14:paraId="56033407" w14:textId="77777777" w:rsidTr="000359C7">
        <w:trPr>
          <w:cantSplit/>
        </w:trPr>
        <w:tc>
          <w:tcPr>
            <w:tcW w:w="897" w:type="dxa"/>
            <w:tcBorders>
              <w:top w:val="nil"/>
              <w:left w:val="nil"/>
              <w:bottom w:val="nil"/>
              <w:right w:val="nil"/>
            </w:tcBorders>
          </w:tcPr>
          <w:p w14:paraId="5127678C" w14:textId="77777777" w:rsidR="003746B5" w:rsidRPr="00BB3B7F" w:rsidRDefault="003746B5" w:rsidP="003D685A">
            <w:pPr>
              <w:pStyle w:val="TableText"/>
              <w:keepNext/>
              <w:keepLines/>
              <w:ind w:rightChars="-85" w:right="-187"/>
              <w:rPr>
                <w:color w:val="000000"/>
                <w:szCs w:val="16"/>
              </w:rPr>
            </w:pPr>
            <w:r w:rsidRPr="00BB3B7F">
              <w:rPr>
                <w:color w:val="000000"/>
                <w:szCs w:val="16"/>
              </w:rPr>
              <w:t>8 µg/kg</w:t>
            </w:r>
          </w:p>
        </w:tc>
        <w:tc>
          <w:tcPr>
            <w:tcW w:w="927" w:type="dxa"/>
            <w:tcBorders>
              <w:top w:val="nil"/>
              <w:left w:val="nil"/>
              <w:bottom w:val="nil"/>
              <w:right w:val="nil"/>
            </w:tcBorders>
          </w:tcPr>
          <w:p w14:paraId="6FBC5221"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45.1 (5)</w:t>
            </w:r>
          </w:p>
        </w:tc>
        <w:tc>
          <w:tcPr>
            <w:tcW w:w="1068" w:type="dxa"/>
            <w:tcBorders>
              <w:top w:val="nil"/>
              <w:left w:val="nil"/>
              <w:bottom w:val="nil"/>
              <w:right w:val="nil"/>
            </w:tcBorders>
          </w:tcPr>
          <w:p w14:paraId="26A7A7E3"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72.06</w:t>
            </w:r>
          </w:p>
        </w:tc>
        <w:tc>
          <w:tcPr>
            <w:tcW w:w="1248" w:type="dxa"/>
            <w:tcBorders>
              <w:top w:val="nil"/>
              <w:left w:val="nil"/>
              <w:bottom w:val="nil"/>
              <w:right w:val="nil"/>
            </w:tcBorders>
          </w:tcPr>
          <w:p w14:paraId="08E07886"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16842 (11)</w:t>
            </w:r>
          </w:p>
        </w:tc>
        <w:tc>
          <w:tcPr>
            <w:tcW w:w="1248" w:type="dxa"/>
            <w:tcBorders>
              <w:top w:val="nil"/>
              <w:left w:val="nil"/>
              <w:bottom w:val="nil"/>
              <w:right w:val="nil"/>
            </w:tcBorders>
          </w:tcPr>
          <w:p w14:paraId="267C63FB"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17784 (11)</w:t>
            </w:r>
          </w:p>
        </w:tc>
        <w:tc>
          <w:tcPr>
            <w:tcW w:w="876" w:type="dxa"/>
            <w:tcBorders>
              <w:top w:val="nil"/>
              <w:left w:val="nil"/>
              <w:bottom w:val="nil"/>
              <w:right w:val="nil"/>
            </w:tcBorders>
          </w:tcPr>
          <w:p w14:paraId="0D14499C"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5.1</w:t>
            </w:r>
          </w:p>
        </w:tc>
        <w:tc>
          <w:tcPr>
            <w:tcW w:w="744" w:type="dxa"/>
            <w:tcBorders>
              <w:top w:val="nil"/>
              <w:left w:val="nil"/>
              <w:bottom w:val="nil"/>
              <w:right w:val="nil"/>
            </w:tcBorders>
          </w:tcPr>
          <w:p w14:paraId="5E58ACB4"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147 (19)</w:t>
            </w:r>
          </w:p>
        </w:tc>
        <w:tc>
          <w:tcPr>
            <w:tcW w:w="984" w:type="dxa"/>
            <w:tcBorders>
              <w:top w:val="nil"/>
              <w:left w:val="nil"/>
              <w:bottom w:val="nil"/>
              <w:right w:val="nil"/>
            </w:tcBorders>
          </w:tcPr>
          <w:p w14:paraId="0AE656BA"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0.437</w:t>
            </w:r>
          </w:p>
        </w:tc>
        <w:tc>
          <w:tcPr>
            <w:tcW w:w="800" w:type="dxa"/>
            <w:tcBorders>
              <w:top w:val="nil"/>
              <w:left w:val="nil"/>
              <w:bottom w:val="nil"/>
              <w:right w:val="nil"/>
            </w:tcBorders>
          </w:tcPr>
          <w:p w14:paraId="4199CF2C"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93.0</w:t>
            </w:r>
          </w:p>
        </w:tc>
        <w:tc>
          <w:tcPr>
            <w:tcW w:w="800" w:type="dxa"/>
            <w:tcBorders>
              <w:top w:val="nil"/>
              <w:left w:val="nil"/>
              <w:bottom w:val="nil"/>
              <w:right w:val="nil"/>
            </w:tcBorders>
          </w:tcPr>
          <w:p w14:paraId="44ADAE44"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0.00470</w:t>
            </w:r>
          </w:p>
        </w:tc>
      </w:tr>
      <w:tr w:rsidR="003746B5" w:rsidRPr="00BB3B7F" w14:paraId="25D0FC75" w14:textId="77777777" w:rsidTr="000359C7">
        <w:trPr>
          <w:cantSplit/>
        </w:trPr>
        <w:tc>
          <w:tcPr>
            <w:tcW w:w="897" w:type="dxa"/>
            <w:tcBorders>
              <w:top w:val="nil"/>
              <w:left w:val="nil"/>
              <w:bottom w:val="nil"/>
              <w:right w:val="nil"/>
            </w:tcBorders>
          </w:tcPr>
          <w:p w14:paraId="53EFDBC4" w14:textId="77777777" w:rsidR="003746B5" w:rsidRPr="00BB3B7F" w:rsidRDefault="003746B5" w:rsidP="003D685A">
            <w:pPr>
              <w:pStyle w:val="TableText"/>
              <w:keepNext/>
              <w:keepLines/>
              <w:ind w:rightChars="-85" w:right="-187"/>
              <w:rPr>
                <w:color w:val="000000"/>
                <w:szCs w:val="16"/>
              </w:rPr>
            </w:pPr>
          </w:p>
        </w:tc>
        <w:tc>
          <w:tcPr>
            <w:tcW w:w="927" w:type="dxa"/>
            <w:tcBorders>
              <w:top w:val="nil"/>
              <w:left w:val="nil"/>
              <w:bottom w:val="nil"/>
              <w:right w:val="nil"/>
            </w:tcBorders>
          </w:tcPr>
          <w:p w14:paraId="33CEC545"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42.6-48.6</w:t>
            </w:r>
          </w:p>
        </w:tc>
        <w:tc>
          <w:tcPr>
            <w:tcW w:w="1068" w:type="dxa"/>
            <w:tcBorders>
              <w:top w:val="nil"/>
              <w:left w:val="nil"/>
              <w:bottom w:val="nil"/>
              <w:right w:val="nil"/>
            </w:tcBorders>
          </w:tcPr>
          <w:p w14:paraId="1E72C475"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72.00-144.00</w:t>
            </w:r>
          </w:p>
        </w:tc>
        <w:tc>
          <w:tcPr>
            <w:tcW w:w="1248" w:type="dxa"/>
            <w:tcBorders>
              <w:top w:val="nil"/>
              <w:left w:val="nil"/>
              <w:bottom w:val="nil"/>
              <w:right w:val="nil"/>
            </w:tcBorders>
          </w:tcPr>
          <w:p w14:paraId="33E76E8F"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15060-19502</w:t>
            </w:r>
          </w:p>
        </w:tc>
        <w:tc>
          <w:tcPr>
            <w:tcW w:w="1248" w:type="dxa"/>
            <w:tcBorders>
              <w:top w:val="nil"/>
              <w:left w:val="nil"/>
              <w:bottom w:val="nil"/>
              <w:right w:val="nil"/>
            </w:tcBorders>
          </w:tcPr>
          <w:p w14:paraId="50892450"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15954-20862</w:t>
            </w:r>
          </w:p>
        </w:tc>
        <w:tc>
          <w:tcPr>
            <w:tcW w:w="876" w:type="dxa"/>
            <w:tcBorders>
              <w:top w:val="nil"/>
              <w:left w:val="nil"/>
              <w:bottom w:val="nil"/>
              <w:right w:val="nil"/>
            </w:tcBorders>
          </w:tcPr>
          <w:p w14:paraId="3842EC07"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3.1-6.5</w:t>
            </w:r>
          </w:p>
        </w:tc>
        <w:tc>
          <w:tcPr>
            <w:tcW w:w="744" w:type="dxa"/>
            <w:tcBorders>
              <w:top w:val="nil"/>
              <w:left w:val="nil"/>
              <w:bottom w:val="nil"/>
              <w:right w:val="nil"/>
            </w:tcBorders>
          </w:tcPr>
          <w:p w14:paraId="7A658FA6"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111-189</w:t>
            </w:r>
          </w:p>
        </w:tc>
        <w:tc>
          <w:tcPr>
            <w:tcW w:w="984" w:type="dxa"/>
            <w:tcBorders>
              <w:top w:val="nil"/>
              <w:left w:val="nil"/>
              <w:bottom w:val="nil"/>
              <w:right w:val="nil"/>
            </w:tcBorders>
          </w:tcPr>
          <w:p w14:paraId="2544BB9B"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0.383-0.501</w:t>
            </w:r>
          </w:p>
        </w:tc>
        <w:tc>
          <w:tcPr>
            <w:tcW w:w="800" w:type="dxa"/>
            <w:tcBorders>
              <w:top w:val="nil"/>
              <w:left w:val="nil"/>
              <w:bottom w:val="nil"/>
              <w:right w:val="nil"/>
            </w:tcBorders>
          </w:tcPr>
          <w:p w14:paraId="58DDFD27"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67.6-105</w:t>
            </w:r>
          </w:p>
        </w:tc>
        <w:tc>
          <w:tcPr>
            <w:tcW w:w="800" w:type="dxa"/>
            <w:tcBorders>
              <w:top w:val="nil"/>
              <w:left w:val="nil"/>
              <w:bottom w:val="nil"/>
              <w:right w:val="nil"/>
            </w:tcBorders>
          </w:tcPr>
          <w:p w14:paraId="5745A4D2"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0.00367-0.00622</w:t>
            </w:r>
          </w:p>
        </w:tc>
      </w:tr>
      <w:tr w:rsidR="003746B5" w:rsidRPr="00BB3B7F" w14:paraId="425AFB83" w14:textId="77777777" w:rsidTr="000359C7">
        <w:trPr>
          <w:cantSplit/>
        </w:trPr>
        <w:tc>
          <w:tcPr>
            <w:tcW w:w="897" w:type="dxa"/>
            <w:tcBorders>
              <w:top w:val="nil"/>
              <w:left w:val="nil"/>
              <w:bottom w:val="nil"/>
              <w:right w:val="nil"/>
            </w:tcBorders>
          </w:tcPr>
          <w:p w14:paraId="5D71EB1F" w14:textId="77777777" w:rsidR="003746B5" w:rsidRPr="00BB3B7F" w:rsidRDefault="003746B5" w:rsidP="003D685A">
            <w:pPr>
              <w:pStyle w:val="TableText"/>
              <w:keepNext/>
              <w:keepLines/>
              <w:ind w:rightChars="-85" w:right="-187"/>
              <w:rPr>
                <w:color w:val="000000"/>
                <w:szCs w:val="16"/>
              </w:rPr>
            </w:pPr>
            <w:r w:rsidRPr="00BB3B7F">
              <w:rPr>
                <w:color w:val="000000"/>
                <w:szCs w:val="16"/>
              </w:rPr>
              <w:t>14 µg/kg</w:t>
            </w:r>
          </w:p>
        </w:tc>
        <w:tc>
          <w:tcPr>
            <w:tcW w:w="927" w:type="dxa"/>
            <w:tcBorders>
              <w:top w:val="nil"/>
              <w:left w:val="nil"/>
              <w:bottom w:val="nil"/>
              <w:right w:val="nil"/>
            </w:tcBorders>
          </w:tcPr>
          <w:p w14:paraId="7655DD33"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80.3 (28)</w:t>
            </w:r>
          </w:p>
        </w:tc>
        <w:tc>
          <w:tcPr>
            <w:tcW w:w="1068" w:type="dxa"/>
            <w:tcBorders>
              <w:top w:val="nil"/>
              <w:left w:val="nil"/>
              <w:bottom w:val="nil"/>
              <w:right w:val="nil"/>
            </w:tcBorders>
          </w:tcPr>
          <w:p w14:paraId="5713DEAB"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144.00</w:t>
            </w:r>
          </w:p>
        </w:tc>
        <w:tc>
          <w:tcPr>
            <w:tcW w:w="1248" w:type="dxa"/>
            <w:tcBorders>
              <w:top w:val="nil"/>
              <w:left w:val="nil"/>
              <w:bottom w:val="nil"/>
              <w:right w:val="nil"/>
            </w:tcBorders>
          </w:tcPr>
          <w:p w14:paraId="30522AC0"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27574 (12)</w:t>
            </w:r>
          </w:p>
        </w:tc>
        <w:tc>
          <w:tcPr>
            <w:tcW w:w="1248" w:type="dxa"/>
            <w:tcBorders>
              <w:top w:val="nil"/>
              <w:left w:val="nil"/>
              <w:bottom w:val="nil"/>
              <w:right w:val="nil"/>
            </w:tcBorders>
          </w:tcPr>
          <w:p w14:paraId="5B3EDF6A"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28781 (12)</w:t>
            </w:r>
          </w:p>
        </w:tc>
        <w:tc>
          <w:tcPr>
            <w:tcW w:w="876" w:type="dxa"/>
            <w:tcBorders>
              <w:top w:val="nil"/>
              <w:left w:val="nil"/>
              <w:bottom w:val="nil"/>
              <w:right w:val="nil"/>
            </w:tcBorders>
          </w:tcPr>
          <w:p w14:paraId="160DD348"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4.0</w:t>
            </w:r>
          </w:p>
        </w:tc>
        <w:tc>
          <w:tcPr>
            <w:tcW w:w="744" w:type="dxa"/>
            <w:tcBorders>
              <w:top w:val="nil"/>
              <w:left w:val="nil"/>
              <w:bottom w:val="nil"/>
              <w:right w:val="nil"/>
            </w:tcBorders>
          </w:tcPr>
          <w:p w14:paraId="2B6F289B"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135 (8)</w:t>
            </w:r>
          </w:p>
        </w:tc>
        <w:tc>
          <w:tcPr>
            <w:tcW w:w="984" w:type="dxa"/>
            <w:tcBorders>
              <w:top w:val="nil"/>
              <w:left w:val="nil"/>
              <w:bottom w:val="nil"/>
              <w:right w:val="nil"/>
            </w:tcBorders>
          </w:tcPr>
          <w:p w14:paraId="627585AB"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0.486</w:t>
            </w:r>
          </w:p>
        </w:tc>
        <w:tc>
          <w:tcPr>
            <w:tcW w:w="800" w:type="dxa"/>
            <w:tcBorders>
              <w:top w:val="nil"/>
              <w:left w:val="nil"/>
              <w:bottom w:val="nil"/>
              <w:right w:val="nil"/>
            </w:tcBorders>
          </w:tcPr>
          <w:p w14:paraId="5195D646"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94.9</w:t>
            </w:r>
          </w:p>
        </w:tc>
        <w:tc>
          <w:tcPr>
            <w:tcW w:w="800" w:type="dxa"/>
            <w:tcBorders>
              <w:top w:val="nil"/>
              <w:left w:val="nil"/>
              <w:bottom w:val="nil"/>
              <w:right w:val="nil"/>
            </w:tcBorders>
          </w:tcPr>
          <w:p w14:paraId="7C4A1D82"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0.00513</w:t>
            </w:r>
          </w:p>
        </w:tc>
      </w:tr>
      <w:tr w:rsidR="003746B5" w:rsidRPr="00BB3B7F" w14:paraId="34372EA4" w14:textId="77777777" w:rsidTr="000359C7">
        <w:trPr>
          <w:cantSplit/>
        </w:trPr>
        <w:tc>
          <w:tcPr>
            <w:tcW w:w="897" w:type="dxa"/>
            <w:tcBorders>
              <w:top w:val="nil"/>
              <w:left w:val="nil"/>
              <w:bottom w:val="nil"/>
              <w:right w:val="nil"/>
            </w:tcBorders>
          </w:tcPr>
          <w:p w14:paraId="376FB106" w14:textId="77777777" w:rsidR="003746B5" w:rsidRPr="00BB3B7F" w:rsidRDefault="003746B5" w:rsidP="003D685A">
            <w:pPr>
              <w:pStyle w:val="TableText"/>
              <w:keepNext/>
              <w:keepLines/>
              <w:ind w:rightChars="-85" w:right="-187"/>
              <w:rPr>
                <w:color w:val="000000"/>
                <w:szCs w:val="16"/>
              </w:rPr>
            </w:pPr>
          </w:p>
        </w:tc>
        <w:tc>
          <w:tcPr>
            <w:tcW w:w="927" w:type="dxa"/>
            <w:tcBorders>
              <w:top w:val="nil"/>
              <w:left w:val="nil"/>
              <w:bottom w:val="nil"/>
              <w:right w:val="nil"/>
            </w:tcBorders>
          </w:tcPr>
          <w:p w14:paraId="52E70440"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56.1-120</w:t>
            </w:r>
          </w:p>
        </w:tc>
        <w:tc>
          <w:tcPr>
            <w:tcW w:w="1068" w:type="dxa"/>
            <w:tcBorders>
              <w:top w:val="nil"/>
              <w:left w:val="nil"/>
              <w:bottom w:val="nil"/>
              <w:right w:val="nil"/>
            </w:tcBorders>
          </w:tcPr>
          <w:p w14:paraId="039AF9A0"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72.00-216.76</w:t>
            </w:r>
          </w:p>
        </w:tc>
        <w:tc>
          <w:tcPr>
            <w:tcW w:w="1248" w:type="dxa"/>
            <w:tcBorders>
              <w:top w:val="nil"/>
              <w:left w:val="nil"/>
              <w:bottom w:val="nil"/>
              <w:right w:val="nil"/>
            </w:tcBorders>
          </w:tcPr>
          <w:p w14:paraId="6B671197"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23603-31870</w:t>
            </w:r>
          </w:p>
        </w:tc>
        <w:tc>
          <w:tcPr>
            <w:tcW w:w="1248" w:type="dxa"/>
            <w:tcBorders>
              <w:top w:val="nil"/>
              <w:left w:val="nil"/>
              <w:bottom w:val="nil"/>
              <w:right w:val="nil"/>
            </w:tcBorders>
          </w:tcPr>
          <w:p w14:paraId="6C1ABCF9"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24687-33399</w:t>
            </w:r>
          </w:p>
        </w:tc>
        <w:tc>
          <w:tcPr>
            <w:tcW w:w="876" w:type="dxa"/>
            <w:tcBorders>
              <w:top w:val="nil"/>
              <w:left w:val="nil"/>
              <w:bottom w:val="nil"/>
              <w:right w:val="nil"/>
            </w:tcBorders>
          </w:tcPr>
          <w:p w14:paraId="58D084AE"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2.2-5.6</w:t>
            </w:r>
          </w:p>
        </w:tc>
        <w:tc>
          <w:tcPr>
            <w:tcW w:w="744" w:type="dxa"/>
            <w:tcBorders>
              <w:top w:val="nil"/>
              <w:left w:val="nil"/>
              <w:bottom w:val="nil"/>
              <w:right w:val="nil"/>
            </w:tcBorders>
          </w:tcPr>
          <w:p w14:paraId="527EFA86"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123-154</w:t>
            </w:r>
          </w:p>
        </w:tc>
        <w:tc>
          <w:tcPr>
            <w:tcW w:w="984" w:type="dxa"/>
            <w:tcBorders>
              <w:top w:val="nil"/>
              <w:left w:val="nil"/>
              <w:bottom w:val="nil"/>
              <w:right w:val="nil"/>
            </w:tcBorders>
          </w:tcPr>
          <w:p w14:paraId="6C5DD56C"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0.419-0.567</w:t>
            </w:r>
          </w:p>
        </w:tc>
        <w:tc>
          <w:tcPr>
            <w:tcW w:w="800" w:type="dxa"/>
            <w:tcBorders>
              <w:top w:val="nil"/>
              <w:left w:val="nil"/>
              <w:bottom w:val="nil"/>
              <w:right w:val="nil"/>
            </w:tcBorders>
          </w:tcPr>
          <w:p w14:paraId="66D17BE7"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82.0-126</w:t>
            </w:r>
          </w:p>
        </w:tc>
        <w:tc>
          <w:tcPr>
            <w:tcW w:w="800" w:type="dxa"/>
            <w:tcBorders>
              <w:top w:val="nil"/>
              <w:left w:val="nil"/>
              <w:bottom w:val="nil"/>
              <w:right w:val="nil"/>
            </w:tcBorders>
          </w:tcPr>
          <w:p w14:paraId="0D8B4DDF"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0.00451-0.00565</w:t>
            </w:r>
          </w:p>
        </w:tc>
      </w:tr>
      <w:tr w:rsidR="003746B5" w:rsidRPr="00BB3B7F" w14:paraId="6D3CDD7E" w14:textId="77777777" w:rsidTr="000359C7">
        <w:trPr>
          <w:cantSplit/>
        </w:trPr>
        <w:tc>
          <w:tcPr>
            <w:tcW w:w="897" w:type="dxa"/>
            <w:tcBorders>
              <w:top w:val="nil"/>
              <w:left w:val="nil"/>
              <w:bottom w:val="nil"/>
              <w:right w:val="nil"/>
            </w:tcBorders>
          </w:tcPr>
          <w:p w14:paraId="4405201F" w14:textId="77777777" w:rsidR="003746B5" w:rsidRPr="00BB3B7F" w:rsidRDefault="003746B5" w:rsidP="003D685A">
            <w:pPr>
              <w:pStyle w:val="TableText"/>
              <w:keepNext/>
              <w:keepLines/>
              <w:ind w:rightChars="-85" w:right="-187"/>
              <w:rPr>
                <w:color w:val="000000"/>
                <w:szCs w:val="16"/>
              </w:rPr>
            </w:pPr>
            <w:r w:rsidRPr="00BB3B7F">
              <w:rPr>
                <w:color w:val="000000"/>
                <w:szCs w:val="16"/>
              </w:rPr>
              <w:t>20 µg/kg</w:t>
            </w:r>
          </w:p>
        </w:tc>
        <w:tc>
          <w:tcPr>
            <w:tcW w:w="927" w:type="dxa"/>
            <w:tcBorders>
              <w:top w:val="nil"/>
              <w:left w:val="nil"/>
              <w:bottom w:val="nil"/>
              <w:right w:val="nil"/>
            </w:tcBorders>
          </w:tcPr>
          <w:p w14:paraId="13AE173C"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102 (6)</w:t>
            </w:r>
          </w:p>
        </w:tc>
        <w:tc>
          <w:tcPr>
            <w:tcW w:w="1068" w:type="dxa"/>
            <w:tcBorders>
              <w:top w:val="nil"/>
              <w:left w:val="nil"/>
              <w:bottom w:val="nil"/>
              <w:right w:val="nil"/>
            </w:tcBorders>
          </w:tcPr>
          <w:p w14:paraId="18BE27B3"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144.00</w:t>
            </w:r>
          </w:p>
        </w:tc>
        <w:tc>
          <w:tcPr>
            <w:tcW w:w="1248" w:type="dxa"/>
            <w:tcBorders>
              <w:top w:val="nil"/>
              <w:left w:val="nil"/>
              <w:bottom w:val="nil"/>
              <w:right w:val="nil"/>
            </w:tcBorders>
          </w:tcPr>
          <w:p w14:paraId="5205BBC4"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40149 (10)</w:t>
            </w:r>
          </w:p>
        </w:tc>
        <w:tc>
          <w:tcPr>
            <w:tcW w:w="1248" w:type="dxa"/>
            <w:tcBorders>
              <w:top w:val="nil"/>
              <w:left w:val="nil"/>
              <w:bottom w:val="nil"/>
              <w:right w:val="nil"/>
            </w:tcBorders>
          </w:tcPr>
          <w:p w14:paraId="410141D1"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41391 (10)</w:t>
            </w:r>
          </w:p>
        </w:tc>
        <w:tc>
          <w:tcPr>
            <w:tcW w:w="876" w:type="dxa"/>
            <w:tcBorders>
              <w:top w:val="nil"/>
              <w:left w:val="nil"/>
              <w:bottom w:val="nil"/>
              <w:right w:val="nil"/>
            </w:tcBorders>
          </w:tcPr>
          <w:p w14:paraId="6846D32D"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2.9</w:t>
            </w:r>
          </w:p>
        </w:tc>
        <w:tc>
          <w:tcPr>
            <w:tcW w:w="744" w:type="dxa"/>
            <w:tcBorders>
              <w:top w:val="nil"/>
              <w:left w:val="nil"/>
              <w:bottom w:val="nil"/>
              <w:right w:val="nil"/>
            </w:tcBorders>
          </w:tcPr>
          <w:p w14:paraId="002066E7"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147 (6)</w:t>
            </w:r>
          </w:p>
        </w:tc>
        <w:tc>
          <w:tcPr>
            <w:tcW w:w="984" w:type="dxa"/>
            <w:tcBorders>
              <w:top w:val="nil"/>
              <w:left w:val="nil"/>
              <w:bottom w:val="nil"/>
              <w:right w:val="nil"/>
            </w:tcBorders>
          </w:tcPr>
          <w:p w14:paraId="76186190"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0.476</w:t>
            </w:r>
          </w:p>
        </w:tc>
        <w:tc>
          <w:tcPr>
            <w:tcW w:w="800" w:type="dxa"/>
            <w:tcBorders>
              <w:top w:val="nil"/>
              <w:left w:val="nil"/>
              <w:bottom w:val="nil"/>
              <w:right w:val="nil"/>
            </w:tcBorders>
          </w:tcPr>
          <w:p w14:paraId="2063D39E"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101</w:t>
            </w:r>
          </w:p>
        </w:tc>
        <w:tc>
          <w:tcPr>
            <w:tcW w:w="800" w:type="dxa"/>
            <w:tcBorders>
              <w:top w:val="nil"/>
              <w:left w:val="nil"/>
              <w:bottom w:val="nil"/>
              <w:right w:val="nil"/>
            </w:tcBorders>
          </w:tcPr>
          <w:p w14:paraId="30BA1177"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0.00471</w:t>
            </w:r>
          </w:p>
        </w:tc>
      </w:tr>
      <w:tr w:rsidR="003746B5" w:rsidRPr="00BB3B7F" w14:paraId="7C277083" w14:textId="77777777" w:rsidTr="000359C7">
        <w:trPr>
          <w:cantSplit/>
        </w:trPr>
        <w:tc>
          <w:tcPr>
            <w:tcW w:w="897" w:type="dxa"/>
            <w:tcBorders>
              <w:top w:val="nil"/>
              <w:left w:val="nil"/>
              <w:bottom w:val="nil"/>
              <w:right w:val="nil"/>
            </w:tcBorders>
          </w:tcPr>
          <w:p w14:paraId="530A0DC1" w14:textId="77777777" w:rsidR="003746B5" w:rsidRPr="00BB3B7F" w:rsidRDefault="003746B5" w:rsidP="003D685A">
            <w:pPr>
              <w:pStyle w:val="TableText"/>
              <w:keepNext/>
              <w:keepLines/>
              <w:ind w:rightChars="-85" w:right="-187"/>
              <w:rPr>
                <w:color w:val="000000"/>
                <w:szCs w:val="16"/>
              </w:rPr>
            </w:pPr>
          </w:p>
        </w:tc>
        <w:tc>
          <w:tcPr>
            <w:tcW w:w="927" w:type="dxa"/>
            <w:tcBorders>
              <w:top w:val="nil"/>
              <w:left w:val="nil"/>
              <w:bottom w:val="nil"/>
              <w:right w:val="nil"/>
            </w:tcBorders>
          </w:tcPr>
          <w:p w14:paraId="43BE7D01"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96.0-111</w:t>
            </w:r>
          </w:p>
        </w:tc>
        <w:tc>
          <w:tcPr>
            <w:tcW w:w="1068" w:type="dxa"/>
            <w:tcBorders>
              <w:top w:val="nil"/>
              <w:left w:val="nil"/>
              <w:bottom w:val="nil"/>
              <w:right w:val="nil"/>
            </w:tcBorders>
          </w:tcPr>
          <w:p w14:paraId="7DCE6BAC"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72.00-216.78</w:t>
            </w:r>
          </w:p>
        </w:tc>
        <w:tc>
          <w:tcPr>
            <w:tcW w:w="1248" w:type="dxa"/>
            <w:tcBorders>
              <w:top w:val="nil"/>
              <w:left w:val="nil"/>
              <w:bottom w:val="nil"/>
              <w:right w:val="nil"/>
            </w:tcBorders>
          </w:tcPr>
          <w:p w14:paraId="73059D4B"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35724-45428</w:t>
            </w:r>
          </w:p>
        </w:tc>
        <w:tc>
          <w:tcPr>
            <w:tcW w:w="1248" w:type="dxa"/>
            <w:tcBorders>
              <w:top w:val="nil"/>
              <w:left w:val="nil"/>
              <w:bottom w:val="nil"/>
              <w:right w:val="nil"/>
            </w:tcBorders>
          </w:tcPr>
          <w:p w14:paraId="3970312B"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36573-46401</w:t>
            </w:r>
          </w:p>
        </w:tc>
        <w:tc>
          <w:tcPr>
            <w:tcW w:w="876" w:type="dxa"/>
            <w:tcBorders>
              <w:top w:val="nil"/>
              <w:left w:val="nil"/>
              <w:bottom w:val="nil"/>
              <w:right w:val="nil"/>
            </w:tcBorders>
          </w:tcPr>
          <w:p w14:paraId="201B2041"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2.1-4.5</w:t>
            </w:r>
          </w:p>
        </w:tc>
        <w:tc>
          <w:tcPr>
            <w:tcW w:w="744" w:type="dxa"/>
            <w:tcBorders>
              <w:top w:val="nil"/>
              <w:left w:val="nil"/>
              <w:bottom w:val="nil"/>
              <w:right w:val="nil"/>
            </w:tcBorders>
          </w:tcPr>
          <w:p w14:paraId="4BB12B17"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134-155</w:t>
            </w:r>
          </w:p>
        </w:tc>
        <w:tc>
          <w:tcPr>
            <w:tcW w:w="984" w:type="dxa"/>
            <w:tcBorders>
              <w:top w:val="nil"/>
              <w:left w:val="nil"/>
              <w:bottom w:val="nil"/>
              <w:right w:val="nil"/>
            </w:tcBorders>
          </w:tcPr>
          <w:p w14:paraId="66CEE426"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0.431-0.516</w:t>
            </w:r>
          </w:p>
        </w:tc>
        <w:tc>
          <w:tcPr>
            <w:tcW w:w="800" w:type="dxa"/>
            <w:tcBorders>
              <w:top w:val="nil"/>
              <w:left w:val="nil"/>
              <w:bottom w:val="nil"/>
              <w:right w:val="nil"/>
            </w:tcBorders>
          </w:tcPr>
          <w:p w14:paraId="2A137AFF"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90.1-113</w:t>
            </w:r>
          </w:p>
        </w:tc>
        <w:tc>
          <w:tcPr>
            <w:tcW w:w="800" w:type="dxa"/>
            <w:tcBorders>
              <w:top w:val="nil"/>
              <w:left w:val="nil"/>
              <w:bottom w:val="nil"/>
              <w:right w:val="nil"/>
            </w:tcBorders>
          </w:tcPr>
          <w:p w14:paraId="48623F69"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0.00446-0.00519</w:t>
            </w:r>
          </w:p>
        </w:tc>
      </w:tr>
      <w:tr w:rsidR="003746B5" w:rsidRPr="00BB3B7F" w14:paraId="14E0EB66" w14:textId="77777777" w:rsidTr="000359C7">
        <w:trPr>
          <w:cantSplit/>
        </w:trPr>
        <w:tc>
          <w:tcPr>
            <w:tcW w:w="897" w:type="dxa"/>
            <w:tcBorders>
              <w:top w:val="nil"/>
              <w:left w:val="nil"/>
              <w:bottom w:val="nil"/>
              <w:right w:val="nil"/>
            </w:tcBorders>
          </w:tcPr>
          <w:p w14:paraId="10145BD6" w14:textId="77777777" w:rsidR="003746B5" w:rsidRPr="00BB3B7F" w:rsidRDefault="003746B5" w:rsidP="003D685A">
            <w:pPr>
              <w:pStyle w:val="TableText"/>
              <w:keepNext/>
              <w:keepLines/>
              <w:ind w:rightChars="-85" w:right="-187"/>
              <w:rPr>
                <w:color w:val="000000"/>
                <w:szCs w:val="16"/>
              </w:rPr>
            </w:pPr>
            <w:r w:rsidRPr="00BB3B7F">
              <w:rPr>
                <w:color w:val="000000"/>
                <w:szCs w:val="16"/>
              </w:rPr>
              <w:lastRenderedPageBreak/>
              <w:t>40 µg/kg</w:t>
            </w:r>
          </w:p>
        </w:tc>
        <w:tc>
          <w:tcPr>
            <w:tcW w:w="927" w:type="dxa"/>
            <w:tcBorders>
              <w:top w:val="nil"/>
              <w:left w:val="nil"/>
              <w:bottom w:val="nil"/>
              <w:right w:val="nil"/>
            </w:tcBorders>
          </w:tcPr>
          <w:p w14:paraId="7813D929"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202 (14)</w:t>
            </w:r>
          </w:p>
        </w:tc>
        <w:tc>
          <w:tcPr>
            <w:tcW w:w="1068" w:type="dxa"/>
            <w:tcBorders>
              <w:top w:val="nil"/>
              <w:left w:val="nil"/>
              <w:bottom w:val="nil"/>
              <w:right w:val="nil"/>
            </w:tcBorders>
          </w:tcPr>
          <w:p w14:paraId="2C7EF17B"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144.00</w:t>
            </w:r>
          </w:p>
        </w:tc>
        <w:tc>
          <w:tcPr>
            <w:tcW w:w="1248" w:type="dxa"/>
            <w:tcBorders>
              <w:top w:val="nil"/>
              <w:left w:val="nil"/>
              <w:bottom w:val="nil"/>
              <w:right w:val="nil"/>
            </w:tcBorders>
          </w:tcPr>
          <w:p w14:paraId="1D02D1A1"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78430 (13)</w:t>
            </w:r>
          </w:p>
        </w:tc>
        <w:tc>
          <w:tcPr>
            <w:tcW w:w="1248" w:type="dxa"/>
            <w:tcBorders>
              <w:top w:val="nil"/>
              <w:left w:val="nil"/>
              <w:bottom w:val="nil"/>
              <w:right w:val="nil"/>
            </w:tcBorders>
          </w:tcPr>
          <w:p w14:paraId="1030CE14"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79233 (13)</w:t>
            </w:r>
          </w:p>
        </w:tc>
        <w:tc>
          <w:tcPr>
            <w:tcW w:w="876" w:type="dxa"/>
            <w:tcBorders>
              <w:top w:val="nil"/>
              <w:left w:val="nil"/>
              <w:bottom w:val="nil"/>
              <w:right w:val="nil"/>
            </w:tcBorders>
          </w:tcPr>
          <w:p w14:paraId="3B5E9EC5"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1.0</w:t>
            </w:r>
          </w:p>
        </w:tc>
        <w:tc>
          <w:tcPr>
            <w:tcW w:w="744" w:type="dxa"/>
            <w:tcBorders>
              <w:top w:val="nil"/>
              <w:left w:val="nil"/>
              <w:bottom w:val="nil"/>
              <w:right w:val="nil"/>
            </w:tcBorders>
          </w:tcPr>
          <w:p w14:paraId="37FDCCAD"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141 (10)</w:t>
            </w:r>
          </w:p>
        </w:tc>
        <w:tc>
          <w:tcPr>
            <w:tcW w:w="984" w:type="dxa"/>
            <w:tcBorders>
              <w:top w:val="nil"/>
              <w:left w:val="nil"/>
              <w:bottom w:val="nil"/>
              <w:right w:val="nil"/>
            </w:tcBorders>
          </w:tcPr>
          <w:p w14:paraId="1EA1CBE9"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0.505</w:t>
            </w:r>
          </w:p>
        </w:tc>
        <w:tc>
          <w:tcPr>
            <w:tcW w:w="800" w:type="dxa"/>
            <w:tcBorders>
              <w:top w:val="nil"/>
              <w:left w:val="nil"/>
              <w:bottom w:val="nil"/>
              <w:right w:val="nil"/>
            </w:tcBorders>
          </w:tcPr>
          <w:p w14:paraId="401872ED"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102</w:t>
            </w:r>
          </w:p>
        </w:tc>
        <w:tc>
          <w:tcPr>
            <w:tcW w:w="800" w:type="dxa"/>
            <w:tcBorders>
              <w:top w:val="nil"/>
              <w:left w:val="nil"/>
              <w:bottom w:val="nil"/>
              <w:right w:val="nil"/>
            </w:tcBorders>
          </w:tcPr>
          <w:p w14:paraId="04FDBA4E"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0.00493</w:t>
            </w:r>
          </w:p>
        </w:tc>
      </w:tr>
      <w:tr w:rsidR="003746B5" w:rsidRPr="00BB3B7F" w14:paraId="6F0065D4" w14:textId="77777777" w:rsidTr="000359C7">
        <w:trPr>
          <w:cantSplit/>
        </w:trPr>
        <w:tc>
          <w:tcPr>
            <w:tcW w:w="897" w:type="dxa"/>
            <w:tcBorders>
              <w:top w:val="nil"/>
              <w:left w:val="nil"/>
              <w:bottom w:val="nil"/>
              <w:right w:val="nil"/>
            </w:tcBorders>
          </w:tcPr>
          <w:p w14:paraId="13B37037" w14:textId="77777777" w:rsidR="003746B5" w:rsidRPr="00BB3B7F" w:rsidRDefault="003746B5" w:rsidP="003D685A">
            <w:pPr>
              <w:pStyle w:val="TableText"/>
              <w:keepNext/>
              <w:keepLines/>
              <w:ind w:rightChars="-85" w:right="-187"/>
              <w:rPr>
                <w:color w:val="000000"/>
                <w:szCs w:val="16"/>
              </w:rPr>
            </w:pPr>
          </w:p>
        </w:tc>
        <w:tc>
          <w:tcPr>
            <w:tcW w:w="927" w:type="dxa"/>
            <w:tcBorders>
              <w:top w:val="nil"/>
              <w:left w:val="nil"/>
              <w:bottom w:val="nil"/>
              <w:right w:val="nil"/>
            </w:tcBorders>
          </w:tcPr>
          <w:p w14:paraId="65E49E62"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176-234</w:t>
            </w:r>
          </w:p>
        </w:tc>
        <w:tc>
          <w:tcPr>
            <w:tcW w:w="1068" w:type="dxa"/>
            <w:tcBorders>
              <w:top w:val="nil"/>
              <w:left w:val="nil"/>
              <w:bottom w:val="nil"/>
              <w:right w:val="nil"/>
            </w:tcBorders>
          </w:tcPr>
          <w:p w14:paraId="0E9CFC7B"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72.00-216.78</w:t>
            </w:r>
          </w:p>
        </w:tc>
        <w:tc>
          <w:tcPr>
            <w:tcW w:w="1248" w:type="dxa"/>
            <w:tcBorders>
              <w:top w:val="nil"/>
              <w:left w:val="nil"/>
              <w:bottom w:val="nil"/>
              <w:right w:val="nil"/>
            </w:tcBorders>
          </w:tcPr>
          <w:p w14:paraId="378EBD39"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64768-92310</w:t>
            </w:r>
          </w:p>
        </w:tc>
        <w:tc>
          <w:tcPr>
            <w:tcW w:w="1248" w:type="dxa"/>
            <w:tcBorders>
              <w:top w:val="nil"/>
              <w:left w:val="nil"/>
              <w:bottom w:val="nil"/>
              <w:right w:val="nil"/>
            </w:tcBorders>
          </w:tcPr>
          <w:p w14:paraId="79FDF292"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65374-93110</w:t>
            </w:r>
          </w:p>
        </w:tc>
        <w:tc>
          <w:tcPr>
            <w:tcW w:w="876" w:type="dxa"/>
            <w:tcBorders>
              <w:top w:val="nil"/>
              <w:left w:val="nil"/>
              <w:bottom w:val="nil"/>
              <w:right w:val="nil"/>
            </w:tcBorders>
          </w:tcPr>
          <w:p w14:paraId="1E4FB417"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0.8-1.3</w:t>
            </w:r>
          </w:p>
        </w:tc>
        <w:tc>
          <w:tcPr>
            <w:tcW w:w="744" w:type="dxa"/>
            <w:tcBorders>
              <w:top w:val="nil"/>
              <w:left w:val="nil"/>
              <w:bottom w:val="nil"/>
              <w:right w:val="nil"/>
            </w:tcBorders>
          </w:tcPr>
          <w:p w14:paraId="72BCA34E"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127-161</w:t>
            </w:r>
          </w:p>
        </w:tc>
        <w:tc>
          <w:tcPr>
            <w:tcW w:w="984" w:type="dxa"/>
            <w:tcBorders>
              <w:top w:val="nil"/>
              <w:left w:val="nil"/>
              <w:bottom w:val="nil"/>
              <w:right w:val="nil"/>
            </w:tcBorders>
          </w:tcPr>
          <w:p w14:paraId="49D1D614"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0.430-0.612</w:t>
            </w:r>
          </w:p>
        </w:tc>
        <w:tc>
          <w:tcPr>
            <w:tcW w:w="800" w:type="dxa"/>
            <w:tcBorders>
              <w:top w:val="nil"/>
              <w:left w:val="nil"/>
              <w:bottom w:val="nil"/>
              <w:right w:val="nil"/>
            </w:tcBorders>
          </w:tcPr>
          <w:p w14:paraId="120EA917"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93.1-113</w:t>
            </w:r>
          </w:p>
        </w:tc>
        <w:tc>
          <w:tcPr>
            <w:tcW w:w="800" w:type="dxa"/>
            <w:tcBorders>
              <w:top w:val="nil"/>
              <w:left w:val="nil"/>
              <w:bottom w:val="nil"/>
              <w:right w:val="nil"/>
            </w:tcBorders>
          </w:tcPr>
          <w:p w14:paraId="57799971"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0.00429-0.00544</w:t>
            </w:r>
          </w:p>
        </w:tc>
      </w:tr>
      <w:tr w:rsidR="003746B5" w:rsidRPr="00BB3B7F" w14:paraId="77D8FDE7" w14:textId="77777777" w:rsidTr="000359C7">
        <w:trPr>
          <w:cantSplit/>
        </w:trPr>
        <w:tc>
          <w:tcPr>
            <w:tcW w:w="897" w:type="dxa"/>
            <w:tcBorders>
              <w:top w:val="nil"/>
              <w:left w:val="nil"/>
              <w:bottom w:val="nil"/>
              <w:right w:val="nil"/>
            </w:tcBorders>
          </w:tcPr>
          <w:p w14:paraId="7D4F77CA" w14:textId="77777777" w:rsidR="003746B5" w:rsidRPr="00BB3B7F" w:rsidRDefault="003746B5" w:rsidP="003D685A">
            <w:pPr>
              <w:pStyle w:val="TableText"/>
              <w:keepNext/>
              <w:keepLines/>
              <w:ind w:rightChars="-85" w:right="-187"/>
              <w:rPr>
                <w:color w:val="000000"/>
                <w:szCs w:val="16"/>
              </w:rPr>
            </w:pPr>
            <w:r w:rsidRPr="00BB3B7F">
              <w:rPr>
                <w:color w:val="000000"/>
                <w:szCs w:val="16"/>
              </w:rPr>
              <w:t>60 µg/kg</w:t>
            </w:r>
          </w:p>
        </w:tc>
        <w:tc>
          <w:tcPr>
            <w:tcW w:w="927" w:type="dxa"/>
            <w:tcBorders>
              <w:top w:val="nil"/>
              <w:left w:val="nil"/>
              <w:bottom w:val="nil"/>
              <w:right w:val="nil"/>
            </w:tcBorders>
          </w:tcPr>
          <w:p w14:paraId="6CB3714C"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349 (13)</w:t>
            </w:r>
          </w:p>
        </w:tc>
        <w:tc>
          <w:tcPr>
            <w:tcW w:w="1068" w:type="dxa"/>
            <w:tcBorders>
              <w:top w:val="nil"/>
              <w:left w:val="nil"/>
              <w:bottom w:val="nil"/>
              <w:right w:val="nil"/>
            </w:tcBorders>
          </w:tcPr>
          <w:p w14:paraId="3B0E669F"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72.00</w:t>
            </w:r>
          </w:p>
        </w:tc>
        <w:tc>
          <w:tcPr>
            <w:tcW w:w="1248" w:type="dxa"/>
            <w:tcBorders>
              <w:top w:val="nil"/>
              <w:left w:val="nil"/>
              <w:bottom w:val="nil"/>
              <w:right w:val="nil"/>
            </w:tcBorders>
          </w:tcPr>
          <w:p w14:paraId="3283BEE6"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129672 (6)</w:t>
            </w:r>
          </w:p>
        </w:tc>
        <w:tc>
          <w:tcPr>
            <w:tcW w:w="1248" w:type="dxa"/>
            <w:tcBorders>
              <w:top w:val="nil"/>
              <w:left w:val="nil"/>
              <w:bottom w:val="nil"/>
              <w:right w:val="nil"/>
            </w:tcBorders>
          </w:tcPr>
          <w:p w14:paraId="033F4EEE"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130793 (6)</w:t>
            </w:r>
          </w:p>
        </w:tc>
        <w:tc>
          <w:tcPr>
            <w:tcW w:w="876" w:type="dxa"/>
            <w:tcBorders>
              <w:top w:val="nil"/>
              <w:left w:val="nil"/>
              <w:bottom w:val="nil"/>
              <w:right w:val="nil"/>
            </w:tcBorders>
          </w:tcPr>
          <w:p w14:paraId="2EC3BDFA"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0.8</w:t>
            </w:r>
          </w:p>
        </w:tc>
        <w:tc>
          <w:tcPr>
            <w:tcW w:w="744" w:type="dxa"/>
            <w:tcBorders>
              <w:top w:val="nil"/>
              <w:left w:val="nil"/>
              <w:bottom w:val="nil"/>
              <w:right w:val="nil"/>
            </w:tcBorders>
          </w:tcPr>
          <w:p w14:paraId="265BFE89"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154 (9)</w:t>
            </w:r>
          </w:p>
        </w:tc>
        <w:tc>
          <w:tcPr>
            <w:tcW w:w="984" w:type="dxa"/>
            <w:tcBorders>
              <w:top w:val="nil"/>
              <w:left w:val="nil"/>
              <w:bottom w:val="nil"/>
              <w:right w:val="nil"/>
            </w:tcBorders>
          </w:tcPr>
          <w:p w14:paraId="324088AA"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0.459</w:t>
            </w:r>
          </w:p>
        </w:tc>
        <w:tc>
          <w:tcPr>
            <w:tcW w:w="800" w:type="dxa"/>
            <w:tcBorders>
              <w:top w:val="nil"/>
              <w:left w:val="nil"/>
              <w:bottom w:val="nil"/>
              <w:right w:val="nil"/>
            </w:tcBorders>
          </w:tcPr>
          <w:p w14:paraId="70C7B2C1"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102</w:t>
            </w:r>
          </w:p>
        </w:tc>
        <w:tc>
          <w:tcPr>
            <w:tcW w:w="800" w:type="dxa"/>
            <w:tcBorders>
              <w:top w:val="nil"/>
              <w:left w:val="nil"/>
              <w:bottom w:val="nil"/>
              <w:right w:val="nil"/>
            </w:tcBorders>
          </w:tcPr>
          <w:p w14:paraId="38217D84"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0.00450</w:t>
            </w:r>
          </w:p>
        </w:tc>
      </w:tr>
      <w:tr w:rsidR="003746B5" w:rsidRPr="00BB3B7F" w14:paraId="7061E4B4" w14:textId="77777777" w:rsidTr="000359C7">
        <w:trPr>
          <w:cantSplit/>
        </w:trPr>
        <w:tc>
          <w:tcPr>
            <w:tcW w:w="897" w:type="dxa"/>
            <w:tcBorders>
              <w:top w:val="nil"/>
              <w:left w:val="nil"/>
              <w:bottom w:val="nil"/>
              <w:right w:val="nil"/>
            </w:tcBorders>
          </w:tcPr>
          <w:p w14:paraId="5A9175A9" w14:textId="77777777" w:rsidR="003746B5" w:rsidRPr="00BB3B7F" w:rsidRDefault="003746B5" w:rsidP="003D685A">
            <w:pPr>
              <w:pStyle w:val="TableText"/>
              <w:keepNext/>
              <w:keepLines/>
              <w:ind w:rightChars="-85" w:right="-187"/>
              <w:rPr>
                <w:color w:val="000000"/>
                <w:szCs w:val="16"/>
              </w:rPr>
            </w:pPr>
          </w:p>
        </w:tc>
        <w:tc>
          <w:tcPr>
            <w:tcW w:w="927" w:type="dxa"/>
            <w:tcBorders>
              <w:top w:val="nil"/>
              <w:left w:val="nil"/>
              <w:bottom w:val="nil"/>
              <w:right w:val="nil"/>
            </w:tcBorders>
          </w:tcPr>
          <w:p w14:paraId="195BC038"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296-415</w:t>
            </w:r>
          </w:p>
        </w:tc>
        <w:tc>
          <w:tcPr>
            <w:tcW w:w="1068" w:type="dxa"/>
            <w:tcBorders>
              <w:top w:val="nil"/>
              <w:left w:val="nil"/>
              <w:bottom w:val="nil"/>
              <w:right w:val="nil"/>
            </w:tcBorders>
          </w:tcPr>
          <w:p w14:paraId="6FE9E66E"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72.00-144.00</w:t>
            </w:r>
          </w:p>
        </w:tc>
        <w:tc>
          <w:tcPr>
            <w:tcW w:w="1248" w:type="dxa"/>
            <w:tcBorders>
              <w:top w:val="nil"/>
              <w:left w:val="nil"/>
              <w:bottom w:val="nil"/>
              <w:right w:val="nil"/>
            </w:tcBorders>
          </w:tcPr>
          <w:p w14:paraId="7B39EBBD"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121591-140308</w:t>
            </w:r>
          </w:p>
        </w:tc>
        <w:tc>
          <w:tcPr>
            <w:tcW w:w="1248" w:type="dxa"/>
            <w:tcBorders>
              <w:top w:val="nil"/>
              <w:left w:val="nil"/>
              <w:bottom w:val="nil"/>
              <w:right w:val="nil"/>
            </w:tcBorders>
          </w:tcPr>
          <w:p w14:paraId="7815B382"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122334-141316</w:t>
            </w:r>
          </w:p>
        </w:tc>
        <w:tc>
          <w:tcPr>
            <w:tcW w:w="876" w:type="dxa"/>
            <w:tcBorders>
              <w:top w:val="nil"/>
              <w:left w:val="nil"/>
              <w:bottom w:val="nil"/>
              <w:right w:val="nil"/>
            </w:tcBorders>
          </w:tcPr>
          <w:p w14:paraId="73947A2F"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0.6-1.6</w:t>
            </w:r>
          </w:p>
        </w:tc>
        <w:tc>
          <w:tcPr>
            <w:tcW w:w="744" w:type="dxa"/>
            <w:tcBorders>
              <w:top w:val="nil"/>
              <w:left w:val="nil"/>
              <w:bottom w:val="nil"/>
              <w:right w:val="nil"/>
            </w:tcBorders>
          </w:tcPr>
          <w:p w14:paraId="222055F0"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140-179</w:t>
            </w:r>
          </w:p>
        </w:tc>
        <w:tc>
          <w:tcPr>
            <w:tcW w:w="984" w:type="dxa"/>
            <w:tcBorders>
              <w:top w:val="nil"/>
              <w:left w:val="nil"/>
              <w:bottom w:val="nil"/>
              <w:right w:val="nil"/>
            </w:tcBorders>
          </w:tcPr>
          <w:p w14:paraId="4D8D8B37"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0.425-0.490</w:t>
            </w:r>
          </w:p>
        </w:tc>
        <w:tc>
          <w:tcPr>
            <w:tcW w:w="800" w:type="dxa"/>
            <w:tcBorders>
              <w:top w:val="nil"/>
              <w:left w:val="nil"/>
              <w:bottom w:val="nil"/>
              <w:right w:val="nil"/>
            </w:tcBorders>
          </w:tcPr>
          <w:p w14:paraId="4A228B35"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92.7-121</w:t>
            </w:r>
          </w:p>
        </w:tc>
        <w:tc>
          <w:tcPr>
            <w:tcW w:w="800" w:type="dxa"/>
            <w:tcBorders>
              <w:top w:val="nil"/>
              <w:left w:val="nil"/>
              <w:bottom w:val="nil"/>
              <w:right w:val="nil"/>
            </w:tcBorders>
          </w:tcPr>
          <w:p w14:paraId="2A433C02"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0.00387-0.00496</w:t>
            </w:r>
          </w:p>
        </w:tc>
      </w:tr>
      <w:tr w:rsidR="003746B5" w:rsidRPr="00BB3B7F" w14:paraId="01CE1B86" w14:textId="77777777" w:rsidTr="000359C7">
        <w:trPr>
          <w:cantSplit/>
        </w:trPr>
        <w:tc>
          <w:tcPr>
            <w:tcW w:w="897" w:type="dxa"/>
            <w:tcBorders>
              <w:top w:val="nil"/>
              <w:left w:val="nil"/>
              <w:bottom w:val="nil"/>
              <w:right w:val="nil"/>
            </w:tcBorders>
          </w:tcPr>
          <w:p w14:paraId="768FAE45" w14:textId="77777777" w:rsidR="003746B5" w:rsidRPr="00BB3B7F" w:rsidRDefault="003746B5" w:rsidP="003D685A">
            <w:pPr>
              <w:pStyle w:val="TableText"/>
              <w:keepNext/>
              <w:keepLines/>
              <w:ind w:rightChars="-85" w:right="-187"/>
              <w:rPr>
                <w:color w:val="000000"/>
                <w:szCs w:val="16"/>
              </w:rPr>
            </w:pPr>
            <w:r w:rsidRPr="00BB3B7F">
              <w:rPr>
                <w:color w:val="000000"/>
                <w:szCs w:val="16"/>
              </w:rPr>
              <w:t>100 µg/kg</w:t>
            </w:r>
          </w:p>
        </w:tc>
        <w:tc>
          <w:tcPr>
            <w:tcW w:w="927" w:type="dxa"/>
            <w:tcBorders>
              <w:top w:val="nil"/>
              <w:left w:val="nil"/>
              <w:bottom w:val="nil"/>
              <w:right w:val="nil"/>
            </w:tcBorders>
          </w:tcPr>
          <w:p w14:paraId="011D8807"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643 (12)</w:t>
            </w:r>
          </w:p>
        </w:tc>
        <w:tc>
          <w:tcPr>
            <w:tcW w:w="1068" w:type="dxa"/>
            <w:tcBorders>
              <w:top w:val="nil"/>
              <w:left w:val="nil"/>
              <w:bottom w:val="nil"/>
              <w:right w:val="nil"/>
            </w:tcBorders>
          </w:tcPr>
          <w:p w14:paraId="64F82ADD"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72.00</w:t>
            </w:r>
          </w:p>
        </w:tc>
        <w:tc>
          <w:tcPr>
            <w:tcW w:w="1248" w:type="dxa"/>
            <w:tcBorders>
              <w:top w:val="nil"/>
              <w:left w:val="nil"/>
              <w:bottom w:val="nil"/>
              <w:right w:val="nil"/>
            </w:tcBorders>
          </w:tcPr>
          <w:p w14:paraId="1F915494"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270829 (13)</w:t>
            </w:r>
          </w:p>
        </w:tc>
        <w:tc>
          <w:tcPr>
            <w:tcW w:w="1248" w:type="dxa"/>
            <w:tcBorders>
              <w:top w:val="nil"/>
              <w:left w:val="nil"/>
              <w:bottom w:val="nil"/>
              <w:right w:val="nil"/>
            </w:tcBorders>
          </w:tcPr>
          <w:p w14:paraId="25666D1C"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275322 (14)</w:t>
            </w:r>
          </w:p>
        </w:tc>
        <w:tc>
          <w:tcPr>
            <w:tcW w:w="876" w:type="dxa"/>
            <w:tcBorders>
              <w:top w:val="nil"/>
              <w:left w:val="nil"/>
              <w:bottom w:val="nil"/>
              <w:right w:val="nil"/>
            </w:tcBorders>
          </w:tcPr>
          <w:p w14:paraId="65749F9D"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1.5</w:t>
            </w:r>
          </w:p>
        </w:tc>
        <w:tc>
          <w:tcPr>
            <w:tcW w:w="744" w:type="dxa"/>
            <w:tcBorders>
              <w:top w:val="nil"/>
              <w:left w:val="nil"/>
              <w:bottom w:val="nil"/>
              <w:right w:val="nil"/>
            </w:tcBorders>
          </w:tcPr>
          <w:p w14:paraId="461C3F13"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180 (12)</w:t>
            </w:r>
          </w:p>
        </w:tc>
        <w:tc>
          <w:tcPr>
            <w:tcW w:w="984" w:type="dxa"/>
            <w:tcBorders>
              <w:top w:val="nil"/>
              <w:left w:val="nil"/>
              <w:bottom w:val="nil"/>
              <w:right w:val="nil"/>
            </w:tcBorders>
          </w:tcPr>
          <w:p w14:paraId="44AC8B1A"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0.363</w:t>
            </w:r>
          </w:p>
        </w:tc>
        <w:tc>
          <w:tcPr>
            <w:tcW w:w="800" w:type="dxa"/>
            <w:tcBorders>
              <w:top w:val="nil"/>
              <w:left w:val="nil"/>
              <w:bottom w:val="nil"/>
              <w:right w:val="nil"/>
            </w:tcBorders>
          </w:tcPr>
          <w:p w14:paraId="2A613E10"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94.1</w:t>
            </w:r>
          </w:p>
        </w:tc>
        <w:tc>
          <w:tcPr>
            <w:tcW w:w="800" w:type="dxa"/>
            <w:tcBorders>
              <w:top w:val="nil"/>
              <w:left w:val="nil"/>
              <w:bottom w:val="nil"/>
              <w:right w:val="nil"/>
            </w:tcBorders>
          </w:tcPr>
          <w:p w14:paraId="6F96A894"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0.00386</w:t>
            </w:r>
          </w:p>
        </w:tc>
      </w:tr>
      <w:tr w:rsidR="003746B5" w:rsidRPr="00BB3B7F" w14:paraId="0C6FF2F6" w14:textId="77777777" w:rsidTr="000359C7">
        <w:trPr>
          <w:cantSplit/>
        </w:trPr>
        <w:tc>
          <w:tcPr>
            <w:tcW w:w="897" w:type="dxa"/>
            <w:tcBorders>
              <w:top w:val="nil"/>
              <w:left w:val="nil"/>
              <w:bottom w:val="single" w:sz="12" w:space="0" w:color="auto"/>
              <w:right w:val="nil"/>
            </w:tcBorders>
          </w:tcPr>
          <w:p w14:paraId="5B028A91" w14:textId="77777777" w:rsidR="003746B5" w:rsidRPr="00BB3B7F" w:rsidRDefault="003746B5" w:rsidP="003D685A">
            <w:pPr>
              <w:pStyle w:val="TableText"/>
              <w:keepNext/>
              <w:keepLines/>
              <w:ind w:rightChars="-85" w:right="-187"/>
              <w:jc w:val="center"/>
              <w:rPr>
                <w:color w:val="000000"/>
                <w:szCs w:val="16"/>
              </w:rPr>
            </w:pPr>
          </w:p>
        </w:tc>
        <w:tc>
          <w:tcPr>
            <w:tcW w:w="927" w:type="dxa"/>
            <w:tcBorders>
              <w:top w:val="nil"/>
              <w:left w:val="nil"/>
              <w:bottom w:val="single" w:sz="12" w:space="0" w:color="auto"/>
              <w:right w:val="nil"/>
            </w:tcBorders>
          </w:tcPr>
          <w:p w14:paraId="0B8AC0F0"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530-726</w:t>
            </w:r>
          </w:p>
        </w:tc>
        <w:tc>
          <w:tcPr>
            <w:tcW w:w="1068" w:type="dxa"/>
            <w:tcBorders>
              <w:top w:val="nil"/>
              <w:left w:val="nil"/>
              <w:bottom w:val="single" w:sz="12" w:space="0" w:color="auto"/>
              <w:right w:val="nil"/>
            </w:tcBorders>
          </w:tcPr>
          <w:p w14:paraId="65185CA6"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72.00-216.90</w:t>
            </w:r>
          </w:p>
        </w:tc>
        <w:tc>
          <w:tcPr>
            <w:tcW w:w="1248" w:type="dxa"/>
            <w:tcBorders>
              <w:top w:val="nil"/>
              <w:left w:val="nil"/>
              <w:bottom w:val="single" w:sz="12" w:space="0" w:color="auto"/>
              <w:right w:val="nil"/>
            </w:tcBorders>
          </w:tcPr>
          <w:p w14:paraId="72A7459C"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216654-305637</w:t>
            </w:r>
          </w:p>
        </w:tc>
        <w:tc>
          <w:tcPr>
            <w:tcW w:w="1248" w:type="dxa"/>
            <w:tcBorders>
              <w:top w:val="nil"/>
              <w:left w:val="nil"/>
              <w:bottom w:val="single" w:sz="12" w:space="0" w:color="auto"/>
              <w:right w:val="nil"/>
            </w:tcBorders>
          </w:tcPr>
          <w:p w14:paraId="162674CD"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220214-311514</w:t>
            </w:r>
          </w:p>
        </w:tc>
        <w:tc>
          <w:tcPr>
            <w:tcW w:w="876" w:type="dxa"/>
            <w:tcBorders>
              <w:top w:val="nil"/>
              <w:left w:val="nil"/>
              <w:bottom w:val="single" w:sz="12" w:space="0" w:color="auto"/>
              <w:right w:val="nil"/>
            </w:tcBorders>
          </w:tcPr>
          <w:p w14:paraId="5C5B8B27"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0.9-2.7</w:t>
            </w:r>
          </w:p>
        </w:tc>
        <w:tc>
          <w:tcPr>
            <w:tcW w:w="744" w:type="dxa"/>
            <w:tcBorders>
              <w:top w:val="nil"/>
              <w:left w:val="nil"/>
              <w:bottom w:val="single" w:sz="12" w:space="0" w:color="auto"/>
              <w:right w:val="nil"/>
            </w:tcBorders>
          </w:tcPr>
          <w:p w14:paraId="3EF6373A"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160-212</w:t>
            </w:r>
          </w:p>
        </w:tc>
        <w:tc>
          <w:tcPr>
            <w:tcW w:w="984" w:type="dxa"/>
            <w:tcBorders>
              <w:top w:val="nil"/>
              <w:left w:val="nil"/>
              <w:bottom w:val="single" w:sz="12" w:space="0" w:color="auto"/>
              <w:right w:val="nil"/>
            </w:tcBorders>
          </w:tcPr>
          <w:p w14:paraId="06B180AB"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0.321-0.454</w:t>
            </w:r>
          </w:p>
        </w:tc>
        <w:tc>
          <w:tcPr>
            <w:tcW w:w="800" w:type="dxa"/>
            <w:tcBorders>
              <w:top w:val="nil"/>
              <w:left w:val="nil"/>
              <w:bottom w:val="single" w:sz="12" w:space="0" w:color="auto"/>
              <w:right w:val="nil"/>
            </w:tcBorders>
          </w:tcPr>
          <w:p w14:paraId="62A1D65E"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83.8-120</w:t>
            </w:r>
          </w:p>
        </w:tc>
        <w:tc>
          <w:tcPr>
            <w:tcW w:w="800" w:type="dxa"/>
            <w:tcBorders>
              <w:top w:val="nil"/>
              <w:left w:val="nil"/>
              <w:bottom w:val="single" w:sz="12" w:space="0" w:color="auto"/>
              <w:right w:val="nil"/>
            </w:tcBorders>
          </w:tcPr>
          <w:p w14:paraId="75A9C177" w14:textId="77777777" w:rsidR="003746B5" w:rsidRPr="00BB3B7F" w:rsidRDefault="003746B5" w:rsidP="003D685A">
            <w:pPr>
              <w:pStyle w:val="TableText"/>
              <w:keepNext/>
              <w:keepLines/>
              <w:ind w:rightChars="-85" w:right="-187"/>
              <w:jc w:val="center"/>
              <w:rPr>
                <w:color w:val="000000"/>
                <w:szCs w:val="16"/>
              </w:rPr>
            </w:pPr>
            <w:r w:rsidRPr="00BB3B7F">
              <w:rPr>
                <w:color w:val="000000"/>
                <w:szCs w:val="16"/>
              </w:rPr>
              <w:t>0.00328-0.00434</w:t>
            </w:r>
          </w:p>
        </w:tc>
      </w:tr>
    </w:tbl>
    <w:p w14:paraId="3DC87D3E" w14:textId="77777777" w:rsidR="003746B5" w:rsidRPr="00BB3B7F" w:rsidRDefault="003746B5" w:rsidP="003D685A">
      <w:pPr>
        <w:pStyle w:val="synopsis"/>
        <w:tabs>
          <w:tab w:val="left" w:pos="196"/>
        </w:tabs>
        <w:spacing w:before="60"/>
        <w:ind w:left="57" w:rightChars="-85" w:right="-187"/>
        <w:rPr>
          <w:szCs w:val="16"/>
        </w:rPr>
      </w:pPr>
      <w:r w:rsidRPr="00BB3B7F">
        <w:rPr>
          <w:szCs w:val="16"/>
        </w:rPr>
        <w:t>*</w:t>
      </w:r>
      <w:r w:rsidRPr="00BB3B7F">
        <w:rPr>
          <w:szCs w:val="16"/>
        </w:rPr>
        <w:tab/>
        <w:t>For t</w:t>
      </w:r>
      <w:r w:rsidRPr="00BB3B7F">
        <w:rPr>
          <w:szCs w:val="16"/>
          <w:vertAlign w:val="subscript"/>
        </w:rPr>
        <w:t>max</w:t>
      </w:r>
      <w:r w:rsidRPr="00BB3B7F">
        <w:rPr>
          <w:szCs w:val="16"/>
        </w:rPr>
        <w:t xml:space="preserve"> the median is presented instead of geometric mean</w:t>
      </w:r>
    </w:p>
    <w:p w14:paraId="4F797E00" w14:textId="77777777" w:rsidR="003746B5" w:rsidRPr="00BB3B7F" w:rsidRDefault="003746B5" w:rsidP="003D685A">
      <w:pPr>
        <w:pStyle w:val="synopsis"/>
        <w:tabs>
          <w:tab w:val="left" w:pos="196"/>
        </w:tabs>
        <w:spacing w:before="60"/>
        <w:ind w:left="57" w:rightChars="-85" w:right="-187"/>
        <w:rPr>
          <w:szCs w:val="16"/>
          <w:lang w:val="en-US"/>
        </w:rPr>
      </w:pPr>
      <w:r w:rsidRPr="00BB3B7F">
        <w:rPr>
          <w:szCs w:val="16"/>
          <w:vertAlign w:val="superscript"/>
          <w:lang w:val="en-US"/>
        </w:rPr>
        <w:t>#</w:t>
      </w:r>
      <w:r w:rsidRPr="00BB3B7F">
        <w:rPr>
          <w:szCs w:val="16"/>
          <w:lang w:val="en-US"/>
        </w:rPr>
        <w:tab/>
        <w:t>For Group 1 (2 µg/kg) it was not possible to calculate t</w:t>
      </w:r>
      <w:r w:rsidRPr="00BB3B7F">
        <w:rPr>
          <w:szCs w:val="16"/>
          <w:vertAlign w:val="subscript"/>
          <w:lang w:val="en-US"/>
        </w:rPr>
        <w:t>1/2</w:t>
      </w:r>
      <w:r w:rsidRPr="00BB3B7F">
        <w:rPr>
          <w:szCs w:val="16"/>
          <w:lang w:val="en-US"/>
        </w:rPr>
        <w:t xml:space="preserve"> and therefore derived parameters could also not be calculated</w:t>
      </w:r>
    </w:p>
    <w:p w14:paraId="02E3B4F9" w14:textId="77777777" w:rsidR="003746B5" w:rsidRPr="00BB3B7F" w:rsidRDefault="003746B5" w:rsidP="003D685A">
      <w:pPr>
        <w:pStyle w:val="synopsis"/>
        <w:tabs>
          <w:tab w:val="left" w:pos="196"/>
        </w:tabs>
        <w:spacing w:before="60"/>
        <w:ind w:left="57" w:rightChars="-85" w:right="-187"/>
        <w:jc w:val="both"/>
        <w:rPr>
          <w:szCs w:val="16"/>
        </w:rPr>
      </w:pPr>
      <w:r w:rsidRPr="00BB3B7F">
        <w:rPr>
          <w:szCs w:val="16"/>
          <w:lang w:val="en-US"/>
        </w:rPr>
        <w:t>Note: C</w:t>
      </w:r>
      <w:r w:rsidRPr="00BB3B7F">
        <w:rPr>
          <w:szCs w:val="16"/>
          <w:vertAlign w:val="subscript"/>
          <w:lang w:val="en-US"/>
        </w:rPr>
        <w:t>max</w:t>
      </w:r>
      <w:r w:rsidRPr="00BB3B7F">
        <w:rPr>
          <w:szCs w:val="16"/>
          <w:lang w:val="en-US"/>
        </w:rPr>
        <w:t xml:space="preserve"> and AUC</w:t>
      </w:r>
      <w:r w:rsidRPr="00BB3B7F">
        <w:rPr>
          <w:szCs w:val="16"/>
          <w:vertAlign w:val="subscript"/>
          <w:lang w:val="en-US"/>
        </w:rPr>
        <w:t>(0-last)</w:t>
      </w:r>
      <w:r w:rsidRPr="00BB3B7F">
        <w:rPr>
          <w:szCs w:val="16"/>
          <w:lang w:val="en-US"/>
        </w:rPr>
        <w:t xml:space="preserve"> and AUC</w:t>
      </w:r>
      <w:r w:rsidRPr="00BB3B7F">
        <w:rPr>
          <w:szCs w:val="16"/>
          <w:vertAlign w:val="subscript"/>
          <w:lang w:val="en-US"/>
        </w:rPr>
        <w:t>(0-inf)</w:t>
      </w:r>
      <w:r w:rsidRPr="00BB3B7F">
        <w:rPr>
          <w:szCs w:val="16"/>
          <w:lang w:val="en-US"/>
        </w:rPr>
        <w:t xml:space="preserve"> were corrected for Patients 015 and 029, because they received an actual dose with &gt;10% deviation of the planned dose</w:t>
      </w:r>
    </w:p>
    <w:p w14:paraId="15886CDB" w14:textId="77777777" w:rsidR="003746B5" w:rsidRPr="00461297" w:rsidRDefault="003746B5" w:rsidP="00461297">
      <w:pPr>
        <w:ind w:left="0"/>
        <w:rPr>
          <w:b/>
          <w:sz w:val="28"/>
          <w:szCs w:val="28"/>
        </w:rPr>
      </w:pPr>
      <w:r w:rsidRPr="00BB3B7F">
        <w:rPr>
          <w:i/>
          <w:sz w:val="18"/>
          <w:szCs w:val="18"/>
          <w:lang w:val="en-US"/>
        </w:rPr>
        <w:br w:type="page"/>
      </w:r>
      <w:r w:rsidRPr="00461297">
        <w:rPr>
          <w:b/>
          <w:sz w:val="28"/>
          <w:szCs w:val="28"/>
        </w:rPr>
        <w:lastRenderedPageBreak/>
        <w:t>SYNOPSIS (Cont.)</w:t>
      </w:r>
    </w:p>
    <w:p w14:paraId="0B4B1DC4" w14:textId="77777777" w:rsidR="002D431F" w:rsidRPr="00461297" w:rsidRDefault="002D431F" w:rsidP="00461297">
      <w:pPr>
        <w:ind w:left="0"/>
        <w:rPr>
          <w:b/>
          <w:i/>
          <w:sz w:val="18"/>
          <w:szCs w:val="18"/>
          <w:lang w:val="en-US"/>
        </w:rPr>
      </w:pPr>
    </w:p>
    <w:p w14:paraId="2DC4C2FC" w14:textId="77777777" w:rsidR="003746B5" w:rsidRPr="00BB3B7F" w:rsidRDefault="003746B5" w:rsidP="003D685A">
      <w:pPr>
        <w:pStyle w:val="synopsis"/>
        <w:ind w:left="57" w:rightChars="-85" w:right="-187"/>
        <w:jc w:val="both"/>
        <w:rPr>
          <w:i/>
          <w:sz w:val="18"/>
          <w:szCs w:val="18"/>
          <w:lang w:val="en-US"/>
        </w:rPr>
      </w:pPr>
      <w:r w:rsidRPr="00BB3B7F">
        <w:rPr>
          <w:i/>
          <w:sz w:val="18"/>
          <w:szCs w:val="18"/>
          <w:lang w:val="en-US"/>
        </w:rPr>
        <w:t>Summary of Exploratory Dose-Proportionality Analysis for HM11260C in Serum</w:t>
      </w:r>
    </w:p>
    <w:tbl>
      <w:tblPr>
        <w:tblW w:w="0" w:type="auto"/>
        <w:tblInd w:w="130" w:type="dxa"/>
        <w:tblLayout w:type="fixed"/>
        <w:tblCellMar>
          <w:left w:w="60" w:type="dxa"/>
          <w:right w:w="60" w:type="dxa"/>
        </w:tblCellMar>
        <w:tblLook w:val="0000" w:firstRow="0" w:lastRow="0" w:firstColumn="0" w:lastColumn="0" w:noHBand="0" w:noVBand="0"/>
      </w:tblPr>
      <w:tblGrid>
        <w:gridCol w:w="1822"/>
        <w:gridCol w:w="1448"/>
        <w:gridCol w:w="952"/>
        <w:gridCol w:w="900"/>
        <w:gridCol w:w="887"/>
        <w:gridCol w:w="13"/>
      </w:tblGrid>
      <w:tr w:rsidR="003746B5" w:rsidRPr="00BB3B7F" w14:paraId="51994596" w14:textId="77777777" w:rsidTr="004447BC">
        <w:trPr>
          <w:gridAfter w:val="1"/>
          <w:wAfter w:w="13" w:type="dxa"/>
          <w:cantSplit/>
          <w:tblHeader/>
        </w:trPr>
        <w:tc>
          <w:tcPr>
            <w:tcW w:w="1822" w:type="dxa"/>
            <w:tcBorders>
              <w:top w:val="single" w:sz="12" w:space="0" w:color="000000"/>
            </w:tcBorders>
            <w:shd w:val="clear" w:color="auto" w:fill="FFFFFF"/>
          </w:tcPr>
          <w:p w14:paraId="70790494" w14:textId="77777777" w:rsidR="003746B5" w:rsidRPr="00BB3B7F" w:rsidRDefault="003746B5" w:rsidP="003D685A">
            <w:pPr>
              <w:pStyle w:val="TableText"/>
              <w:keepNext/>
              <w:keepLines/>
              <w:ind w:rightChars="-85" w:right="-187"/>
              <w:rPr>
                <w:b/>
                <w:sz w:val="18"/>
                <w:szCs w:val="18"/>
                <w:lang w:val="en-GB"/>
              </w:rPr>
            </w:pPr>
            <w:r w:rsidRPr="00BB3B7F">
              <w:rPr>
                <w:b/>
                <w:sz w:val="18"/>
                <w:szCs w:val="18"/>
                <w:lang w:val="en-GB"/>
              </w:rPr>
              <w:t>Parameter</w:t>
            </w:r>
          </w:p>
        </w:tc>
        <w:tc>
          <w:tcPr>
            <w:tcW w:w="1448" w:type="dxa"/>
            <w:tcBorders>
              <w:top w:val="single" w:sz="12" w:space="0" w:color="000000"/>
            </w:tcBorders>
            <w:shd w:val="clear" w:color="auto" w:fill="FFFFFF"/>
          </w:tcPr>
          <w:p w14:paraId="6DB18318" w14:textId="77777777" w:rsidR="003746B5" w:rsidRPr="00BB3B7F" w:rsidRDefault="003746B5" w:rsidP="003D685A">
            <w:pPr>
              <w:pStyle w:val="TableText"/>
              <w:keepNext/>
              <w:keepLines/>
              <w:ind w:rightChars="-85" w:right="-187"/>
              <w:jc w:val="center"/>
              <w:rPr>
                <w:b/>
                <w:sz w:val="18"/>
                <w:szCs w:val="18"/>
                <w:lang w:val="en-GB"/>
              </w:rPr>
            </w:pPr>
            <w:r w:rsidRPr="00BB3B7F">
              <w:rPr>
                <w:b/>
                <w:sz w:val="18"/>
                <w:szCs w:val="18"/>
                <w:lang w:val="en-GB"/>
              </w:rPr>
              <w:t>Intercept estimate</w:t>
            </w:r>
          </w:p>
        </w:tc>
        <w:tc>
          <w:tcPr>
            <w:tcW w:w="2739" w:type="dxa"/>
            <w:gridSpan w:val="3"/>
            <w:tcBorders>
              <w:top w:val="single" w:sz="12" w:space="0" w:color="000000"/>
              <w:bottom w:val="single" w:sz="6" w:space="0" w:color="000000"/>
            </w:tcBorders>
            <w:shd w:val="clear" w:color="auto" w:fill="FFFFFF"/>
          </w:tcPr>
          <w:p w14:paraId="4DFF2E1F" w14:textId="77777777" w:rsidR="003746B5" w:rsidRPr="00BB3B7F" w:rsidRDefault="003746B5" w:rsidP="003D685A">
            <w:pPr>
              <w:pStyle w:val="TableText"/>
              <w:keepNext/>
              <w:keepLines/>
              <w:ind w:rightChars="-85" w:right="-187"/>
              <w:jc w:val="center"/>
              <w:rPr>
                <w:b/>
                <w:sz w:val="18"/>
                <w:szCs w:val="18"/>
                <w:lang w:val="en-GB"/>
              </w:rPr>
            </w:pPr>
            <w:r w:rsidRPr="00BB3B7F">
              <w:rPr>
                <w:b/>
                <w:sz w:val="18"/>
                <w:szCs w:val="18"/>
                <w:lang w:val="en-GB"/>
              </w:rPr>
              <w:t>Slope</w:t>
            </w:r>
          </w:p>
        </w:tc>
      </w:tr>
      <w:tr w:rsidR="003746B5" w:rsidRPr="001042E2" w14:paraId="56C9DE07" w14:textId="77777777" w:rsidTr="004447BC">
        <w:trPr>
          <w:cantSplit/>
          <w:tblHeader/>
        </w:trPr>
        <w:tc>
          <w:tcPr>
            <w:tcW w:w="1822" w:type="dxa"/>
            <w:vMerge w:val="restart"/>
            <w:shd w:val="clear" w:color="auto" w:fill="FFFFFF"/>
          </w:tcPr>
          <w:p w14:paraId="000F5BAB" w14:textId="77777777" w:rsidR="003746B5" w:rsidRPr="00BB3B7F" w:rsidRDefault="003746B5" w:rsidP="003D685A">
            <w:pPr>
              <w:pStyle w:val="TableText"/>
              <w:keepNext/>
              <w:keepLines/>
              <w:ind w:rightChars="-85" w:right="-187"/>
              <w:jc w:val="center"/>
              <w:rPr>
                <w:b/>
                <w:sz w:val="18"/>
                <w:szCs w:val="18"/>
                <w:lang w:val="en-GB"/>
              </w:rPr>
            </w:pPr>
          </w:p>
        </w:tc>
        <w:tc>
          <w:tcPr>
            <w:tcW w:w="1448" w:type="dxa"/>
            <w:vMerge w:val="restart"/>
            <w:shd w:val="clear" w:color="auto" w:fill="FFFFFF"/>
          </w:tcPr>
          <w:p w14:paraId="683C703B" w14:textId="77777777" w:rsidR="003746B5" w:rsidRPr="00BB3B7F" w:rsidRDefault="003746B5" w:rsidP="003D685A">
            <w:pPr>
              <w:pStyle w:val="TableText"/>
              <w:keepNext/>
              <w:keepLines/>
              <w:ind w:rightChars="-85" w:right="-187"/>
              <w:jc w:val="center"/>
              <w:rPr>
                <w:b/>
                <w:sz w:val="18"/>
                <w:szCs w:val="18"/>
                <w:lang w:val="en-GB"/>
              </w:rPr>
            </w:pPr>
          </w:p>
        </w:tc>
        <w:tc>
          <w:tcPr>
            <w:tcW w:w="952" w:type="dxa"/>
            <w:vMerge w:val="restart"/>
            <w:tcBorders>
              <w:top w:val="single" w:sz="6" w:space="0" w:color="000000"/>
            </w:tcBorders>
            <w:shd w:val="clear" w:color="auto" w:fill="FFFFFF"/>
          </w:tcPr>
          <w:p w14:paraId="71AA81B7" w14:textId="77777777" w:rsidR="003746B5" w:rsidRPr="001042E2" w:rsidRDefault="003746B5" w:rsidP="003D685A">
            <w:pPr>
              <w:pStyle w:val="TableText"/>
              <w:keepNext/>
              <w:keepLines/>
              <w:ind w:rightChars="-85" w:right="-187"/>
              <w:jc w:val="center"/>
              <w:rPr>
                <w:b/>
                <w:sz w:val="18"/>
                <w:szCs w:val="18"/>
                <w:lang w:val="en-GB"/>
              </w:rPr>
            </w:pPr>
            <w:r w:rsidRPr="001042E2">
              <w:rPr>
                <w:b/>
                <w:sz w:val="18"/>
                <w:szCs w:val="18"/>
                <w:lang w:val="en-GB"/>
              </w:rPr>
              <w:t>Estimate</w:t>
            </w:r>
          </w:p>
        </w:tc>
        <w:tc>
          <w:tcPr>
            <w:tcW w:w="1800" w:type="dxa"/>
            <w:gridSpan w:val="3"/>
            <w:tcBorders>
              <w:top w:val="single" w:sz="6" w:space="0" w:color="000000"/>
            </w:tcBorders>
            <w:shd w:val="clear" w:color="auto" w:fill="FFFFFF"/>
          </w:tcPr>
          <w:p w14:paraId="353F41BE" w14:textId="77777777" w:rsidR="003746B5" w:rsidRPr="001042E2" w:rsidRDefault="003746B5" w:rsidP="003D685A">
            <w:pPr>
              <w:pStyle w:val="TableText"/>
              <w:keepNext/>
              <w:keepLines/>
              <w:ind w:rightChars="-85" w:right="-187"/>
              <w:jc w:val="center"/>
              <w:rPr>
                <w:b/>
                <w:sz w:val="18"/>
                <w:szCs w:val="18"/>
                <w:lang w:val="en-GB"/>
              </w:rPr>
            </w:pPr>
            <w:r w:rsidRPr="001042E2">
              <w:rPr>
                <w:b/>
                <w:sz w:val="18"/>
                <w:szCs w:val="18"/>
                <w:lang w:val="en-GB"/>
              </w:rPr>
              <w:t>95% confidence interval</w:t>
            </w:r>
          </w:p>
        </w:tc>
      </w:tr>
      <w:tr w:rsidR="003746B5" w:rsidRPr="001042E2" w14:paraId="04F56012" w14:textId="77777777" w:rsidTr="004447BC">
        <w:trPr>
          <w:cantSplit/>
          <w:tblHeader/>
        </w:trPr>
        <w:tc>
          <w:tcPr>
            <w:tcW w:w="1822" w:type="dxa"/>
            <w:vMerge/>
            <w:tcBorders>
              <w:bottom w:val="single" w:sz="6" w:space="0" w:color="000000"/>
            </w:tcBorders>
            <w:shd w:val="clear" w:color="auto" w:fill="FFFFFF"/>
          </w:tcPr>
          <w:p w14:paraId="1957A1BD" w14:textId="77777777" w:rsidR="003746B5" w:rsidRPr="001042E2" w:rsidRDefault="003746B5" w:rsidP="003D685A">
            <w:pPr>
              <w:pStyle w:val="TableText"/>
              <w:keepNext/>
              <w:keepLines/>
              <w:ind w:rightChars="-85" w:right="-187"/>
              <w:jc w:val="center"/>
              <w:rPr>
                <w:b/>
                <w:sz w:val="18"/>
                <w:szCs w:val="18"/>
                <w:lang w:val="en-GB"/>
              </w:rPr>
            </w:pPr>
          </w:p>
        </w:tc>
        <w:tc>
          <w:tcPr>
            <w:tcW w:w="1448" w:type="dxa"/>
            <w:vMerge/>
            <w:tcBorders>
              <w:bottom w:val="single" w:sz="6" w:space="0" w:color="000000"/>
            </w:tcBorders>
            <w:shd w:val="clear" w:color="auto" w:fill="FFFFFF"/>
          </w:tcPr>
          <w:p w14:paraId="51E4986A" w14:textId="77777777" w:rsidR="003746B5" w:rsidRPr="001042E2" w:rsidRDefault="003746B5" w:rsidP="003D685A">
            <w:pPr>
              <w:pStyle w:val="TableText"/>
              <w:keepNext/>
              <w:keepLines/>
              <w:ind w:rightChars="-85" w:right="-187"/>
              <w:jc w:val="center"/>
              <w:rPr>
                <w:b/>
                <w:sz w:val="18"/>
                <w:szCs w:val="18"/>
                <w:lang w:val="en-GB"/>
              </w:rPr>
            </w:pPr>
          </w:p>
        </w:tc>
        <w:tc>
          <w:tcPr>
            <w:tcW w:w="952" w:type="dxa"/>
            <w:vMerge/>
            <w:tcBorders>
              <w:bottom w:val="single" w:sz="6" w:space="0" w:color="000000"/>
            </w:tcBorders>
            <w:shd w:val="clear" w:color="auto" w:fill="FFFFFF"/>
          </w:tcPr>
          <w:p w14:paraId="49B802A8" w14:textId="77777777" w:rsidR="003746B5" w:rsidRPr="001042E2" w:rsidRDefault="003746B5" w:rsidP="003D685A">
            <w:pPr>
              <w:pStyle w:val="TableText"/>
              <w:keepNext/>
              <w:keepLines/>
              <w:ind w:rightChars="-85" w:right="-187"/>
              <w:jc w:val="center"/>
              <w:rPr>
                <w:b/>
                <w:sz w:val="18"/>
                <w:szCs w:val="18"/>
                <w:lang w:val="en-GB"/>
              </w:rPr>
            </w:pPr>
          </w:p>
        </w:tc>
        <w:tc>
          <w:tcPr>
            <w:tcW w:w="900" w:type="dxa"/>
            <w:tcBorders>
              <w:bottom w:val="single" w:sz="6" w:space="0" w:color="000000"/>
            </w:tcBorders>
            <w:shd w:val="clear" w:color="auto" w:fill="FFFFFF"/>
          </w:tcPr>
          <w:p w14:paraId="334AD34E" w14:textId="77777777" w:rsidR="003746B5" w:rsidRPr="001042E2" w:rsidRDefault="003746B5" w:rsidP="003D685A">
            <w:pPr>
              <w:pStyle w:val="TableText"/>
              <w:keepNext/>
              <w:keepLines/>
              <w:ind w:rightChars="-85" w:right="-187"/>
              <w:jc w:val="center"/>
              <w:rPr>
                <w:b/>
                <w:sz w:val="18"/>
                <w:szCs w:val="18"/>
                <w:lang w:val="en-GB"/>
              </w:rPr>
            </w:pPr>
            <w:r w:rsidRPr="001042E2">
              <w:rPr>
                <w:b/>
                <w:sz w:val="18"/>
                <w:szCs w:val="18"/>
                <w:lang w:val="en-GB"/>
              </w:rPr>
              <w:t>Lower</w:t>
            </w:r>
          </w:p>
        </w:tc>
        <w:tc>
          <w:tcPr>
            <w:tcW w:w="900" w:type="dxa"/>
            <w:gridSpan w:val="2"/>
            <w:tcBorders>
              <w:bottom w:val="single" w:sz="6" w:space="0" w:color="000000"/>
            </w:tcBorders>
            <w:shd w:val="clear" w:color="auto" w:fill="FFFFFF"/>
          </w:tcPr>
          <w:p w14:paraId="58991CDE" w14:textId="77777777" w:rsidR="003746B5" w:rsidRPr="001042E2" w:rsidRDefault="003746B5" w:rsidP="003D685A">
            <w:pPr>
              <w:pStyle w:val="TableText"/>
              <w:keepNext/>
              <w:keepLines/>
              <w:ind w:rightChars="-85" w:right="-187"/>
              <w:jc w:val="center"/>
              <w:rPr>
                <w:b/>
                <w:sz w:val="18"/>
                <w:szCs w:val="18"/>
                <w:lang w:val="en-GB"/>
              </w:rPr>
            </w:pPr>
            <w:r w:rsidRPr="001042E2">
              <w:rPr>
                <w:b/>
                <w:sz w:val="18"/>
                <w:szCs w:val="18"/>
                <w:lang w:val="en-GB"/>
              </w:rPr>
              <w:t>Upper</w:t>
            </w:r>
          </w:p>
        </w:tc>
      </w:tr>
      <w:tr w:rsidR="003746B5" w:rsidRPr="001042E2" w14:paraId="3A960AF0" w14:textId="77777777" w:rsidTr="004447BC">
        <w:trPr>
          <w:cantSplit/>
        </w:trPr>
        <w:tc>
          <w:tcPr>
            <w:tcW w:w="1822" w:type="dxa"/>
          </w:tcPr>
          <w:p w14:paraId="547349D6" w14:textId="77777777" w:rsidR="003746B5" w:rsidRPr="001042E2" w:rsidRDefault="003746B5" w:rsidP="003D685A">
            <w:pPr>
              <w:pStyle w:val="TableText"/>
              <w:keepNext/>
              <w:keepLines/>
              <w:ind w:rightChars="-85" w:right="-187"/>
              <w:rPr>
                <w:sz w:val="18"/>
                <w:szCs w:val="18"/>
                <w:lang w:val="en-GB"/>
              </w:rPr>
            </w:pPr>
            <w:r w:rsidRPr="001042E2">
              <w:rPr>
                <w:sz w:val="18"/>
                <w:szCs w:val="18"/>
                <w:lang w:val="en-GB"/>
              </w:rPr>
              <w:t>C</w:t>
            </w:r>
            <w:r w:rsidRPr="001042E2">
              <w:rPr>
                <w:sz w:val="18"/>
                <w:szCs w:val="18"/>
                <w:vertAlign w:val="subscript"/>
                <w:lang w:val="en-GB"/>
              </w:rPr>
              <w:t>max</w:t>
            </w:r>
            <w:r w:rsidRPr="001042E2">
              <w:rPr>
                <w:sz w:val="18"/>
                <w:szCs w:val="18"/>
                <w:lang w:val="en-GB"/>
              </w:rPr>
              <w:t xml:space="preserve"> (ng/mL)</w:t>
            </w:r>
          </w:p>
        </w:tc>
        <w:tc>
          <w:tcPr>
            <w:tcW w:w="1448" w:type="dxa"/>
          </w:tcPr>
          <w:p w14:paraId="65E47287" w14:textId="77777777" w:rsidR="003746B5" w:rsidRPr="001042E2" w:rsidRDefault="003746B5" w:rsidP="003D685A">
            <w:pPr>
              <w:pStyle w:val="TableText"/>
              <w:keepNext/>
              <w:keepLines/>
              <w:ind w:rightChars="-85" w:right="-187"/>
              <w:jc w:val="center"/>
              <w:rPr>
                <w:sz w:val="18"/>
                <w:szCs w:val="18"/>
                <w:lang w:val="en-GB"/>
              </w:rPr>
            </w:pPr>
            <w:r w:rsidRPr="001042E2">
              <w:rPr>
                <w:sz w:val="18"/>
                <w:szCs w:val="18"/>
                <w:lang w:val="en-GB"/>
              </w:rPr>
              <w:t>1.70</w:t>
            </w:r>
          </w:p>
        </w:tc>
        <w:tc>
          <w:tcPr>
            <w:tcW w:w="952" w:type="dxa"/>
          </w:tcPr>
          <w:p w14:paraId="080A9271" w14:textId="77777777" w:rsidR="003746B5" w:rsidRPr="001042E2" w:rsidRDefault="003746B5" w:rsidP="003D685A">
            <w:pPr>
              <w:pStyle w:val="TableText"/>
              <w:keepNext/>
              <w:keepLines/>
              <w:ind w:rightChars="-85" w:right="-187"/>
              <w:jc w:val="center"/>
              <w:rPr>
                <w:sz w:val="18"/>
                <w:szCs w:val="18"/>
                <w:lang w:val="en-GB"/>
              </w:rPr>
            </w:pPr>
            <w:r w:rsidRPr="001042E2">
              <w:rPr>
                <w:sz w:val="18"/>
                <w:szCs w:val="18"/>
                <w:lang w:val="en-GB"/>
              </w:rPr>
              <w:t>1.01</w:t>
            </w:r>
          </w:p>
        </w:tc>
        <w:tc>
          <w:tcPr>
            <w:tcW w:w="900" w:type="dxa"/>
          </w:tcPr>
          <w:p w14:paraId="18A0B406" w14:textId="77777777" w:rsidR="003746B5" w:rsidRPr="001042E2" w:rsidRDefault="003746B5" w:rsidP="003D685A">
            <w:pPr>
              <w:pStyle w:val="TableText"/>
              <w:keepNext/>
              <w:keepLines/>
              <w:ind w:rightChars="-85" w:right="-187"/>
              <w:jc w:val="center"/>
              <w:rPr>
                <w:sz w:val="18"/>
                <w:szCs w:val="18"/>
                <w:lang w:val="en-GB"/>
              </w:rPr>
            </w:pPr>
            <w:r w:rsidRPr="001042E2">
              <w:rPr>
                <w:sz w:val="18"/>
                <w:szCs w:val="18"/>
                <w:lang w:val="en-GB"/>
              </w:rPr>
              <w:t>0.97</w:t>
            </w:r>
          </w:p>
        </w:tc>
        <w:tc>
          <w:tcPr>
            <w:tcW w:w="900" w:type="dxa"/>
            <w:gridSpan w:val="2"/>
          </w:tcPr>
          <w:p w14:paraId="6826FBC8" w14:textId="77777777" w:rsidR="003746B5" w:rsidRPr="001042E2" w:rsidRDefault="003746B5" w:rsidP="003D685A">
            <w:pPr>
              <w:pStyle w:val="TableText"/>
              <w:keepNext/>
              <w:keepLines/>
              <w:ind w:rightChars="-85" w:right="-187"/>
              <w:jc w:val="center"/>
              <w:rPr>
                <w:sz w:val="18"/>
                <w:szCs w:val="18"/>
                <w:lang w:val="en-GB"/>
              </w:rPr>
            </w:pPr>
            <w:r w:rsidRPr="001042E2">
              <w:rPr>
                <w:sz w:val="18"/>
                <w:szCs w:val="18"/>
                <w:lang w:val="en-GB"/>
              </w:rPr>
              <w:t>1.05</w:t>
            </w:r>
          </w:p>
        </w:tc>
      </w:tr>
      <w:tr w:rsidR="003746B5" w:rsidRPr="001042E2" w14:paraId="3171A4C3" w14:textId="77777777" w:rsidTr="004447BC">
        <w:trPr>
          <w:cantSplit/>
        </w:trPr>
        <w:tc>
          <w:tcPr>
            <w:tcW w:w="1822" w:type="dxa"/>
          </w:tcPr>
          <w:p w14:paraId="292E6684" w14:textId="77777777" w:rsidR="003746B5" w:rsidRPr="001042E2" w:rsidRDefault="003746B5" w:rsidP="003D685A">
            <w:pPr>
              <w:pStyle w:val="TableText"/>
              <w:keepNext/>
              <w:keepLines/>
              <w:ind w:rightChars="-85" w:right="-187"/>
              <w:rPr>
                <w:sz w:val="18"/>
                <w:szCs w:val="18"/>
                <w:lang w:val="en-GB"/>
              </w:rPr>
            </w:pPr>
            <w:r w:rsidRPr="001042E2">
              <w:rPr>
                <w:sz w:val="18"/>
                <w:szCs w:val="18"/>
                <w:lang w:val="en-GB"/>
              </w:rPr>
              <w:t>AUC</w:t>
            </w:r>
            <w:r w:rsidRPr="001042E2">
              <w:rPr>
                <w:sz w:val="18"/>
                <w:szCs w:val="18"/>
                <w:vertAlign w:val="subscript"/>
                <w:lang w:val="en-GB"/>
              </w:rPr>
              <w:t>(0-last)</w:t>
            </w:r>
            <w:r w:rsidRPr="001042E2">
              <w:rPr>
                <w:sz w:val="18"/>
                <w:szCs w:val="18"/>
                <w:lang w:val="en-GB"/>
              </w:rPr>
              <w:t xml:space="preserve"> (ng.h/mL)</w:t>
            </w:r>
          </w:p>
        </w:tc>
        <w:tc>
          <w:tcPr>
            <w:tcW w:w="1448" w:type="dxa"/>
          </w:tcPr>
          <w:p w14:paraId="741F9ACF" w14:textId="77777777" w:rsidR="003746B5" w:rsidRPr="001042E2" w:rsidRDefault="003746B5" w:rsidP="003D685A">
            <w:pPr>
              <w:pStyle w:val="TableText"/>
              <w:keepNext/>
              <w:keepLines/>
              <w:ind w:rightChars="-85" w:right="-187"/>
              <w:jc w:val="center"/>
              <w:rPr>
                <w:sz w:val="18"/>
                <w:szCs w:val="18"/>
                <w:lang w:val="en-GB"/>
              </w:rPr>
            </w:pPr>
            <w:r w:rsidRPr="001042E2">
              <w:rPr>
                <w:sz w:val="18"/>
                <w:szCs w:val="18"/>
                <w:lang w:val="en-GB"/>
              </w:rPr>
              <w:t>7.33</w:t>
            </w:r>
          </w:p>
        </w:tc>
        <w:tc>
          <w:tcPr>
            <w:tcW w:w="952" w:type="dxa"/>
          </w:tcPr>
          <w:p w14:paraId="7B82F4A0" w14:textId="77777777" w:rsidR="003746B5" w:rsidRPr="001042E2" w:rsidRDefault="003746B5" w:rsidP="003D685A">
            <w:pPr>
              <w:pStyle w:val="TableText"/>
              <w:keepNext/>
              <w:keepLines/>
              <w:ind w:rightChars="-85" w:right="-187"/>
              <w:jc w:val="center"/>
              <w:rPr>
                <w:sz w:val="18"/>
                <w:szCs w:val="18"/>
                <w:lang w:val="en-GB"/>
              </w:rPr>
            </w:pPr>
            <w:r w:rsidRPr="001042E2">
              <w:rPr>
                <w:sz w:val="18"/>
                <w:szCs w:val="18"/>
                <w:lang w:val="en-GB"/>
              </w:rPr>
              <w:t>1.10</w:t>
            </w:r>
          </w:p>
        </w:tc>
        <w:tc>
          <w:tcPr>
            <w:tcW w:w="900" w:type="dxa"/>
          </w:tcPr>
          <w:p w14:paraId="69EFA106" w14:textId="77777777" w:rsidR="003746B5" w:rsidRPr="001042E2" w:rsidRDefault="003746B5" w:rsidP="003D685A">
            <w:pPr>
              <w:pStyle w:val="TableText"/>
              <w:keepNext/>
              <w:keepLines/>
              <w:ind w:rightChars="-85" w:right="-187"/>
              <w:jc w:val="center"/>
              <w:rPr>
                <w:sz w:val="18"/>
                <w:szCs w:val="18"/>
                <w:lang w:val="en-GB"/>
              </w:rPr>
            </w:pPr>
            <w:r w:rsidRPr="001042E2">
              <w:rPr>
                <w:sz w:val="18"/>
                <w:szCs w:val="18"/>
                <w:lang w:val="en-GB"/>
              </w:rPr>
              <w:t>1.06</w:t>
            </w:r>
          </w:p>
        </w:tc>
        <w:tc>
          <w:tcPr>
            <w:tcW w:w="900" w:type="dxa"/>
            <w:gridSpan w:val="2"/>
          </w:tcPr>
          <w:p w14:paraId="2901499C" w14:textId="77777777" w:rsidR="003746B5" w:rsidRPr="001042E2" w:rsidRDefault="003746B5" w:rsidP="003D685A">
            <w:pPr>
              <w:pStyle w:val="TableText"/>
              <w:keepNext/>
              <w:keepLines/>
              <w:ind w:rightChars="-85" w:right="-187"/>
              <w:jc w:val="center"/>
              <w:rPr>
                <w:sz w:val="18"/>
                <w:szCs w:val="18"/>
                <w:lang w:val="en-GB"/>
              </w:rPr>
            </w:pPr>
            <w:r w:rsidRPr="001042E2">
              <w:rPr>
                <w:sz w:val="18"/>
                <w:szCs w:val="18"/>
                <w:lang w:val="en-GB"/>
              </w:rPr>
              <w:t>1.14</w:t>
            </w:r>
          </w:p>
        </w:tc>
      </w:tr>
      <w:tr w:rsidR="003746B5" w:rsidRPr="001042E2" w14:paraId="2AA834F9" w14:textId="77777777" w:rsidTr="004447BC">
        <w:trPr>
          <w:cantSplit/>
        </w:trPr>
        <w:tc>
          <w:tcPr>
            <w:tcW w:w="1822" w:type="dxa"/>
            <w:tcBorders>
              <w:bottom w:val="single" w:sz="12" w:space="0" w:color="000000"/>
            </w:tcBorders>
          </w:tcPr>
          <w:p w14:paraId="6FCAA46E" w14:textId="77777777" w:rsidR="003746B5" w:rsidRPr="00461297" w:rsidRDefault="003746B5" w:rsidP="003D685A">
            <w:pPr>
              <w:pStyle w:val="TableText"/>
              <w:keepNext/>
              <w:keepLines/>
              <w:ind w:rightChars="-85" w:right="-187"/>
              <w:rPr>
                <w:sz w:val="18"/>
                <w:szCs w:val="18"/>
                <w:lang w:val="fr-FR"/>
              </w:rPr>
            </w:pPr>
            <w:r w:rsidRPr="00461297">
              <w:rPr>
                <w:sz w:val="18"/>
                <w:szCs w:val="18"/>
                <w:lang w:val="fr-FR"/>
              </w:rPr>
              <w:t>AUC</w:t>
            </w:r>
            <w:r w:rsidRPr="00461297">
              <w:rPr>
                <w:sz w:val="18"/>
                <w:szCs w:val="18"/>
                <w:vertAlign w:val="subscript"/>
                <w:lang w:val="fr-FR"/>
              </w:rPr>
              <w:t>(0-inf)</w:t>
            </w:r>
            <w:r w:rsidRPr="00461297">
              <w:rPr>
                <w:sz w:val="18"/>
                <w:szCs w:val="18"/>
                <w:lang w:val="fr-FR"/>
              </w:rPr>
              <w:t xml:space="preserve"> (ng.h/mL)</w:t>
            </w:r>
          </w:p>
        </w:tc>
        <w:tc>
          <w:tcPr>
            <w:tcW w:w="1448" w:type="dxa"/>
            <w:tcBorders>
              <w:bottom w:val="single" w:sz="12" w:space="0" w:color="000000"/>
            </w:tcBorders>
          </w:tcPr>
          <w:p w14:paraId="4C12F6C3" w14:textId="77777777" w:rsidR="003746B5" w:rsidRPr="001042E2" w:rsidRDefault="003746B5" w:rsidP="003D685A">
            <w:pPr>
              <w:pStyle w:val="TableText"/>
              <w:keepNext/>
              <w:keepLines/>
              <w:ind w:rightChars="-85" w:right="-187"/>
              <w:jc w:val="center"/>
              <w:rPr>
                <w:sz w:val="18"/>
                <w:szCs w:val="18"/>
                <w:lang w:val="en-GB"/>
              </w:rPr>
            </w:pPr>
            <w:r w:rsidRPr="001042E2">
              <w:rPr>
                <w:sz w:val="18"/>
                <w:szCs w:val="18"/>
                <w:lang w:val="en-GB"/>
              </w:rPr>
              <w:t>7.59</w:t>
            </w:r>
          </w:p>
        </w:tc>
        <w:tc>
          <w:tcPr>
            <w:tcW w:w="952" w:type="dxa"/>
            <w:tcBorders>
              <w:bottom w:val="single" w:sz="12" w:space="0" w:color="000000"/>
            </w:tcBorders>
          </w:tcPr>
          <w:p w14:paraId="0E9178C6" w14:textId="77777777" w:rsidR="003746B5" w:rsidRPr="001042E2" w:rsidRDefault="003746B5" w:rsidP="003D685A">
            <w:pPr>
              <w:pStyle w:val="TableText"/>
              <w:keepNext/>
              <w:keepLines/>
              <w:ind w:rightChars="-85" w:right="-187"/>
              <w:jc w:val="center"/>
              <w:rPr>
                <w:sz w:val="18"/>
                <w:szCs w:val="18"/>
                <w:lang w:val="en-GB"/>
              </w:rPr>
            </w:pPr>
            <w:r w:rsidRPr="001042E2">
              <w:rPr>
                <w:sz w:val="18"/>
                <w:szCs w:val="18"/>
                <w:lang w:val="en-GB"/>
              </w:rPr>
              <w:t>1.04</w:t>
            </w:r>
          </w:p>
        </w:tc>
        <w:tc>
          <w:tcPr>
            <w:tcW w:w="900" w:type="dxa"/>
            <w:tcBorders>
              <w:bottom w:val="single" w:sz="12" w:space="0" w:color="000000"/>
            </w:tcBorders>
          </w:tcPr>
          <w:p w14:paraId="7DD306EA" w14:textId="77777777" w:rsidR="003746B5" w:rsidRPr="001042E2" w:rsidRDefault="003746B5" w:rsidP="003D685A">
            <w:pPr>
              <w:pStyle w:val="TableText"/>
              <w:keepNext/>
              <w:keepLines/>
              <w:ind w:rightChars="-85" w:right="-187"/>
              <w:jc w:val="center"/>
              <w:rPr>
                <w:sz w:val="18"/>
                <w:szCs w:val="18"/>
                <w:lang w:val="en-GB"/>
              </w:rPr>
            </w:pPr>
            <w:r w:rsidRPr="001042E2">
              <w:rPr>
                <w:sz w:val="18"/>
                <w:szCs w:val="18"/>
                <w:lang w:val="en-GB"/>
              </w:rPr>
              <w:t>0.99</w:t>
            </w:r>
          </w:p>
        </w:tc>
        <w:tc>
          <w:tcPr>
            <w:tcW w:w="900" w:type="dxa"/>
            <w:gridSpan w:val="2"/>
            <w:tcBorders>
              <w:bottom w:val="single" w:sz="12" w:space="0" w:color="000000"/>
            </w:tcBorders>
          </w:tcPr>
          <w:p w14:paraId="23BD27AF" w14:textId="77777777" w:rsidR="003746B5" w:rsidRPr="001042E2" w:rsidRDefault="003746B5" w:rsidP="003D685A">
            <w:pPr>
              <w:pStyle w:val="TableText"/>
              <w:keepNext/>
              <w:keepLines/>
              <w:ind w:rightChars="-85" w:right="-187"/>
              <w:jc w:val="center"/>
              <w:rPr>
                <w:sz w:val="18"/>
                <w:szCs w:val="18"/>
                <w:lang w:val="en-GB"/>
              </w:rPr>
            </w:pPr>
            <w:r w:rsidRPr="001042E2">
              <w:rPr>
                <w:sz w:val="18"/>
                <w:szCs w:val="18"/>
                <w:lang w:val="en-GB"/>
              </w:rPr>
              <w:t>1.08</w:t>
            </w:r>
          </w:p>
        </w:tc>
      </w:tr>
    </w:tbl>
    <w:p w14:paraId="666FB1E0" w14:textId="77777777" w:rsidR="003746B5" w:rsidRPr="001042E2" w:rsidRDefault="003746B5" w:rsidP="00461297">
      <w:pPr>
        <w:pStyle w:val="synopsis"/>
        <w:spacing w:before="60"/>
        <w:ind w:left="0" w:rightChars="-85" w:right="-187"/>
        <w:jc w:val="both"/>
        <w:rPr>
          <w:spacing w:val="-2"/>
          <w:sz w:val="18"/>
          <w:lang w:val="en-US"/>
        </w:rPr>
      </w:pPr>
    </w:p>
    <w:p w14:paraId="6607CA1F" w14:textId="77777777" w:rsidR="003746B5" w:rsidRPr="001042E2" w:rsidRDefault="003746B5" w:rsidP="003D685A">
      <w:pPr>
        <w:pStyle w:val="synopsis"/>
        <w:ind w:left="57" w:rightChars="-85" w:right="-187"/>
        <w:jc w:val="both"/>
        <w:rPr>
          <w:spacing w:val="-2"/>
          <w:sz w:val="18"/>
          <w:lang w:val="en-US"/>
        </w:rPr>
      </w:pPr>
      <w:r w:rsidRPr="001042E2">
        <w:rPr>
          <w:spacing w:val="-2"/>
          <w:sz w:val="18"/>
          <w:lang w:val="en-US"/>
        </w:rPr>
        <w:t>For HM11260C, median t</w:t>
      </w:r>
      <w:r w:rsidRPr="001042E2">
        <w:rPr>
          <w:spacing w:val="-2"/>
          <w:sz w:val="18"/>
          <w:vertAlign w:val="subscript"/>
          <w:lang w:val="en-US"/>
        </w:rPr>
        <w:t>max</w:t>
      </w:r>
      <w:r w:rsidRPr="001042E2">
        <w:rPr>
          <w:spacing w:val="-2"/>
          <w:sz w:val="18"/>
          <w:lang w:val="en-US"/>
        </w:rPr>
        <w:t xml:space="preserve"> in serum ranged between 72 and 144 hours post-dose. Geometric mean t</w:t>
      </w:r>
      <w:r w:rsidRPr="001042E2">
        <w:rPr>
          <w:spacing w:val="-2"/>
          <w:sz w:val="18"/>
          <w:vertAlign w:val="subscript"/>
          <w:lang w:val="en-US"/>
        </w:rPr>
        <w:t>1/2</w:t>
      </w:r>
      <w:r w:rsidRPr="001042E2">
        <w:rPr>
          <w:spacing w:val="-2"/>
          <w:sz w:val="18"/>
          <w:lang w:val="en-US"/>
        </w:rPr>
        <w:t xml:space="preserve"> for HM11260C ranged between 135 and 180 hours and appeared to be constant over the dose range studied. </w:t>
      </w:r>
    </w:p>
    <w:p w14:paraId="53E1E8BE" w14:textId="77777777" w:rsidR="003746B5" w:rsidRPr="001042E2" w:rsidRDefault="003746B5" w:rsidP="003D685A">
      <w:pPr>
        <w:pStyle w:val="synopsis"/>
        <w:ind w:left="57" w:rightChars="-85" w:right="-187"/>
        <w:rPr>
          <w:spacing w:val="-2"/>
          <w:sz w:val="18"/>
          <w:u w:val="single"/>
        </w:rPr>
      </w:pPr>
    </w:p>
    <w:p w14:paraId="1CAAA6EE" w14:textId="77777777" w:rsidR="003746B5" w:rsidRPr="00BB3B7F" w:rsidRDefault="003746B5" w:rsidP="003D685A">
      <w:pPr>
        <w:pStyle w:val="synopsis"/>
        <w:ind w:left="57" w:rightChars="-85" w:right="-187"/>
        <w:rPr>
          <w:spacing w:val="-2"/>
          <w:sz w:val="18"/>
          <w:u w:val="single"/>
        </w:rPr>
      </w:pPr>
      <w:r w:rsidRPr="001042E2">
        <w:rPr>
          <w:spacing w:val="-2"/>
          <w:sz w:val="18"/>
          <w:u w:val="single"/>
        </w:rPr>
        <w:t>Pharmacodynamics</w:t>
      </w:r>
    </w:p>
    <w:p w14:paraId="59D2AD22" w14:textId="77777777" w:rsidR="003746B5" w:rsidRPr="00BB3B7F" w:rsidRDefault="003746B5" w:rsidP="003D685A">
      <w:pPr>
        <w:pStyle w:val="synopsis"/>
        <w:ind w:left="57" w:rightChars="-85" w:right="-187"/>
        <w:rPr>
          <w:rFonts w:cs="Arial"/>
          <w:color w:val="000000"/>
          <w:spacing w:val="-2"/>
          <w:sz w:val="18"/>
        </w:rPr>
      </w:pPr>
    </w:p>
    <w:p w14:paraId="0248E5CB" w14:textId="77777777" w:rsidR="003746B5" w:rsidRPr="00BB3B7F" w:rsidRDefault="003746B5" w:rsidP="003D685A">
      <w:pPr>
        <w:pStyle w:val="synopsis"/>
        <w:ind w:left="57" w:rightChars="-85" w:right="-187"/>
        <w:rPr>
          <w:rFonts w:cs="Arial"/>
          <w:i/>
          <w:color w:val="000000"/>
          <w:spacing w:val="-2"/>
          <w:sz w:val="18"/>
        </w:rPr>
      </w:pPr>
      <w:r w:rsidRPr="00BB3B7F">
        <w:rPr>
          <w:rFonts w:cs="Arial"/>
          <w:i/>
          <w:color w:val="000000"/>
          <w:spacing w:val="-2"/>
          <w:sz w:val="18"/>
        </w:rPr>
        <w:t>Glucose, insulin and C-peptide</w:t>
      </w:r>
    </w:p>
    <w:p w14:paraId="41A45A90" w14:textId="77C6B2AC" w:rsidR="003746B5" w:rsidRPr="00BB3B7F" w:rsidRDefault="003746B5" w:rsidP="003D685A">
      <w:pPr>
        <w:pStyle w:val="synopsis"/>
        <w:ind w:left="57" w:rightChars="-85" w:right="-187"/>
        <w:jc w:val="both"/>
        <w:rPr>
          <w:rFonts w:cs="Arial"/>
          <w:color w:val="000000"/>
          <w:spacing w:val="-2"/>
          <w:sz w:val="18"/>
        </w:rPr>
      </w:pPr>
      <w:r w:rsidRPr="00BB3B7F">
        <w:rPr>
          <w:rFonts w:cs="Arial"/>
          <w:color w:val="000000"/>
          <w:spacing w:val="-2"/>
          <w:sz w:val="18"/>
        </w:rPr>
        <w:t>Fasting blood glucose levels (C</w:t>
      </w:r>
      <w:r w:rsidRPr="00BB3B7F">
        <w:rPr>
          <w:rFonts w:cs="Arial"/>
          <w:color w:val="000000"/>
          <w:spacing w:val="-2"/>
          <w:sz w:val="18"/>
          <w:vertAlign w:val="subscript"/>
        </w:rPr>
        <w:t>pre</w:t>
      </w:r>
      <w:r w:rsidRPr="00BB3B7F">
        <w:rPr>
          <w:rFonts w:cs="Arial"/>
          <w:color w:val="000000"/>
          <w:spacing w:val="-2"/>
          <w:sz w:val="18"/>
        </w:rPr>
        <w:t>) for patients receiving placebo did not clearly change through time. Fasting blood glucose levels for patients receiving HM11260C at dose levels of 4 to 100 µg/kg were clearly lower on Days 4, 7 and 14 compared to Day -1 with the most pronounced effects seen on Day 7 and for the dose levels of 20 to 100</w:t>
      </w:r>
      <w:r>
        <w:rPr>
          <w:rFonts w:cs="Arial"/>
          <w:color w:val="000000"/>
          <w:spacing w:val="-2"/>
          <w:sz w:val="18"/>
        </w:rPr>
        <w:t> </w:t>
      </w:r>
      <w:r w:rsidRPr="00BB3B7F">
        <w:rPr>
          <w:rFonts w:cs="Arial"/>
          <w:color w:val="000000"/>
          <w:spacing w:val="-2"/>
          <w:sz w:val="18"/>
        </w:rPr>
        <w:t xml:space="preserve">µg/kg. On this day mean blood glucose levels were below 7.0 mmol/L: 6.9, 6.4, 5.6 and 6.8 mmol/L for the 20, 40, 60 and 100 µg/kg HM11260C dose levels, respectively. For 60 µg/kg HM11260C fasting blood glucose levels were still low on Day 14 with a mean value of 6.5 mmol/L. </w:t>
      </w:r>
      <w:r w:rsidRPr="00BB3B7F">
        <w:rPr>
          <w:rFonts w:cs="Arial"/>
          <w:iCs/>
          <w:color w:val="000000"/>
          <w:spacing w:val="-2"/>
          <w:sz w:val="18"/>
        </w:rPr>
        <w:t xml:space="preserve">These observations are confirmed by the mean level-time profiles for glucose </w:t>
      </w:r>
      <w:r w:rsidRPr="00BB3B7F">
        <w:rPr>
          <w:rFonts w:cs="Arial"/>
          <w:color w:val="000000"/>
          <w:spacing w:val="-2"/>
          <w:sz w:val="18"/>
        </w:rPr>
        <w:t xml:space="preserve">which clearly show decreasing fasting blood glucose levels after single dose treatment </w:t>
      </w:r>
      <w:r w:rsidRPr="00BB3B7F">
        <w:rPr>
          <w:rFonts w:cs="Arial"/>
          <w:iCs/>
          <w:color w:val="000000"/>
          <w:spacing w:val="-2"/>
          <w:sz w:val="18"/>
        </w:rPr>
        <w:t xml:space="preserve">with HM11260C at dose levels of 20 to 100 </w:t>
      </w:r>
      <w:r w:rsidRPr="00BB3B7F">
        <w:rPr>
          <w:rFonts w:cs="Arial"/>
          <w:color w:val="000000"/>
          <w:spacing w:val="-2"/>
          <w:sz w:val="18"/>
        </w:rPr>
        <w:t>µg/kg</w:t>
      </w:r>
      <w:r w:rsidRPr="00BB3B7F">
        <w:rPr>
          <w:rFonts w:cs="Arial"/>
          <w:iCs/>
          <w:color w:val="000000"/>
          <w:spacing w:val="-2"/>
          <w:sz w:val="18"/>
        </w:rPr>
        <w:t>.</w:t>
      </w:r>
      <w:r w:rsidRPr="00BB3B7F">
        <w:rPr>
          <w:rFonts w:cs="Arial"/>
          <w:color w:val="000000"/>
          <w:spacing w:val="-2"/>
          <w:sz w:val="18"/>
        </w:rPr>
        <w:t xml:space="preserve"> Fasting blood glucose levels for patients receiving HM11260C at dose levels of 20 to 100 µg/kg were clearly lower on Days 4, 7, 14 and 21 compared to </w:t>
      </w:r>
      <w:r w:rsidRPr="00BB3B7F">
        <w:rPr>
          <w:rFonts w:cs="Arial"/>
          <w:color w:val="000000"/>
          <w:spacing w:val="-2"/>
          <w:sz w:val="18"/>
        </w:rPr>
        <w:lastRenderedPageBreak/>
        <w:t>placebo. This was also confirmed by statistical analysis of fasting glucose comparing HM11260C treatments with placebo.</w:t>
      </w:r>
    </w:p>
    <w:p w14:paraId="59331A88" w14:textId="77777777" w:rsidR="003746B5" w:rsidRPr="00BB3B7F" w:rsidRDefault="003746B5" w:rsidP="003D685A">
      <w:pPr>
        <w:pStyle w:val="synopsis"/>
        <w:ind w:left="57" w:rightChars="-85" w:right="-187"/>
        <w:jc w:val="both"/>
        <w:rPr>
          <w:rFonts w:cs="Arial"/>
          <w:iCs/>
          <w:color w:val="000000"/>
          <w:spacing w:val="-2"/>
          <w:sz w:val="18"/>
        </w:rPr>
      </w:pPr>
    </w:p>
    <w:p w14:paraId="188DCA8C" w14:textId="77777777" w:rsidR="003746B5" w:rsidRPr="00BB3B7F" w:rsidRDefault="003746B5" w:rsidP="003D685A">
      <w:pPr>
        <w:pStyle w:val="synopsis"/>
        <w:ind w:left="57" w:rightChars="-85" w:right="-187"/>
        <w:jc w:val="both"/>
        <w:rPr>
          <w:rFonts w:cs="Arial"/>
          <w:iCs/>
          <w:color w:val="000000"/>
          <w:spacing w:val="-2"/>
          <w:sz w:val="18"/>
        </w:rPr>
      </w:pPr>
      <w:r w:rsidRPr="00BB3B7F">
        <w:rPr>
          <w:rFonts w:cs="Arial"/>
          <w:iCs/>
          <w:color w:val="000000"/>
          <w:spacing w:val="-2"/>
          <w:sz w:val="18"/>
        </w:rPr>
        <w:t>During the nutrient challenge (Ensure Plus</w:t>
      </w:r>
      <w:r w:rsidRPr="00BB3B7F">
        <w:rPr>
          <w:rFonts w:cs="Arial"/>
          <w:iCs/>
          <w:color w:val="000000"/>
          <w:spacing w:val="-2"/>
          <w:sz w:val="18"/>
          <w:vertAlign w:val="superscript"/>
        </w:rPr>
        <w:t>®</w:t>
      </w:r>
      <w:r w:rsidRPr="00BB3B7F">
        <w:rPr>
          <w:rFonts w:cs="Arial"/>
          <w:iCs/>
          <w:color w:val="000000"/>
          <w:spacing w:val="-2"/>
          <w:sz w:val="18"/>
        </w:rPr>
        <w:t>) on Days 4, 7 and 14, post-prandial glucose levels were lower following HM11260C doses of 14 to 100 µg/kg compared to placebo and compared to the Day -1 values of each active treatment. This is confirmed by E</w:t>
      </w:r>
      <w:r w:rsidRPr="00BB3B7F">
        <w:rPr>
          <w:rFonts w:cs="Arial"/>
          <w:iCs/>
          <w:color w:val="000000"/>
          <w:spacing w:val="-2"/>
          <w:sz w:val="18"/>
          <w:vertAlign w:val="subscript"/>
        </w:rPr>
        <w:t>max</w:t>
      </w:r>
      <w:r w:rsidRPr="00BB3B7F">
        <w:rPr>
          <w:rFonts w:cs="Arial"/>
          <w:iCs/>
          <w:color w:val="000000"/>
          <w:spacing w:val="-2"/>
          <w:sz w:val="18"/>
        </w:rPr>
        <w:t xml:space="preserve"> and r</w:t>
      </w:r>
      <w:r w:rsidRPr="00BB3B7F">
        <w:rPr>
          <w:rFonts w:cs="Arial"/>
          <w:bCs/>
          <w:iCs/>
          <w:color w:val="000000"/>
          <w:spacing w:val="-2"/>
          <w:sz w:val="18"/>
        </w:rPr>
        <w:t>AUC</w:t>
      </w:r>
      <w:r w:rsidRPr="00BB3B7F">
        <w:rPr>
          <w:rFonts w:cs="Arial"/>
          <w:bCs/>
          <w:iCs/>
          <w:color w:val="000000"/>
          <w:spacing w:val="-2"/>
          <w:sz w:val="18"/>
          <w:vertAlign w:val="subscript"/>
        </w:rPr>
        <w:t>(0-4)</w:t>
      </w:r>
      <w:r w:rsidRPr="00BB3B7F">
        <w:rPr>
          <w:rFonts w:cs="Arial"/>
          <w:bCs/>
          <w:iCs/>
          <w:color w:val="000000"/>
          <w:spacing w:val="-2"/>
          <w:sz w:val="18"/>
        </w:rPr>
        <w:t xml:space="preserve"> values for glucose on these days. </w:t>
      </w:r>
      <w:r w:rsidRPr="00BB3B7F">
        <w:rPr>
          <w:rFonts w:cs="Arial"/>
          <w:iCs/>
          <w:color w:val="000000"/>
          <w:spacing w:val="-2"/>
          <w:sz w:val="18"/>
        </w:rPr>
        <w:t xml:space="preserve">No obvious changes in glucose values </w:t>
      </w:r>
      <w:r w:rsidRPr="00BB3B7F">
        <w:rPr>
          <w:rFonts w:cs="Arial"/>
          <w:color w:val="000000"/>
          <w:spacing w:val="-2"/>
          <w:sz w:val="18"/>
        </w:rPr>
        <w:t xml:space="preserve">during the </w:t>
      </w:r>
      <w:r w:rsidRPr="00BB3B7F">
        <w:rPr>
          <w:rFonts w:cs="Arial"/>
          <w:iCs/>
          <w:color w:val="000000"/>
          <w:spacing w:val="-2"/>
          <w:sz w:val="18"/>
        </w:rPr>
        <w:t>nutrient challenge were observed on the other nutrient challenge days (Days 1, 21 and 28) and for the dose levels of 2 to 8</w:t>
      </w:r>
      <w:r>
        <w:rPr>
          <w:rFonts w:cs="Arial"/>
          <w:iCs/>
          <w:color w:val="000000"/>
          <w:spacing w:val="-2"/>
          <w:sz w:val="18"/>
        </w:rPr>
        <w:t> </w:t>
      </w:r>
      <w:r w:rsidRPr="00BB3B7F">
        <w:rPr>
          <w:rFonts w:cs="Arial"/>
          <w:iCs/>
          <w:color w:val="000000"/>
          <w:spacing w:val="-2"/>
          <w:sz w:val="18"/>
        </w:rPr>
        <w:t>µg/kg HM11260C.</w:t>
      </w:r>
    </w:p>
    <w:p w14:paraId="12A008FF" w14:textId="77777777" w:rsidR="003746B5" w:rsidRPr="00BB3B7F" w:rsidRDefault="003746B5" w:rsidP="003D685A">
      <w:pPr>
        <w:pStyle w:val="synopsis"/>
        <w:ind w:left="57" w:rightChars="-85" w:right="-187"/>
        <w:jc w:val="both"/>
        <w:rPr>
          <w:rFonts w:cs="Arial"/>
          <w:iCs/>
          <w:color w:val="000000"/>
          <w:spacing w:val="-2"/>
          <w:sz w:val="18"/>
        </w:rPr>
      </w:pPr>
    </w:p>
    <w:p w14:paraId="2085D197" w14:textId="77777777" w:rsidR="003746B5" w:rsidRPr="00BB3B7F" w:rsidRDefault="003746B5" w:rsidP="003D685A">
      <w:pPr>
        <w:pStyle w:val="synopsis"/>
        <w:ind w:left="57" w:rightChars="-85" w:right="-187"/>
        <w:jc w:val="both"/>
        <w:rPr>
          <w:rFonts w:cs="Arial"/>
          <w:color w:val="000000"/>
          <w:spacing w:val="-2"/>
          <w:sz w:val="18"/>
        </w:rPr>
      </w:pPr>
      <w:r w:rsidRPr="00BB3B7F">
        <w:rPr>
          <w:rFonts w:cs="Arial"/>
          <w:iCs/>
          <w:color w:val="000000"/>
          <w:spacing w:val="-2"/>
          <w:sz w:val="18"/>
        </w:rPr>
        <w:t>Based upon E</w:t>
      </w:r>
      <w:r w:rsidRPr="00BB3B7F">
        <w:rPr>
          <w:rFonts w:cs="Arial"/>
          <w:iCs/>
          <w:color w:val="000000"/>
          <w:spacing w:val="-2"/>
          <w:sz w:val="18"/>
          <w:vertAlign w:val="subscript"/>
        </w:rPr>
        <w:t xml:space="preserve">max </w:t>
      </w:r>
      <w:r w:rsidRPr="00BB3B7F">
        <w:rPr>
          <w:rFonts w:cs="Arial"/>
          <w:iCs/>
          <w:color w:val="000000"/>
          <w:spacing w:val="-2"/>
          <w:sz w:val="18"/>
        </w:rPr>
        <w:t>and r</w:t>
      </w:r>
      <w:r w:rsidRPr="00BB3B7F">
        <w:rPr>
          <w:rFonts w:cs="Arial"/>
          <w:bCs/>
          <w:iCs/>
          <w:color w:val="000000"/>
          <w:spacing w:val="-2"/>
          <w:sz w:val="18"/>
        </w:rPr>
        <w:t>AUC</w:t>
      </w:r>
      <w:r w:rsidRPr="00BB3B7F">
        <w:rPr>
          <w:rFonts w:cs="Arial"/>
          <w:bCs/>
          <w:iCs/>
          <w:color w:val="000000"/>
          <w:spacing w:val="-2"/>
          <w:sz w:val="18"/>
          <w:vertAlign w:val="subscript"/>
        </w:rPr>
        <w:t>(0-4)</w:t>
      </w:r>
      <w:r w:rsidRPr="00BB3B7F">
        <w:rPr>
          <w:rFonts w:cs="Arial"/>
          <w:iCs/>
          <w:color w:val="000000"/>
          <w:spacing w:val="-2"/>
          <w:sz w:val="18"/>
        </w:rPr>
        <w:t>, during the nutrient challenge, insulin levels for</w:t>
      </w:r>
      <w:r w:rsidRPr="00BB3B7F">
        <w:rPr>
          <w:rFonts w:cs="Arial"/>
          <w:bCs/>
          <w:iCs/>
          <w:color w:val="000000"/>
          <w:spacing w:val="-2"/>
          <w:sz w:val="18"/>
        </w:rPr>
        <w:t xml:space="preserve"> the active treatments</w:t>
      </w:r>
      <w:r w:rsidRPr="00BB3B7F">
        <w:rPr>
          <w:rFonts w:cs="Arial"/>
          <w:iCs/>
          <w:color w:val="000000"/>
          <w:spacing w:val="-2"/>
          <w:sz w:val="18"/>
        </w:rPr>
        <w:t xml:space="preserve"> on Days 1, 4, 7 and 14 were higher compared to Day -1. Only for the 40, 60 and 100 µg/kg dose levels the insulin levels were lower on Day 4 compared to Day </w:t>
      </w:r>
      <w:r w:rsidRPr="00BB3B7F">
        <w:rPr>
          <w:rFonts w:cs="Arial"/>
          <w:iCs/>
          <w:color w:val="000000"/>
          <w:spacing w:val="-2"/>
          <w:sz w:val="18"/>
        </w:rPr>
        <w:noBreakHyphen/>
        <w:t>1</w:t>
      </w:r>
      <w:r w:rsidRPr="00BB3B7F">
        <w:rPr>
          <w:iCs/>
          <w:sz w:val="22"/>
          <w:lang w:eastAsia="ja-JP"/>
        </w:rPr>
        <w:t xml:space="preserve"> </w:t>
      </w:r>
      <w:r w:rsidRPr="00BB3B7F">
        <w:rPr>
          <w:rFonts w:cs="Arial"/>
          <w:iCs/>
          <w:color w:val="000000"/>
          <w:spacing w:val="-2"/>
          <w:sz w:val="18"/>
        </w:rPr>
        <w:t>and for the 14 µg/kg dose level the insulin levels were lower on Day 14 compared to Day </w:t>
      </w:r>
      <w:r w:rsidRPr="00BB3B7F">
        <w:rPr>
          <w:rFonts w:cs="Arial"/>
          <w:iCs/>
          <w:color w:val="000000"/>
          <w:spacing w:val="-2"/>
          <w:sz w:val="18"/>
        </w:rPr>
        <w:noBreakHyphen/>
        <w:t>1.</w:t>
      </w:r>
    </w:p>
    <w:p w14:paraId="48C6551D" w14:textId="77777777" w:rsidR="003746B5" w:rsidRDefault="003746B5" w:rsidP="00461297">
      <w:pPr>
        <w:ind w:left="0"/>
        <w:rPr>
          <w:b/>
          <w:sz w:val="28"/>
          <w:szCs w:val="28"/>
        </w:rPr>
      </w:pPr>
      <w:r w:rsidRPr="00BB3B7F">
        <w:br w:type="page"/>
      </w:r>
      <w:r w:rsidRPr="00461297">
        <w:rPr>
          <w:b/>
          <w:sz w:val="28"/>
          <w:szCs w:val="28"/>
        </w:rPr>
        <w:lastRenderedPageBreak/>
        <w:t>SYNOPSIS (Cont.)</w:t>
      </w:r>
    </w:p>
    <w:p w14:paraId="52FF1678" w14:textId="77777777" w:rsidR="002D431F" w:rsidRPr="00461297" w:rsidRDefault="002D431F" w:rsidP="00461297">
      <w:pPr>
        <w:ind w:left="0"/>
        <w:rPr>
          <w:rFonts w:cs="Arial"/>
          <w:b/>
          <w:spacing w:val="-2"/>
          <w:sz w:val="28"/>
          <w:szCs w:val="28"/>
        </w:rPr>
      </w:pPr>
    </w:p>
    <w:p w14:paraId="7BBC0968" w14:textId="77777777" w:rsidR="003746B5" w:rsidRPr="00BB3B7F" w:rsidRDefault="003746B5" w:rsidP="003D685A">
      <w:pPr>
        <w:pStyle w:val="synopsis"/>
        <w:ind w:left="57" w:rightChars="-85" w:right="-187"/>
        <w:jc w:val="both"/>
        <w:rPr>
          <w:iCs/>
          <w:sz w:val="18"/>
          <w:szCs w:val="18"/>
          <w:lang w:eastAsia="ja-JP"/>
        </w:rPr>
      </w:pPr>
      <w:r w:rsidRPr="00BB3B7F">
        <w:rPr>
          <w:rFonts w:cs="Arial"/>
          <w:iCs/>
          <w:color w:val="000000"/>
          <w:spacing w:val="-2"/>
          <w:sz w:val="18"/>
        </w:rPr>
        <w:t>Based upon E</w:t>
      </w:r>
      <w:r w:rsidRPr="00BB3B7F">
        <w:rPr>
          <w:rFonts w:cs="Arial"/>
          <w:iCs/>
          <w:color w:val="000000"/>
          <w:spacing w:val="-2"/>
          <w:sz w:val="18"/>
          <w:vertAlign w:val="subscript"/>
        </w:rPr>
        <w:t>max</w:t>
      </w:r>
      <w:r w:rsidRPr="00BB3B7F">
        <w:rPr>
          <w:rFonts w:cs="Arial"/>
          <w:iCs/>
          <w:color w:val="000000"/>
          <w:spacing w:val="-2"/>
          <w:sz w:val="18"/>
        </w:rPr>
        <w:t xml:space="preserve"> and r</w:t>
      </w:r>
      <w:r w:rsidRPr="00BB3B7F">
        <w:rPr>
          <w:rFonts w:cs="Arial"/>
          <w:bCs/>
          <w:iCs/>
          <w:color w:val="000000"/>
          <w:spacing w:val="-2"/>
          <w:sz w:val="18"/>
        </w:rPr>
        <w:t>AUC</w:t>
      </w:r>
      <w:r w:rsidRPr="00BB3B7F">
        <w:rPr>
          <w:rFonts w:cs="Arial"/>
          <w:bCs/>
          <w:iCs/>
          <w:color w:val="000000"/>
          <w:spacing w:val="-2"/>
          <w:sz w:val="18"/>
          <w:vertAlign w:val="subscript"/>
        </w:rPr>
        <w:t>(0-4)</w:t>
      </w:r>
      <w:r w:rsidRPr="00BB3B7F">
        <w:rPr>
          <w:rFonts w:cs="Arial"/>
          <w:iCs/>
          <w:color w:val="000000"/>
          <w:spacing w:val="-2"/>
          <w:sz w:val="18"/>
        </w:rPr>
        <w:t xml:space="preserve">, during the nutrient challenge, C-peptide levels for the active treatments were generally higher on Days 1, 4, 7 and 14 compared to Day -1. </w:t>
      </w:r>
      <w:r w:rsidRPr="00BB3B7F">
        <w:rPr>
          <w:iCs/>
          <w:sz w:val="18"/>
          <w:szCs w:val="18"/>
          <w:lang w:eastAsia="ja-JP"/>
        </w:rPr>
        <w:t xml:space="preserve">Only for the 60 and 100 </w:t>
      </w:r>
      <w:r w:rsidRPr="00BB3B7F">
        <w:rPr>
          <w:rFonts w:cs="Arial"/>
          <w:iCs/>
          <w:sz w:val="18"/>
          <w:szCs w:val="18"/>
          <w:lang w:eastAsia="ja-JP"/>
        </w:rPr>
        <w:t>µ</w:t>
      </w:r>
      <w:r w:rsidRPr="00BB3B7F">
        <w:rPr>
          <w:iCs/>
          <w:sz w:val="18"/>
          <w:szCs w:val="18"/>
          <w:lang w:eastAsia="ja-JP"/>
        </w:rPr>
        <w:t>g/kg dose levels the C-peptide levels were lower on Day 4 compared to Day </w:t>
      </w:r>
      <w:r w:rsidRPr="00BB3B7F">
        <w:rPr>
          <w:iCs/>
          <w:sz w:val="18"/>
          <w:szCs w:val="18"/>
          <w:lang w:eastAsia="ja-JP"/>
        </w:rPr>
        <w:noBreakHyphen/>
        <w:t>1.</w:t>
      </w:r>
    </w:p>
    <w:p w14:paraId="77C1CCBE" w14:textId="77777777" w:rsidR="003746B5" w:rsidRPr="00BB3B7F" w:rsidRDefault="003746B5" w:rsidP="003D685A">
      <w:pPr>
        <w:pStyle w:val="synopsis"/>
        <w:ind w:left="57" w:rightChars="-85" w:right="-187"/>
        <w:jc w:val="both"/>
        <w:rPr>
          <w:iCs/>
          <w:sz w:val="18"/>
          <w:szCs w:val="18"/>
          <w:lang w:eastAsia="ja-JP"/>
        </w:rPr>
      </w:pPr>
    </w:p>
    <w:p w14:paraId="60D89FDD" w14:textId="77777777" w:rsidR="003746B5" w:rsidRPr="00BB3B7F" w:rsidRDefault="003746B5" w:rsidP="003D685A">
      <w:pPr>
        <w:pStyle w:val="synopsis"/>
        <w:ind w:left="57" w:rightChars="-85" w:right="-187"/>
        <w:jc w:val="both"/>
        <w:rPr>
          <w:iCs/>
          <w:sz w:val="18"/>
          <w:szCs w:val="18"/>
          <w:lang w:eastAsia="ja-JP"/>
        </w:rPr>
      </w:pPr>
      <w:r w:rsidRPr="00BB3B7F">
        <w:rPr>
          <w:iCs/>
          <w:sz w:val="18"/>
          <w:szCs w:val="18"/>
          <w:lang w:eastAsia="ja-JP"/>
        </w:rPr>
        <w:t>Pharmacologically active dose:</w:t>
      </w:r>
    </w:p>
    <w:p w14:paraId="7179D173" w14:textId="77777777" w:rsidR="003746B5" w:rsidRPr="00BB3B7F" w:rsidRDefault="003746B5" w:rsidP="003D685A">
      <w:pPr>
        <w:pStyle w:val="synopsis"/>
        <w:ind w:left="57" w:rightChars="-85" w:right="-187"/>
        <w:jc w:val="both"/>
        <w:rPr>
          <w:rFonts w:cs="Arial"/>
          <w:color w:val="000000"/>
          <w:spacing w:val="-2"/>
          <w:sz w:val="18"/>
          <w:szCs w:val="18"/>
        </w:rPr>
      </w:pPr>
      <w:r w:rsidRPr="00BB3B7F">
        <w:rPr>
          <w:rFonts w:cs="Arial"/>
          <w:iCs/>
          <w:color w:val="000000"/>
          <w:spacing w:val="-2"/>
          <w:sz w:val="18"/>
          <w:szCs w:val="18"/>
        </w:rPr>
        <w:t xml:space="preserve">One of the objectives of this study was to define a pharmacologically active dose of HM11260C that resulted in a mean reduction from baseline in fasting glucose of more than 30 mg/dL (1.66 mmol/L) or 20%, whichever was greater. The results from this study show that this target was met on Day 7 for the 20, 40, 60 and 100 µg/kg single dose levels, since the mean reduction in fasting glucose from baseline was 1.9 mmol/L (20%), 2.1 mmol/L (24.7%), 3.4 mmol/L (37.3%) and 2.7 mmol/L (28.9%), respectively. Seven days later, on Day 14, the target was still met for the highest dose levels of 60 and 100 µg/kg, with a mean reduction of 2.5 mmol/L (27.2%) and 2.0 mmol/L (21.6%), respectively. Based on the interpretation of the above-mentioned fasting blood glucose results, the 20, 40, 60 and 100 µg/kg dose levels are considered to be pharmacologically active doses in this study. </w:t>
      </w:r>
    </w:p>
    <w:p w14:paraId="696525C1" w14:textId="77777777" w:rsidR="003746B5" w:rsidRPr="00BB3B7F" w:rsidRDefault="003746B5" w:rsidP="003D685A">
      <w:pPr>
        <w:pStyle w:val="synopsis"/>
        <w:ind w:left="57" w:rightChars="-85" w:right="-187"/>
        <w:rPr>
          <w:rFonts w:cs="Arial"/>
          <w:i/>
          <w:color w:val="000000"/>
          <w:spacing w:val="-2"/>
          <w:sz w:val="18"/>
          <w:szCs w:val="18"/>
        </w:rPr>
      </w:pPr>
    </w:p>
    <w:p w14:paraId="68665C6A" w14:textId="77777777" w:rsidR="003746B5" w:rsidRPr="00BB3B7F" w:rsidRDefault="003746B5" w:rsidP="003D685A">
      <w:pPr>
        <w:pStyle w:val="synopsis"/>
        <w:ind w:left="57" w:rightChars="-85" w:right="-187"/>
        <w:rPr>
          <w:rFonts w:cs="Arial"/>
          <w:i/>
          <w:color w:val="000000"/>
          <w:spacing w:val="-2"/>
          <w:sz w:val="18"/>
        </w:rPr>
      </w:pPr>
      <w:r w:rsidRPr="00BB3B7F">
        <w:rPr>
          <w:rFonts w:cs="Arial"/>
          <w:i/>
          <w:color w:val="000000"/>
          <w:spacing w:val="-2"/>
          <w:sz w:val="18"/>
        </w:rPr>
        <w:t>Fructosamine</w:t>
      </w:r>
    </w:p>
    <w:p w14:paraId="39F43FA6" w14:textId="77777777" w:rsidR="003746B5" w:rsidRPr="00BB3B7F" w:rsidRDefault="003746B5" w:rsidP="003D685A">
      <w:pPr>
        <w:pStyle w:val="synopsis"/>
        <w:ind w:left="57" w:rightChars="-85" w:right="-187"/>
        <w:jc w:val="both"/>
        <w:rPr>
          <w:rFonts w:cs="Arial"/>
          <w:color w:val="000000"/>
          <w:spacing w:val="-2"/>
          <w:sz w:val="18"/>
          <w:szCs w:val="18"/>
        </w:rPr>
      </w:pPr>
      <w:r w:rsidRPr="00BB3B7F">
        <w:rPr>
          <w:sz w:val="18"/>
          <w:szCs w:val="18"/>
          <w:lang w:val="nl-NL"/>
        </w:rPr>
        <w:t xml:space="preserve">For the lower dose levels of HM11260C (2 </w:t>
      </w:r>
      <w:r w:rsidRPr="00BB3B7F">
        <w:rPr>
          <w:rFonts w:cs="Arial"/>
          <w:sz w:val="18"/>
          <w:szCs w:val="18"/>
          <w:lang w:val="nl-NL"/>
        </w:rPr>
        <w:t>µ</w:t>
      </w:r>
      <w:r w:rsidRPr="00BB3B7F">
        <w:rPr>
          <w:sz w:val="18"/>
          <w:szCs w:val="18"/>
          <w:lang w:val="nl-NL"/>
        </w:rPr>
        <w:t xml:space="preserve">g/kg to 20 </w:t>
      </w:r>
      <w:r w:rsidRPr="00BB3B7F">
        <w:rPr>
          <w:rFonts w:cs="Arial"/>
          <w:sz w:val="18"/>
          <w:szCs w:val="18"/>
          <w:lang w:val="nl-NL"/>
        </w:rPr>
        <w:t>µ</w:t>
      </w:r>
      <w:r w:rsidRPr="00BB3B7F">
        <w:rPr>
          <w:sz w:val="18"/>
          <w:szCs w:val="18"/>
          <w:lang w:val="nl-NL"/>
        </w:rPr>
        <w:t xml:space="preserve">g/kg) and placebo no clear differences were seen in fructosamine levels from Day -1 to Day 49. For the dose levels of 40 </w:t>
      </w:r>
      <w:r w:rsidRPr="00BB3B7F">
        <w:rPr>
          <w:rFonts w:cs="Arial"/>
          <w:sz w:val="18"/>
          <w:szCs w:val="18"/>
          <w:lang w:val="nl-NL"/>
        </w:rPr>
        <w:t>µ</w:t>
      </w:r>
      <w:r w:rsidRPr="00BB3B7F">
        <w:rPr>
          <w:sz w:val="18"/>
          <w:szCs w:val="18"/>
          <w:lang w:val="nl-NL"/>
        </w:rPr>
        <w:t xml:space="preserve">g/kg to 100 </w:t>
      </w:r>
      <w:r w:rsidRPr="00BB3B7F">
        <w:rPr>
          <w:rFonts w:cs="Arial"/>
          <w:sz w:val="18"/>
          <w:szCs w:val="18"/>
          <w:lang w:val="nl-NL"/>
        </w:rPr>
        <w:t>µ</w:t>
      </w:r>
      <w:r w:rsidRPr="00BB3B7F">
        <w:rPr>
          <w:sz w:val="18"/>
          <w:szCs w:val="18"/>
          <w:lang w:val="nl-NL"/>
        </w:rPr>
        <w:t xml:space="preserve">g/kg HM11260C the fructosamine levels were decreased on Day 21 with the largest decrease seen for the 100 </w:t>
      </w:r>
      <w:r w:rsidRPr="00BB3B7F">
        <w:rPr>
          <w:rFonts w:cs="Arial"/>
          <w:sz w:val="18"/>
          <w:szCs w:val="18"/>
          <w:lang w:val="nl-NL"/>
        </w:rPr>
        <w:t>µ</w:t>
      </w:r>
      <w:r w:rsidRPr="00BB3B7F">
        <w:rPr>
          <w:sz w:val="18"/>
          <w:szCs w:val="18"/>
          <w:lang w:val="nl-NL"/>
        </w:rPr>
        <w:t xml:space="preserve">g/kg dose level. Thereafter, the fructosamine levels increased for the 40 and 100 </w:t>
      </w:r>
      <w:r w:rsidRPr="00BB3B7F">
        <w:rPr>
          <w:rFonts w:cs="Arial"/>
          <w:sz w:val="18"/>
          <w:szCs w:val="18"/>
          <w:lang w:val="nl-NL"/>
        </w:rPr>
        <w:t>µ</w:t>
      </w:r>
      <w:r w:rsidRPr="00BB3B7F">
        <w:rPr>
          <w:sz w:val="18"/>
          <w:szCs w:val="18"/>
          <w:lang w:val="nl-NL"/>
        </w:rPr>
        <w:t xml:space="preserve">g/kg dose levels, but on Day 49 (the last sampling day) the fructosamine levels were still lower compared to Day -1. For the 60 </w:t>
      </w:r>
      <w:r w:rsidRPr="00BB3B7F">
        <w:rPr>
          <w:rFonts w:cs="Arial"/>
          <w:sz w:val="18"/>
          <w:szCs w:val="18"/>
          <w:lang w:val="nl-NL"/>
        </w:rPr>
        <w:t>µ</w:t>
      </w:r>
      <w:r w:rsidRPr="00BB3B7F">
        <w:rPr>
          <w:sz w:val="18"/>
          <w:szCs w:val="18"/>
          <w:lang w:val="nl-NL"/>
        </w:rPr>
        <w:t>g/kg dose level the fructosamine levels did not change much and were still lower on Day 49 compared to Day -1.</w:t>
      </w:r>
    </w:p>
    <w:p w14:paraId="6A3AA7C8" w14:textId="77777777" w:rsidR="003746B5" w:rsidRPr="00BB3B7F" w:rsidRDefault="003746B5" w:rsidP="003D685A">
      <w:pPr>
        <w:pStyle w:val="synopsis"/>
        <w:ind w:left="57" w:rightChars="-85" w:right="-187"/>
        <w:rPr>
          <w:rFonts w:cs="Arial"/>
          <w:color w:val="000000"/>
          <w:spacing w:val="-2"/>
          <w:sz w:val="18"/>
        </w:rPr>
      </w:pPr>
    </w:p>
    <w:p w14:paraId="674393BF" w14:textId="77777777" w:rsidR="003746B5" w:rsidRPr="00BB3B7F" w:rsidRDefault="003746B5" w:rsidP="003D685A">
      <w:pPr>
        <w:pStyle w:val="synopsis"/>
        <w:ind w:left="57" w:rightChars="-85" w:right="-187"/>
        <w:rPr>
          <w:rFonts w:cs="Arial"/>
          <w:i/>
          <w:color w:val="000000"/>
          <w:spacing w:val="-2"/>
          <w:sz w:val="18"/>
        </w:rPr>
      </w:pPr>
      <w:r w:rsidRPr="00BB3B7F">
        <w:rPr>
          <w:rFonts w:cs="Arial"/>
          <w:i/>
          <w:color w:val="000000"/>
          <w:spacing w:val="-2"/>
          <w:sz w:val="18"/>
        </w:rPr>
        <w:lastRenderedPageBreak/>
        <w:t>Glucagon</w:t>
      </w:r>
    </w:p>
    <w:p w14:paraId="2687FC67" w14:textId="77777777" w:rsidR="003746B5" w:rsidRPr="00BB3B7F" w:rsidRDefault="003746B5" w:rsidP="003D685A">
      <w:pPr>
        <w:pStyle w:val="synopsis"/>
        <w:ind w:left="57" w:rightChars="-85" w:right="-187"/>
        <w:jc w:val="both"/>
        <w:rPr>
          <w:rFonts w:cs="Arial"/>
          <w:color w:val="000000"/>
          <w:spacing w:val="-2"/>
          <w:sz w:val="18"/>
        </w:rPr>
      </w:pPr>
      <w:r w:rsidRPr="00BB3B7F">
        <w:rPr>
          <w:rFonts w:cs="Arial"/>
          <w:color w:val="000000"/>
          <w:spacing w:val="-2"/>
          <w:sz w:val="18"/>
          <w:lang w:val="nl-NL"/>
        </w:rPr>
        <w:t>For the lower dose levels of HM11260C (2 µg/kg to 20 µg/kg) and placebo no clear differences were seen in glucagon levels on Day 4 compared to Day -1. For the dose levels of 40 µg/kg to 100 µg/kg HM11260C, the glucagon levels were lower on Day 4 compared to Day -1.</w:t>
      </w:r>
    </w:p>
    <w:p w14:paraId="49EAB21E" w14:textId="77777777" w:rsidR="003746B5" w:rsidRPr="00BB3B7F" w:rsidRDefault="003746B5" w:rsidP="003D685A">
      <w:pPr>
        <w:pStyle w:val="synopsis"/>
        <w:ind w:left="57" w:rightChars="-85" w:right="-187"/>
        <w:rPr>
          <w:rFonts w:cs="Arial"/>
          <w:color w:val="000000"/>
          <w:spacing w:val="-2"/>
          <w:sz w:val="18"/>
        </w:rPr>
      </w:pPr>
    </w:p>
    <w:p w14:paraId="4BBFF34D" w14:textId="77777777" w:rsidR="003746B5" w:rsidRPr="00BB3B7F" w:rsidRDefault="003746B5" w:rsidP="003D685A">
      <w:pPr>
        <w:pStyle w:val="synopsis"/>
        <w:ind w:left="57" w:rightChars="-85" w:right="-187"/>
        <w:rPr>
          <w:rFonts w:cs="Arial"/>
          <w:i/>
          <w:color w:val="000000"/>
          <w:spacing w:val="-2"/>
          <w:sz w:val="18"/>
        </w:rPr>
      </w:pPr>
      <w:r w:rsidRPr="00BB3B7F">
        <w:rPr>
          <w:rFonts w:cs="Arial"/>
          <w:i/>
          <w:color w:val="000000"/>
          <w:spacing w:val="-2"/>
          <w:sz w:val="18"/>
        </w:rPr>
        <w:t>Lipid profiles</w:t>
      </w:r>
    </w:p>
    <w:p w14:paraId="1DE5B8FA" w14:textId="77777777" w:rsidR="003746B5" w:rsidRPr="00BB3B7F" w:rsidRDefault="003746B5" w:rsidP="003D685A">
      <w:pPr>
        <w:pStyle w:val="synopsis"/>
        <w:ind w:left="57" w:rightChars="-85" w:right="-187"/>
        <w:jc w:val="both"/>
        <w:rPr>
          <w:rFonts w:cs="Arial"/>
          <w:color w:val="000000"/>
          <w:spacing w:val="-2"/>
          <w:sz w:val="18"/>
        </w:rPr>
      </w:pPr>
      <w:r w:rsidRPr="00BB3B7F">
        <w:rPr>
          <w:rFonts w:cs="Arial"/>
          <w:color w:val="000000"/>
          <w:spacing w:val="-2"/>
          <w:sz w:val="18"/>
          <w:lang w:val="nl-NL"/>
        </w:rPr>
        <w:t>No clear differences between the treatments, including placebo, could be seen for the mean cholesterol, HDL, LDL, VLDL, free fatty acids and triglycerides profiles. Only for the 4 µg/kg dose level the cholesterol and LDL cholesterol levels were decreased on Day 21 and remained decreased until Day 49.</w:t>
      </w:r>
    </w:p>
    <w:p w14:paraId="10F606CC" w14:textId="77777777" w:rsidR="003746B5" w:rsidRPr="00BB3B7F" w:rsidRDefault="003746B5" w:rsidP="003D685A">
      <w:pPr>
        <w:pStyle w:val="synopsis"/>
        <w:ind w:left="57" w:rightChars="-85" w:right="-187"/>
        <w:rPr>
          <w:rFonts w:cs="Arial"/>
          <w:color w:val="000000"/>
          <w:spacing w:val="-2"/>
          <w:sz w:val="18"/>
        </w:rPr>
      </w:pPr>
    </w:p>
    <w:p w14:paraId="496F6785" w14:textId="77777777" w:rsidR="003746B5" w:rsidRPr="00BB3B7F" w:rsidRDefault="003746B5" w:rsidP="003D685A">
      <w:pPr>
        <w:pStyle w:val="synopsis"/>
        <w:ind w:left="57" w:rightChars="-85" w:right="-187"/>
        <w:rPr>
          <w:rFonts w:cs="Arial"/>
          <w:i/>
          <w:color w:val="000000"/>
          <w:spacing w:val="-2"/>
          <w:sz w:val="18"/>
        </w:rPr>
      </w:pPr>
      <w:r w:rsidRPr="00BB3B7F">
        <w:rPr>
          <w:rFonts w:cs="Arial"/>
          <w:i/>
          <w:color w:val="000000"/>
          <w:spacing w:val="-2"/>
          <w:sz w:val="18"/>
        </w:rPr>
        <w:t>VAS for hunger, craving and fullness</w:t>
      </w:r>
    </w:p>
    <w:p w14:paraId="51E347FC" w14:textId="77777777" w:rsidR="003746B5" w:rsidRPr="00BB3B7F" w:rsidRDefault="003746B5" w:rsidP="003D685A">
      <w:pPr>
        <w:pStyle w:val="synopsis"/>
        <w:ind w:left="57" w:rightChars="-85" w:right="-187"/>
        <w:jc w:val="both"/>
        <w:rPr>
          <w:rFonts w:cs="Arial"/>
          <w:color w:val="000000"/>
          <w:spacing w:val="-2"/>
          <w:sz w:val="18"/>
        </w:rPr>
      </w:pPr>
      <w:r w:rsidRPr="00BB3B7F">
        <w:rPr>
          <w:rFonts w:cs="Arial"/>
          <w:color w:val="000000"/>
          <w:spacing w:val="-2"/>
          <w:sz w:val="18"/>
          <w:lang w:val="nl-NL"/>
        </w:rPr>
        <w:t>On Days 1, 4, 7, 14, 21 and 28 after dosing with HM11260C in the dose range of 4 µg/kg to 20 µg/kg, VAS scores did not appear to differ much from Day -1 or placebo. Only for the 2 µg/kg dose level patients appeared to be more hungry and have more desire to eat. On Day 4, VAS scores for patients receiving the higher dose levels of HM11260C (from 40 µg/kg to 100 µg/kg) were different from Day </w:t>
      </w:r>
      <w:r w:rsidRPr="00BB3B7F">
        <w:rPr>
          <w:rFonts w:cs="Arial"/>
          <w:color w:val="000000"/>
          <w:spacing w:val="-2"/>
          <w:sz w:val="18"/>
          <w:lang w:val="nl-NL"/>
        </w:rPr>
        <w:noBreakHyphen/>
        <w:t>1: patients appeared to be less hungry and more full and have less desire to eat. VAS scores for these patients had returned to baseline on Day 28.</w:t>
      </w:r>
    </w:p>
    <w:p w14:paraId="174D7341" w14:textId="77777777" w:rsidR="003746B5" w:rsidRPr="00BB3B7F" w:rsidRDefault="003746B5" w:rsidP="003D685A">
      <w:pPr>
        <w:pStyle w:val="synopsis"/>
        <w:ind w:left="57" w:rightChars="-85" w:right="-187"/>
        <w:rPr>
          <w:rFonts w:cs="Arial"/>
          <w:color w:val="000000"/>
          <w:spacing w:val="-2"/>
          <w:sz w:val="18"/>
        </w:rPr>
      </w:pPr>
    </w:p>
    <w:p w14:paraId="114B3CE3" w14:textId="77777777" w:rsidR="003746B5" w:rsidRDefault="003746B5" w:rsidP="00461297">
      <w:pPr>
        <w:ind w:left="0"/>
        <w:rPr>
          <w:b/>
          <w:sz w:val="28"/>
          <w:szCs w:val="28"/>
        </w:rPr>
      </w:pPr>
      <w:r w:rsidRPr="00BB3B7F">
        <w:rPr>
          <w:rFonts w:cs="Arial"/>
          <w:i/>
          <w:spacing w:val="-2"/>
          <w:sz w:val="18"/>
        </w:rPr>
        <w:br w:type="page"/>
      </w:r>
      <w:r w:rsidRPr="00461297">
        <w:rPr>
          <w:b/>
          <w:sz w:val="28"/>
          <w:szCs w:val="28"/>
        </w:rPr>
        <w:lastRenderedPageBreak/>
        <w:t>SYNOPSIS (Cont.)</w:t>
      </w:r>
    </w:p>
    <w:p w14:paraId="22087BB4" w14:textId="77777777" w:rsidR="002D431F" w:rsidRPr="00461297" w:rsidRDefault="002D431F" w:rsidP="00461297">
      <w:pPr>
        <w:ind w:left="0"/>
        <w:rPr>
          <w:rFonts w:cs="Arial"/>
          <w:b/>
          <w:i/>
          <w:spacing w:val="-2"/>
          <w:sz w:val="28"/>
          <w:szCs w:val="28"/>
        </w:rPr>
      </w:pPr>
    </w:p>
    <w:p w14:paraId="0E6B93C1" w14:textId="77777777" w:rsidR="003746B5" w:rsidRPr="00BB3B7F" w:rsidRDefault="003746B5" w:rsidP="003D685A">
      <w:pPr>
        <w:pStyle w:val="synopsis"/>
        <w:ind w:left="57" w:rightChars="-85" w:right="-187"/>
        <w:rPr>
          <w:rFonts w:cs="Arial"/>
          <w:i/>
          <w:color w:val="000000"/>
          <w:spacing w:val="-2"/>
          <w:sz w:val="18"/>
        </w:rPr>
      </w:pPr>
      <w:r w:rsidRPr="00BB3B7F">
        <w:rPr>
          <w:rFonts w:cs="Arial"/>
          <w:i/>
          <w:color w:val="000000"/>
          <w:spacing w:val="-2"/>
          <w:sz w:val="18"/>
        </w:rPr>
        <w:t>Gastric emptying</w:t>
      </w:r>
    </w:p>
    <w:p w14:paraId="50100AEF" w14:textId="77777777" w:rsidR="003746B5" w:rsidRPr="00BB3B7F" w:rsidRDefault="003746B5" w:rsidP="003D685A">
      <w:pPr>
        <w:pStyle w:val="synopsis"/>
        <w:ind w:left="57" w:rightChars="-85" w:right="-187"/>
        <w:jc w:val="both"/>
        <w:rPr>
          <w:rFonts w:cs="Arial"/>
          <w:color w:val="000000"/>
          <w:spacing w:val="-2"/>
          <w:sz w:val="18"/>
        </w:rPr>
      </w:pPr>
      <w:r w:rsidRPr="00BB3B7F">
        <w:rPr>
          <w:rFonts w:cs="Arial"/>
          <w:color w:val="000000"/>
          <w:spacing w:val="-2"/>
          <w:sz w:val="18"/>
          <w:lang w:val="nl-NL"/>
        </w:rPr>
        <w:t>Based on change-from-baseline t</w:t>
      </w:r>
      <w:r w:rsidRPr="00BB3B7F">
        <w:rPr>
          <w:rFonts w:cs="Arial"/>
          <w:color w:val="000000"/>
          <w:spacing w:val="-2"/>
          <w:sz w:val="18"/>
          <w:vertAlign w:val="subscript"/>
          <w:lang w:val="nl-NL"/>
        </w:rPr>
        <w:t>1/2</w:t>
      </w:r>
      <w:r w:rsidRPr="00BB3B7F">
        <w:rPr>
          <w:rFonts w:cs="Arial"/>
          <w:color w:val="000000"/>
          <w:spacing w:val="-2"/>
          <w:sz w:val="18"/>
          <w:lang w:val="nl-NL"/>
        </w:rPr>
        <w:t xml:space="preserve"> values, gastric emptying was delayed on Day 14 following dosing with placebo and with HM11260C. Only for the 2 and 4 µg/kg HM11260C dose levels no delay was seen in gastric emptying. No clear</w:t>
      </w:r>
      <w:r>
        <w:rPr>
          <w:rFonts w:cs="Arial"/>
          <w:color w:val="000000"/>
          <w:spacing w:val="-2"/>
          <w:sz w:val="18"/>
          <w:lang w:val="nl-NL"/>
        </w:rPr>
        <w:t xml:space="preserve"> </w:t>
      </w:r>
      <w:r w:rsidRPr="00BB3B7F">
        <w:rPr>
          <w:rFonts w:cs="Arial"/>
          <w:color w:val="000000"/>
          <w:spacing w:val="-2"/>
          <w:sz w:val="18"/>
          <w:lang w:val="nl-NL"/>
        </w:rPr>
        <w:t>difference was seen in gastric emptying between placebo and dose levels of HM11260C up to 60 µg/kg. Following dosing with 100 µg/kg HM11260C gastric emptying was more delayed compared to placebo.</w:t>
      </w:r>
    </w:p>
    <w:p w14:paraId="12805908" w14:textId="77777777" w:rsidR="003746B5" w:rsidRPr="00BB3B7F" w:rsidRDefault="003746B5" w:rsidP="003D685A">
      <w:pPr>
        <w:pStyle w:val="synopsis"/>
        <w:ind w:left="57" w:rightChars="-85" w:right="-187"/>
        <w:rPr>
          <w:rFonts w:cs="Arial"/>
          <w:color w:val="000000"/>
          <w:spacing w:val="-2"/>
          <w:sz w:val="18"/>
        </w:rPr>
      </w:pPr>
    </w:p>
    <w:p w14:paraId="60E43217" w14:textId="77777777" w:rsidR="003746B5" w:rsidRPr="00BB3B7F" w:rsidRDefault="003746B5" w:rsidP="003D685A">
      <w:pPr>
        <w:pStyle w:val="synopsis"/>
        <w:ind w:left="57" w:rightChars="-85" w:right="-187"/>
        <w:rPr>
          <w:rFonts w:cs="Arial"/>
          <w:i/>
          <w:color w:val="000000"/>
          <w:spacing w:val="-2"/>
          <w:sz w:val="18"/>
        </w:rPr>
      </w:pPr>
      <w:r w:rsidRPr="00BB3B7F">
        <w:rPr>
          <w:rFonts w:cs="Arial"/>
          <w:i/>
          <w:color w:val="000000"/>
          <w:spacing w:val="-2"/>
          <w:sz w:val="18"/>
        </w:rPr>
        <w:t>Body weight and waist circumference</w:t>
      </w:r>
    </w:p>
    <w:p w14:paraId="2D628050" w14:textId="77777777" w:rsidR="003746B5" w:rsidRPr="00BB3B7F" w:rsidRDefault="003746B5" w:rsidP="003D685A">
      <w:pPr>
        <w:pStyle w:val="synopsis"/>
        <w:ind w:left="57" w:rightChars="-85" w:right="-187"/>
        <w:jc w:val="both"/>
        <w:rPr>
          <w:rFonts w:cs="Arial"/>
          <w:bCs/>
          <w:color w:val="000000"/>
          <w:spacing w:val="-2"/>
          <w:sz w:val="18"/>
        </w:rPr>
      </w:pPr>
      <w:r w:rsidRPr="00BB3B7F">
        <w:rPr>
          <w:rFonts w:cs="Arial"/>
          <w:bCs/>
          <w:color w:val="000000"/>
          <w:spacing w:val="-2"/>
          <w:sz w:val="18"/>
          <w:lang w:val="nl-NL"/>
        </w:rPr>
        <w:t>Mean body weight decreased slightly following the placebo treatment and all HM11260C treatments until Day 28 and a slight increase was seen in mean body weight on Day 49 for most dose levels of HM11260C. Slight increases and decreases in mean waist circumference were seen for all treatments. No obvious difference in change from baseline body weights and waist circumference were seen between the HM11260C and placebo treatments.</w:t>
      </w:r>
    </w:p>
    <w:p w14:paraId="36E13C61" w14:textId="77777777" w:rsidR="003746B5" w:rsidRPr="00BB3B7F" w:rsidRDefault="003746B5" w:rsidP="003D685A">
      <w:pPr>
        <w:pStyle w:val="synopsis"/>
        <w:ind w:left="57" w:rightChars="-85" w:right="-187"/>
        <w:rPr>
          <w:rFonts w:cs="Arial"/>
          <w:color w:val="000000"/>
          <w:spacing w:val="-2"/>
          <w:sz w:val="18"/>
        </w:rPr>
      </w:pPr>
    </w:p>
    <w:p w14:paraId="79D61B5E" w14:textId="77777777" w:rsidR="00185856" w:rsidRPr="004F17E0" w:rsidRDefault="003746B5" w:rsidP="003D685A">
      <w:pPr>
        <w:pStyle w:val="synopsis"/>
        <w:tabs>
          <w:tab w:val="left" w:pos="1134"/>
        </w:tabs>
        <w:spacing w:after="1760"/>
        <w:ind w:left="0" w:rightChars="-85" w:right="-187"/>
        <w:rPr>
          <w:b/>
          <w:color w:val="000000"/>
          <w:sz w:val="18"/>
        </w:rPr>
      </w:pPr>
      <w:r w:rsidRPr="00BB3B7F">
        <w:rPr>
          <w:rFonts w:cs="Arial"/>
          <w:color w:val="000000"/>
          <w:spacing w:val="-2"/>
          <w:sz w:val="18"/>
        </w:rPr>
        <w:t xml:space="preserve">Date of report: </w:t>
      </w:r>
      <w:r>
        <w:rPr>
          <w:rFonts w:cs="Arial"/>
          <w:color w:val="000000"/>
          <w:spacing w:val="-2"/>
          <w:sz w:val="18"/>
        </w:rPr>
        <w:t>17</w:t>
      </w:r>
      <w:r w:rsidRPr="00BB3B7F">
        <w:rPr>
          <w:rFonts w:cs="Arial"/>
          <w:color w:val="000000"/>
          <w:spacing w:val="-2"/>
          <w:sz w:val="18"/>
        </w:rPr>
        <w:t xml:space="preserve"> August</w:t>
      </w:r>
      <w:r>
        <w:rPr>
          <w:rFonts w:cs="Arial"/>
          <w:color w:val="000000"/>
          <w:spacing w:val="-2"/>
          <w:sz w:val="18"/>
        </w:rPr>
        <w:t xml:space="preserve"> 2011</w:t>
      </w:r>
    </w:p>
    <w:sectPr w:rsidR="00185856" w:rsidRPr="004F17E0">
      <w:headerReference w:type="default" r:id="rId7"/>
      <w:footerReference w:type="default" r:id="rId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EA1F6A" w14:textId="77777777" w:rsidR="00025AB6" w:rsidRDefault="00025AB6" w:rsidP="00C466FE">
      <w:pPr>
        <w:spacing w:line="240" w:lineRule="auto"/>
      </w:pPr>
      <w:r>
        <w:separator/>
      </w:r>
    </w:p>
  </w:endnote>
  <w:endnote w:type="continuationSeparator" w:id="0">
    <w:p w14:paraId="6469E807" w14:textId="77777777" w:rsidR="00025AB6" w:rsidRDefault="00025AB6" w:rsidP="00C466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Bold">
    <w:altName w:val="Courier New"/>
    <w:panose1 w:val="020B0704020202020204"/>
    <w:charset w:val="00"/>
    <w:family w:val="auto"/>
    <w:pitch w:val="variable"/>
    <w:sig w:usb0="03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Times-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000FC" w14:textId="77777777" w:rsidR="00B209C9" w:rsidRPr="008C5B2D" w:rsidRDefault="003A1065" w:rsidP="006117CF">
    <w:pPr>
      <w:pStyle w:val="Footer"/>
      <w:tabs>
        <w:tab w:val="clear" w:pos="4320"/>
        <w:tab w:val="clear" w:pos="8640"/>
        <w:tab w:val="right" w:pos="9600"/>
      </w:tabs>
      <w:spacing w:line="240" w:lineRule="auto"/>
      <w:ind w:left="0"/>
      <w:rPr>
        <w:vanish/>
      </w:rPr>
    </w:pPr>
    <w:r w:rsidRPr="00C41EBF">
      <w:rPr>
        <w:vanish/>
      </w:rPr>
      <w:t>EDSREP 010 T 01 C</w:t>
    </w:r>
    <w:r w:rsidRPr="00C41EBF">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453303" w14:textId="77777777" w:rsidR="00025AB6" w:rsidRDefault="00025AB6" w:rsidP="00C466FE">
      <w:pPr>
        <w:spacing w:line="240" w:lineRule="auto"/>
      </w:pPr>
      <w:r>
        <w:separator/>
      </w:r>
    </w:p>
  </w:footnote>
  <w:footnote w:type="continuationSeparator" w:id="0">
    <w:p w14:paraId="3785D770" w14:textId="77777777" w:rsidR="00025AB6" w:rsidRDefault="00025AB6" w:rsidP="00C466F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5B063" w14:textId="44579E52" w:rsidR="00B209C9" w:rsidRDefault="00025AB6" w:rsidP="006117CF">
    <w:pPr>
      <w:pStyle w:val="Header"/>
      <w:tabs>
        <w:tab w:val="clear" w:pos="4320"/>
        <w:tab w:val="clear" w:pos="8640"/>
        <w:tab w:val="right" w:pos="9639"/>
      </w:tabs>
      <w:spacing w:line="240" w:lineRule="auto"/>
      <w:ind w:left="1134" w:right="800"/>
      <w:jc w:val="center"/>
      <w:rPr>
        <w:rStyle w:val="PageNumber"/>
        <w:sz w:val="20"/>
      </w:rPr>
    </w:pPr>
  </w:p>
  <w:p w14:paraId="235CB9CE" w14:textId="77777777" w:rsidR="00B209C9" w:rsidRDefault="00025AB6" w:rsidP="006117CF">
    <w:pPr>
      <w:pStyle w:val="Header"/>
      <w:tabs>
        <w:tab w:val="clear" w:pos="4320"/>
        <w:tab w:val="clear" w:pos="8640"/>
        <w:tab w:val="right" w:pos="9639"/>
      </w:tabs>
      <w:spacing w:line="240" w:lineRule="auto"/>
      <w:ind w:left="1134"/>
      <w:rPr>
        <w:rStyle w:val="PageNumber"/>
        <w:sz w:val="20"/>
      </w:rPr>
    </w:pPr>
  </w:p>
  <w:p w14:paraId="3750E6A2" w14:textId="77777777" w:rsidR="00B209C9" w:rsidRPr="007F5EAE" w:rsidRDefault="00025AB6" w:rsidP="006117CF">
    <w:pPr>
      <w:pStyle w:val="Header"/>
      <w:tabs>
        <w:tab w:val="clear" w:pos="4320"/>
        <w:tab w:val="clear" w:pos="8640"/>
        <w:tab w:val="right" w:pos="9639"/>
      </w:tabs>
      <w:spacing w:line="240" w:lineRule="auto"/>
      <w:ind w:left="1134"/>
      <w:rPr>
        <w:rStyle w:val="PageNumbe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5300FD"/>
    <w:multiLevelType w:val="multilevel"/>
    <w:tmpl w:val="21306EDA"/>
    <w:lvl w:ilvl="0">
      <w:start w:val="2"/>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Heading3"/>
      <w:lvlText w:val="%1.%2.%3"/>
      <w:lvlJc w:val="left"/>
      <w:pPr>
        <w:tabs>
          <w:tab w:val="num" w:pos="1134"/>
        </w:tabs>
        <w:ind w:left="1134" w:hanging="1134"/>
      </w:pPr>
      <w:rPr>
        <w:rFonts w:ascii="Arial Bold" w:hAnsi="Arial Bold" w:hint="default"/>
        <w:b/>
        <w:i w:val="0"/>
        <w:color w:val="auto"/>
        <w:sz w:val="22"/>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077"/>
        </w:tabs>
        <w:ind w:left="1077" w:hanging="1077"/>
      </w:pPr>
      <w:rPr>
        <w:rFonts w:hint="default"/>
      </w:rPr>
    </w:lvl>
    <w:lvl w:ilvl="5">
      <w:start w:val="1"/>
      <w:numFmt w:val="decimal"/>
      <w:lvlText w:val="%1.%2.%3.%4.%5.%6"/>
      <w:lvlJc w:val="left"/>
      <w:pPr>
        <w:tabs>
          <w:tab w:val="num" w:pos="1440"/>
        </w:tabs>
        <w:ind w:left="1080" w:hanging="1080"/>
      </w:pPr>
      <w:rPr>
        <w:rFonts w:hint="default"/>
      </w:rPr>
    </w:lvl>
    <w:lvl w:ilvl="6">
      <w:start w:val="1"/>
      <w:numFmt w:val="decimal"/>
      <w:lvlText w:val="%1.%2.%3.%4.%5.%6.%7"/>
      <w:lvlJc w:val="left"/>
      <w:pPr>
        <w:tabs>
          <w:tab w:val="num" w:pos="1440"/>
        </w:tabs>
        <w:ind w:left="851" w:hanging="851"/>
      </w:pPr>
      <w:rPr>
        <w:rFonts w:hint="default"/>
      </w:rPr>
    </w:lvl>
    <w:lvl w:ilvl="7">
      <w:start w:val="1"/>
      <w:numFmt w:val="decimal"/>
      <w:lvlText w:val="%1.%2.%3.%4.%5.%6.%7.%8"/>
      <w:lvlJc w:val="left"/>
      <w:pPr>
        <w:tabs>
          <w:tab w:val="num" w:pos="1800"/>
        </w:tabs>
        <w:ind w:left="851" w:hanging="851"/>
      </w:pPr>
      <w:rPr>
        <w:rFonts w:hint="default"/>
      </w:rPr>
    </w:lvl>
    <w:lvl w:ilvl="8">
      <w:start w:val="1"/>
      <w:numFmt w:val="decimal"/>
      <w:lvlText w:val="%1.%2.%3.%4.%5.%6.%7.%8.%9"/>
      <w:lvlJc w:val="left"/>
      <w:pPr>
        <w:tabs>
          <w:tab w:val="num" w:pos="1800"/>
        </w:tabs>
        <w:ind w:left="851" w:hanging="851"/>
      </w:pPr>
      <w:rPr>
        <w:rFonts w:hint="default"/>
      </w:rPr>
    </w:lvl>
  </w:abstractNum>
  <w:abstractNum w:abstractNumId="1" w15:restartNumberingAfterBreak="0">
    <w:nsid w:val="6C8B64AD"/>
    <w:multiLevelType w:val="hybridMultilevel"/>
    <w:tmpl w:val="0CB4C994"/>
    <w:lvl w:ilvl="0" w:tplc="F7CAB00E">
      <w:start w:val="1"/>
      <w:numFmt w:val="none"/>
      <w:lvlText w:val=""/>
      <w:legacy w:legacy="1" w:legacySpace="0" w:legacyIndent="0"/>
      <w:lvlJc w:val="left"/>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6B5"/>
    <w:rsid w:val="00025AB6"/>
    <w:rsid w:val="000359C7"/>
    <w:rsid w:val="00146A84"/>
    <w:rsid w:val="00185856"/>
    <w:rsid w:val="00254051"/>
    <w:rsid w:val="0029404E"/>
    <w:rsid w:val="002D431F"/>
    <w:rsid w:val="003746B5"/>
    <w:rsid w:val="003A1065"/>
    <w:rsid w:val="003D685A"/>
    <w:rsid w:val="003D7852"/>
    <w:rsid w:val="00461297"/>
    <w:rsid w:val="004E1E58"/>
    <w:rsid w:val="004F17E0"/>
    <w:rsid w:val="006117CF"/>
    <w:rsid w:val="00667B19"/>
    <w:rsid w:val="007771C9"/>
    <w:rsid w:val="00804604"/>
    <w:rsid w:val="00807BD2"/>
    <w:rsid w:val="008D07E1"/>
    <w:rsid w:val="00915132"/>
    <w:rsid w:val="009C7281"/>
    <w:rsid w:val="009E3262"/>
    <w:rsid w:val="00B00A5E"/>
    <w:rsid w:val="00C466FE"/>
    <w:rsid w:val="00E61B6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4AF17"/>
  <w15:docId w15:val="{00DBD313-7279-46E2-9B4E-613826D72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46B5"/>
    <w:pPr>
      <w:spacing w:after="0" w:line="288" w:lineRule="auto"/>
      <w:ind w:left="1152"/>
      <w:jc w:val="left"/>
    </w:pPr>
    <w:rPr>
      <w:rFonts w:ascii="Arial" w:hAnsi="Arial" w:cs="Times New Roman"/>
      <w:kern w:val="0"/>
      <w:sz w:val="22"/>
      <w:szCs w:val="20"/>
      <w:lang w:val="en-GB" w:eastAsia="en-US"/>
    </w:rPr>
  </w:style>
  <w:style w:type="paragraph" w:styleId="Heading1">
    <w:name w:val="heading 1"/>
    <w:aliases w:val="Heading 1 Char,Kopje"/>
    <w:basedOn w:val="Normal"/>
    <w:next w:val="Normal"/>
    <w:link w:val="Heading1Char1"/>
    <w:autoRedefine/>
    <w:qFormat/>
    <w:rsid w:val="003746B5"/>
    <w:pPr>
      <w:keepNext/>
      <w:keepLines/>
      <w:pageBreakBefore/>
      <w:numPr>
        <w:numId w:val="2"/>
      </w:numPr>
      <w:spacing w:after="240" w:line="240" w:lineRule="auto"/>
      <w:outlineLvl w:val="0"/>
    </w:pPr>
    <w:rPr>
      <w:b/>
      <w:kern w:val="28"/>
      <w:sz w:val="28"/>
    </w:rPr>
  </w:style>
  <w:style w:type="paragraph" w:styleId="Heading2">
    <w:name w:val="heading 2"/>
    <w:basedOn w:val="Normal"/>
    <w:next w:val="Normal"/>
    <w:link w:val="Heading2Char"/>
    <w:qFormat/>
    <w:rsid w:val="003746B5"/>
    <w:pPr>
      <w:keepNext/>
      <w:numPr>
        <w:ilvl w:val="1"/>
        <w:numId w:val="2"/>
      </w:numPr>
      <w:spacing w:before="240" w:after="60"/>
      <w:outlineLvl w:val="1"/>
    </w:pPr>
    <w:rPr>
      <w:rFonts w:ascii="Arial Bold" w:hAnsi="Arial Bold"/>
      <w:b/>
      <w:sz w:val="24"/>
    </w:rPr>
  </w:style>
  <w:style w:type="paragraph" w:styleId="Heading3">
    <w:name w:val="heading 3"/>
    <w:basedOn w:val="Normal"/>
    <w:next w:val="Normal"/>
    <w:link w:val="Heading3Char"/>
    <w:qFormat/>
    <w:rsid w:val="003746B5"/>
    <w:pPr>
      <w:keepNext/>
      <w:numPr>
        <w:ilvl w:val="2"/>
        <w:numId w:val="2"/>
      </w:numPr>
      <w:spacing w:before="240" w:after="60" w:line="240" w:lineRule="auto"/>
      <w:outlineLvl w:val="2"/>
    </w:pPr>
    <w:rPr>
      <w:rFonts w:ascii="Arial Bold" w:hAnsi="Arial Bold"/>
      <w:b/>
    </w:rPr>
  </w:style>
  <w:style w:type="paragraph" w:styleId="Heading4">
    <w:name w:val="heading 4"/>
    <w:basedOn w:val="Normal"/>
    <w:next w:val="Normal"/>
    <w:link w:val="Heading4Char"/>
    <w:qFormat/>
    <w:rsid w:val="003746B5"/>
    <w:pPr>
      <w:keepNext/>
      <w:numPr>
        <w:ilvl w:val="3"/>
        <w:numId w:val="2"/>
      </w:numPr>
      <w:spacing w:before="240" w:after="60"/>
      <w:outlineLvl w:val="3"/>
    </w:pPr>
    <w:rPr>
      <w:rFonts w:ascii="Arial Bold" w:hAnsi="Arial Bold"/>
      <w:b/>
    </w:rPr>
  </w:style>
  <w:style w:type="paragraph" w:styleId="Heading5">
    <w:name w:val="heading 5"/>
    <w:basedOn w:val="Normal"/>
    <w:next w:val="Normal"/>
    <w:link w:val="Heading5Char"/>
    <w:qFormat/>
    <w:rsid w:val="003746B5"/>
    <w:pPr>
      <w:numPr>
        <w:ilvl w:val="4"/>
        <w:numId w:val="2"/>
      </w:numPr>
      <w:spacing w:before="240" w:after="60"/>
      <w:outlineLvl w:val="4"/>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eading 1 Char Char,Kopje Char"/>
    <w:basedOn w:val="DefaultParagraphFont"/>
    <w:link w:val="Heading1"/>
    <w:rsid w:val="003746B5"/>
    <w:rPr>
      <w:rFonts w:ascii="Arial" w:hAnsi="Arial" w:cs="Times New Roman"/>
      <w:b/>
      <w:kern w:val="28"/>
      <w:sz w:val="28"/>
      <w:szCs w:val="20"/>
      <w:lang w:val="en-GB" w:eastAsia="en-US"/>
    </w:rPr>
  </w:style>
  <w:style w:type="character" w:customStyle="1" w:styleId="Heading2Char">
    <w:name w:val="Heading 2 Char"/>
    <w:basedOn w:val="DefaultParagraphFont"/>
    <w:link w:val="Heading2"/>
    <w:rsid w:val="003746B5"/>
    <w:rPr>
      <w:rFonts w:ascii="Arial Bold" w:hAnsi="Arial Bold" w:cs="Times New Roman"/>
      <w:b/>
      <w:kern w:val="0"/>
      <w:sz w:val="24"/>
      <w:szCs w:val="20"/>
      <w:lang w:val="en-GB" w:eastAsia="en-US"/>
    </w:rPr>
  </w:style>
  <w:style w:type="character" w:customStyle="1" w:styleId="Heading3Char">
    <w:name w:val="Heading 3 Char"/>
    <w:basedOn w:val="DefaultParagraphFont"/>
    <w:link w:val="Heading3"/>
    <w:rsid w:val="003746B5"/>
    <w:rPr>
      <w:rFonts w:ascii="Arial Bold" w:hAnsi="Arial Bold" w:cs="Times New Roman"/>
      <w:b/>
      <w:kern w:val="0"/>
      <w:sz w:val="22"/>
      <w:szCs w:val="20"/>
      <w:lang w:val="en-GB" w:eastAsia="en-US"/>
    </w:rPr>
  </w:style>
  <w:style w:type="character" w:customStyle="1" w:styleId="Heading4Char">
    <w:name w:val="Heading 4 Char"/>
    <w:basedOn w:val="DefaultParagraphFont"/>
    <w:link w:val="Heading4"/>
    <w:rsid w:val="003746B5"/>
    <w:rPr>
      <w:rFonts w:ascii="Arial Bold" w:hAnsi="Arial Bold" w:cs="Times New Roman"/>
      <w:b/>
      <w:kern w:val="0"/>
      <w:sz w:val="22"/>
      <w:szCs w:val="20"/>
      <w:lang w:val="en-GB" w:eastAsia="en-US"/>
    </w:rPr>
  </w:style>
  <w:style w:type="character" w:customStyle="1" w:styleId="Heading5Char">
    <w:name w:val="Heading 5 Char"/>
    <w:basedOn w:val="DefaultParagraphFont"/>
    <w:link w:val="Heading5"/>
    <w:rsid w:val="003746B5"/>
    <w:rPr>
      <w:rFonts w:ascii="Arial" w:hAnsi="Arial" w:cs="Times New Roman"/>
      <w:b/>
      <w:kern w:val="0"/>
      <w:sz w:val="22"/>
      <w:szCs w:val="20"/>
      <w:lang w:val="en-GB" w:eastAsia="en-US"/>
    </w:rPr>
  </w:style>
  <w:style w:type="paragraph" w:styleId="Header">
    <w:name w:val="header"/>
    <w:basedOn w:val="Normal"/>
    <w:link w:val="HeaderChar"/>
    <w:rsid w:val="003746B5"/>
    <w:pPr>
      <w:tabs>
        <w:tab w:val="center" w:pos="4320"/>
        <w:tab w:val="right" w:pos="8640"/>
      </w:tabs>
    </w:pPr>
  </w:style>
  <w:style w:type="character" w:customStyle="1" w:styleId="HeaderChar">
    <w:name w:val="Header Char"/>
    <w:basedOn w:val="DefaultParagraphFont"/>
    <w:link w:val="Header"/>
    <w:rsid w:val="003746B5"/>
    <w:rPr>
      <w:rFonts w:ascii="Arial" w:hAnsi="Arial" w:cs="Times New Roman"/>
      <w:kern w:val="0"/>
      <w:sz w:val="22"/>
      <w:szCs w:val="20"/>
      <w:lang w:val="en-GB" w:eastAsia="en-US"/>
    </w:rPr>
  </w:style>
  <w:style w:type="paragraph" w:styleId="Footer">
    <w:name w:val="footer"/>
    <w:basedOn w:val="Normal"/>
    <w:link w:val="FooterChar"/>
    <w:rsid w:val="003746B5"/>
    <w:pPr>
      <w:tabs>
        <w:tab w:val="center" w:pos="4320"/>
        <w:tab w:val="right" w:pos="8640"/>
      </w:tabs>
    </w:pPr>
    <w:rPr>
      <w:sz w:val="20"/>
    </w:rPr>
  </w:style>
  <w:style w:type="character" w:customStyle="1" w:styleId="FooterChar">
    <w:name w:val="Footer Char"/>
    <w:basedOn w:val="DefaultParagraphFont"/>
    <w:link w:val="Footer"/>
    <w:rsid w:val="003746B5"/>
    <w:rPr>
      <w:rFonts w:ascii="Arial" w:hAnsi="Arial" w:cs="Times New Roman"/>
      <w:kern w:val="0"/>
      <w:szCs w:val="20"/>
      <w:lang w:val="en-GB" w:eastAsia="en-US"/>
    </w:rPr>
  </w:style>
  <w:style w:type="character" w:styleId="PageNumber">
    <w:name w:val="page number"/>
    <w:basedOn w:val="DefaultParagraphFont"/>
    <w:rsid w:val="003746B5"/>
  </w:style>
  <w:style w:type="paragraph" w:customStyle="1" w:styleId="synopsis">
    <w:name w:val="synopsis"/>
    <w:basedOn w:val="Normal"/>
    <w:rsid w:val="003746B5"/>
    <w:pPr>
      <w:ind w:left="-29"/>
    </w:pPr>
    <w:rPr>
      <w:sz w:val="16"/>
    </w:rPr>
  </w:style>
  <w:style w:type="paragraph" w:customStyle="1" w:styleId="TableText">
    <w:name w:val="Table Text"/>
    <w:basedOn w:val="Normal"/>
    <w:next w:val="Normal"/>
    <w:rsid w:val="003746B5"/>
    <w:pPr>
      <w:widowControl w:val="0"/>
      <w:spacing w:before="40" w:after="40" w:line="240" w:lineRule="auto"/>
      <w:ind w:left="0"/>
    </w:pPr>
    <w:rPr>
      <w:sz w:val="16"/>
      <w:lang w:val="en-US"/>
    </w:rPr>
  </w:style>
  <w:style w:type="character" w:styleId="CommentReference">
    <w:name w:val="annotation reference"/>
    <w:basedOn w:val="DefaultParagraphFont"/>
    <w:uiPriority w:val="99"/>
    <w:semiHidden/>
    <w:unhideWhenUsed/>
    <w:rsid w:val="003D685A"/>
    <w:rPr>
      <w:sz w:val="18"/>
      <w:szCs w:val="18"/>
    </w:rPr>
  </w:style>
  <w:style w:type="paragraph" w:styleId="CommentText">
    <w:name w:val="annotation text"/>
    <w:basedOn w:val="Normal"/>
    <w:link w:val="CommentTextChar"/>
    <w:uiPriority w:val="99"/>
    <w:semiHidden/>
    <w:unhideWhenUsed/>
    <w:rsid w:val="003D685A"/>
  </w:style>
  <w:style w:type="character" w:customStyle="1" w:styleId="CommentTextChar">
    <w:name w:val="Comment Text Char"/>
    <w:basedOn w:val="DefaultParagraphFont"/>
    <w:link w:val="CommentText"/>
    <w:uiPriority w:val="99"/>
    <w:semiHidden/>
    <w:rsid w:val="003D685A"/>
    <w:rPr>
      <w:rFonts w:ascii="Arial" w:hAnsi="Arial" w:cs="Times New Roman"/>
      <w:kern w:val="0"/>
      <w:sz w:val="22"/>
      <w:szCs w:val="20"/>
      <w:lang w:val="en-GB" w:eastAsia="en-US"/>
    </w:rPr>
  </w:style>
  <w:style w:type="paragraph" w:styleId="CommentSubject">
    <w:name w:val="annotation subject"/>
    <w:basedOn w:val="CommentText"/>
    <w:next w:val="CommentText"/>
    <w:link w:val="CommentSubjectChar"/>
    <w:uiPriority w:val="99"/>
    <w:semiHidden/>
    <w:unhideWhenUsed/>
    <w:rsid w:val="003D685A"/>
    <w:rPr>
      <w:b/>
      <w:bCs/>
    </w:rPr>
  </w:style>
  <w:style w:type="character" w:customStyle="1" w:styleId="CommentSubjectChar">
    <w:name w:val="Comment Subject Char"/>
    <w:basedOn w:val="CommentTextChar"/>
    <w:link w:val="CommentSubject"/>
    <w:uiPriority w:val="99"/>
    <w:semiHidden/>
    <w:rsid w:val="003D685A"/>
    <w:rPr>
      <w:rFonts w:ascii="Arial" w:hAnsi="Arial" w:cs="Times New Roman"/>
      <w:b/>
      <w:bCs/>
      <w:kern w:val="0"/>
      <w:sz w:val="22"/>
      <w:szCs w:val="20"/>
      <w:lang w:val="en-GB" w:eastAsia="en-US"/>
    </w:rPr>
  </w:style>
  <w:style w:type="paragraph" w:styleId="BalloonText">
    <w:name w:val="Balloon Text"/>
    <w:basedOn w:val="Normal"/>
    <w:link w:val="BalloonTextChar"/>
    <w:uiPriority w:val="99"/>
    <w:semiHidden/>
    <w:unhideWhenUsed/>
    <w:rsid w:val="003D685A"/>
    <w:pPr>
      <w:spacing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3D685A"/>
    <w:rPr>
      <w:rFonts w:asciiTheme="majorHAnsi" w:eastAsiaTheme="majorEastAsia" w:hAnsiTheme="majorHAnsi" w:cstheme="majorBidi"/>
      <w:kern w:val="0"/>
      <w:sz w:val="18"/>
      <w:szCs w:val="18"/>
      <w:lang w:val="en-GB" w:eastAsia="en-US"/>
    </w:rPr>
  </w:style>
  <w:style w:type="paragraph" w:styleId="Revision">
    <w:name w:val="Revision"/>
    <w:hidden/>
    <w:uiPriority w:val="99"/>
    <w:semiHidden/>
    <w:rsid w:val="00804604"/>
    <w:pPr>
      <w:spacing w:after="0" w:line="240" w:lineRule="auto"/>
      <w:jc w:val="left"/>
    </w:pPr>
    <w:rPr>
      <w:rFonts w:ascii="Arial" w:hAnsi="Arial" w:cs="Times New Roman"/>
      <w:kern w:val="0"/>
      <w:sz w:val="22"/>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3215</Words>
  <Characters>18330</Characters>
  <Application>Microsoft Office Word</Application>
  <DocSecurity>0</DocSecurity>
  <Lines>152</Lines>
  <Paragraphs>43</Paragraphs>
  <ScaleCrop>false</ScaleCrop>
  <HeadingPairs>
    <vt:vector size="6" baseType="variant">
      <vt:variant>
        <vt:lpstr>Title</vt:lpstr>
      </vt:variant>
      <vt:variant>
        <vt:i4>1</vt:i4>
      </vt:variant>
      <vt:variant>
        <vt:lpstr>Titre</vt:lpstr>
      </vt:variant>
      <vt:variant>
        <vt:i4>1</vt:i4>
      </vt:variant>
      <vt:variant>
        <vt:lpstr>제목</vt:lpstr>
      </vt:variant>
      <vt:variant>
        <vt:i4>1</vt:i4>
      </vt:variant>
    </vt:vector>
  </HeadingPairs>
  <TitlesOfParts>
    <vt:vector size="3" baseType="lpstr">
      <vt:lpstr/>
      <vt:lpstr/>
      <vt:lpstr/>
    </vt:vector>
  </TitlesOfParts>
  <Company>sanofi-aventis</Company>
  <LinksUpToDate>false</LinksUpToDate>
  <CharactersWithSpaces>21502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Woohyung Lee</dc:creator>
  <cp:lastModifiedBy>Kirsch, Martina</cp:lastModifiedBy>
  <cp:revision>2</cp:revision>
  <cp:lastPrinted>2016-11-22T17:38:00Z</cp:lastPrinted>
  <dcterms:created xsi:type="dcterms:W3CDTF">2016-12-05T16:34:00Z</dcterms:created>
  <dcterms:modified xsi:type="dcterms:W3CDTF">2016-12-05T16:34:00Z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842726335</vt:i4>
  </property>
  <property fmtid="{D5CDD505-2E9C-101B-9397-08002B2CF9AE}" pid="3" name="_NewReviewCycle">
    <vt:lpwstr/>
  </property>
  <property fmtid="{D5CDD505-2E9C-101B-9397-08002B2CF9AE}" pid="4" name="_EmailSubject">
    <vt:lpwstr>Re: RE: RE: Hanmi HM-EXC-201 - CSR summary - EudraCT</vt:lpwstr>
  </property>
  <property fmtid="{D5CDD505-2E9C-101B-9397-08002B2CF9AE}" pid="5" name="_AuthorEmail">
    <vt:lpwstr>Kristell.Duval@sanofi.com</vt:lpwstr>
  </property>
  <property fmtid="{D5CDD505-2E9C-101B-9397-08002B2CF9AE}" pid="6" name="_AuthorEmailDisplayName">
    <vt:lpwstr>Duval, Kristell R&amp;D/FR</vt:lpwstr>
  </property>
  <property fmtid="{D5CDD505-2E9C-101B-9397-08002B2CF9AE}" pid="7" name="_PreviousAdHocReviewCycleID">
    <vt:i4>-1737470025</vt:i4>
  </property>
  <property fmtid="{D5CDD505-2E9C-101B-9397-08002B2CF9AE}" pid="8" name="_ReviewingToolsShownOnce">
    <vt:lpwstr/>
  </property>
</Properties>
</file>