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7CDB20" w14:textId="092558DE" w:rsidR="00FC4FDF" w:rsidRPr="00E75CB2" w:rsidRDefault="00FC4FDF" w:rsidP="004A4E48">
      <w:pPr>
        <w:pStyle w:val="Title"/>
        <w:jc w:val="both"/>
        <w:rPr>
          <w:rFonts w:ascii="Calibri" w:hAnsi="Calibri" w:cs="Calibri"/>
          <w:color w:val="000000"/>
          <w:sz w:val="24"/>
          <w:szCs w:val="24"/>
          <w:lang w:val="en-US"/>
        </w:rPr>
      </w:pPr>
      <w:r w:rsidRPr="00E75CB2">
        <w:rPr>
          <w:rFonts w:ascii="Calibri" w:hAnsi="Calibri" w:cs="Calibri"/>
          <w:color w:val="000000"/>
          <w:sz w:val="24"/>
          <w:szCs w:val="24"/>
          <w:lang w:val="en-US"/>
        </w:rPr>
        <w:t>The comparative effect of intravenous iron on oxidative stress and inflammation in pati</w:t>
      </w:r>
      <w:bookmarkStart w:id="0" w:name="_GoBack"/>
      <w:bookmarkEnd w:id="0"/>
      <w:r w:rsidRPr="00E75CB2">
        <w:rPr>
          <w:rFonts w:ascii="Calibri" w:hAnsi="Calibri" w:cs="Calibri"/>
          <w:color w:val="000000"/>
          <w:sz w:val="24"/>
          <w:szCs w:val="24"/>
          <w:lang w:val="en-US"/>
        </w:rPr>
        <w:t>ents with Chronic Kidney Dis</w:t>
      </w:r>
      <w:r w:rsidR="004A4E48">
        <w:rPr>
          <w:rFonts w:ascii="Calibri" w:hAnsi="Calibri" w:cs="Calibri"/>
          <w:color w:val="000000"/>
          <w:sz w:val="24"/>
          <w:szCs w:val="24"/>
          <w:lang w:val="en-US"/>
        </w:rPr>
        <w:t>ease (CKD) and iron deficiency</w:t>
      </w:r>
      <w:r w:rsidR="000D29AC">
        <w:rPr>
          <w:rFonts w:ascii="Calibri" w:hAnsi="Calibri" w:cs="Calibri"/>
          <w:color w:val="000000"/>
          <w:sz w:val="24"/>
          <w:szCs w:val="24"/>
          <w:lang w:val="en-US"/>
        </w:rPr>
        <w:t xml:space="preserve"> - </w:t>
      </w:r>
      <w:r w:rsidRPr="00E75CB2">
        <w:rPr>
          <w:rFonts w:ascii="Calibri" w:hAnsi="Calibri" w:cs="Calibri"/>
          <w:color w:val="000000"/>
          <w:sz w:val="24"/>
          <w:szCs w:val="24"/>
          <w:lang w:val="en-US"/>
        </w:rPr>
        <w:t>A randomized controlled-pilot study.</w:t>
      </w:r>
    </w:p>
    <w:p w14:paraId="70EF2999" w14:textId="77777777" w:rsidR="00FC4FDF" w:rsidRPr="00E75CB2" w:rsidRDefault="00FC4FDF" w:rsidP="004A4E48">
      <w:pPr>
        <w:pStyle w:val="Body"/>
        <w:spacing w:line="276" w:lineRule="auto"/>
        <w:jc w:val="both"/>
        <w:rPr>
          <w:rFonts w:eastAsia="Arial"/>
          <w:bCs/>
        </w:rPr>
      </w:pPr>
      <w:r w:rsidRPr="00E75CB2">
        <w:rPr>
          <w:bCs/>
        </w:rPr>
        <w:t xml:space="preserve">Short title: IRON-CKD study </w:t>
      </w:r>
    </w:p>
    <w:p w14:paraId="221BBDA8" w14:textId="77777777" w:rsidR="00FC4FDF" w:rsidRPr="00E75CB2" w:rsidRDefault="00FC4FDF" w:rsidP="00FC4FDF">
      <w:pPr>
        <w:pStyle w:val="Body"/>
        <w:spacing w:line="276" w:lineRule="auto"/>
        <w:rPr>
          <w:rFonts w:eastAsia="Arial"/>
          <w:bCs/>
        </w:rPr>
      </w:pPr>
    </w:p>
    <w:p w14:paraId="1D479F3D" w14:textId="77777777" w:rsidR="00FC4FDF" w:rsidRPr="00E75CB2" w:rsidRDefault="00FC4FDF" w:rsidP="004A4E48">
      <w:pPr>
        <w:pStyle w:val="Body"/>
        <w:spacing w:line="276" w:lineRule="auto"/>
        <w:jc w:val="both"/>
        <w:rPr>
          <w:rFonts w:eastAsia="Arial"/>
          <w:bCs/>
        </w:rPr>
      </w:pPr>
      <w:r w:rsidRPr="00E75CB2">
        <w:rPr>
          <w:bCs/>
        </w:rPr>
        <w:t>Dr Xenophon Kassianides</w:t>
      </w:r>
      <w:r w:rsidRPr="00E75CB2">
        <w:rPr>
          <w:bCs/>
          <w:vertAlign w:val="superscript"/>
        </w:rPr>
        <w:t xml:space="preserve">1 </w:t>
      </w:r>
      <w:r w:rsidRPr="00E75CB2">
        <w:rPr>
          <w:bCs/>
        </w:rPr>
        <w:t>(BSc (Hons), MBBS, MRCP)</w:t>
      </w:r>
    </w:p>
    <w:p w14:paraId="5FB4AC64" w14:textId="77777777" w:rsidR="00FC4FDF" w:rsidRPr="00E75CB2" w:rsidRDefault="00FC4FDF" w:rsidP="004A4E48">
      <w:pPr>
        <w:pStyle w:val="Body"/>
        <w:spacing w:line="276" w:lineRule="auto"/>
        <w:jc w:val="both"/>
        <w:rPr>
          <w:rFonts w:eastAsia="Arial"/>
          <w:bCs/>
        </w:rPr>
      </w:pPr>
      <w:r w:rsidRPr="00E75CB2">
        <w:rPr>
          <w:bCs/>
        </w:rPr>
        <w:t>Mr. Andrew Gordon</w:t>
      </w:r>
      <w:r w:rsidRPr="00E75CB2">
        <w:rPr>
          <w:bCs/>
          <w:vertAlign w:val="superscript"/>
        </w:rPr>
        <w:t xml:space="preserve">2 </w:t>
      </w:r>
      <w:r w:rsidRPr="00E75CB2">
        <w:rPr>
          <w:bCs/>
        </w:rPr>
        <w:t>(BSc)</w:t>
      </w:r>
    </w:p>
    <w:p w14:paraId="3146723D" w14:textId="77777777" w:rsidR="00FC4FDF" w:rsidRPr="00E75CB2" w:rsidRDefault="00FC4FDF" w:rsidP="004A4E48">
      <w:pPr>
        <w:pStyle w:val="Body"/>
        <w:spacing w:line="276" w:lineRule="auto"/>
        <w:jc w:val="both"/>
        <w:rPr>
          <w:rFonts w:eastAsia="Arial"/>
          <w:bCs/>
        </w:rPr>
      </w:pPr>
      <w:r w:rsidRPr="00E75CB2">
        <w:rPr>
          <w:bCs/>
        </w:rPr>
        <w:t>Dr Roger Sturmey</w:t>
      </w:r>
      <w:r w:rsidRPr="00E75CB2">
        <w:rPr>
          <w:bCs/>
          <w:vertAlign w:val="superscript"/>
        </w:rPr>
        <w:t>2</w:t>
      </w:r>
      <w:r w:rsidRPr="00E75CB2">
        <w:rPr>
          <w:bCs/>
        </w:rPr>
        <w:t xml:space="preserve"> (PhD)</w:t>
      </w:r>
    </w:p>
    <w:p w14:paraId="769955F0" w14:textId="77777777" w:rsidR="00FC4FDF" w:rsidRPr="00E75CB2" w:rsidRDefault="00FC4FDF" w:rsidP="004A4E48">
      <w:pPr>
        <w:pStyle w:val="Body"/>
        <w:spacing w:line="276" w:lineRule="auto"/>
        <w:jc w:val="both"/>
        <w:rPr>
          <w:rFonts w:eastAsia="Arial"/>
          <w:bCs/>
        </w:rPr>
      </w:pPr>
      <w:r w:rsidRPr="00E75CB2">
        <w:rPr>
          <w:bCs/>
        </w:rPr>
        <w:t>Prof Sunil Bhandari</w:t>
      </w:r>
      <w:r w:rsidRPr="00E75CB2">
        <w:rPr>
          <w:bCs/>
          <w:vertAlign w:val="superscript"/>
        </w:rPr>
        <w:t>1</w:t>
      </w:r>
      <w:r w:rsidRPr="00E75CB2">
        <w:rPr>
          <w:bCs/>
        </w:rPr>
        <w:t xml:space="preserve"> (MB ChB, FRCP, PhD, M Clin Ed)</w:t>
      </w:r>
    </w:p>
    <w:p w14:paraId="7382D8D6" w14:textId="77777777" w:rsidR="00FC4FDF" w:rsidRPr="00E75CB2" w:rsidRDefault="00FC4FDF" w:rsidP="004A4E48">
      <w:pPr>
        <w:pStyle w:val="Body"/>
        <w:spacing w:line="276" w:lineRule="auto"/>
        <w:jc w:val="both"/>
        <w:rPr>
          <w:rFonts w:eastAsia="Arial"/>
          <w:bCs/>
        </w:rPr>
      </w:pPr>
    </w:p>
    <w:p w14:paraId="7DC5854C" w14:textId="77777777" w:rsidR="00FC4FDF" w:rsidRPr="00E75CB2" w:rsidRDefault="00FC4FDF" w:rsidP="004A4E48">
      <w:pPr>
        <w:pStyle w:val="Body"/>
        <w:spacing w:line="276" w:lineRule="auto"/>
        <w:jc w:val="both"/>
        <w:rPr>
          <w:rFonts w:eastAsia="Arial"/>
          <w:bCs/>
        </w:rPr>
      </w:pPr>
      <w:r w:rsidRPr="00E75CB2">
        <w:rPr>
          <w:bCs/>
          <w:vertAlign w:val="superscript"/>
        </w:rPr>
        <w:t>1</w:t>
      </w:r>
      <w:r w:rsidRPr="00E75CB2">
        <w:rPr>
          <w:bCs/>
        </w:rPr>
        <w:t xml:space="preserve"> Hull University Teaching Hospitals NHS Trust and Hull York Medical School</w:t>
      </w:r>
    </w:p>
    <w:p w14:paraId="1D97A2AE" w14:textId="77777777" w:rsidR="00FC4FDF" w:rsidRPr="00E75CB2" w:rsidRDefault="00FC4FDF" w:rsidP="004A4E48">
      <w:pPr>
        <w:pStyle w:val="Body"/>
        <w:spacing w:line="276" w:lineRule="auto"/>
        <w:jc w:val="both"/>
        <w:rPr>
          <w:rFonts w:eastAsia="Arial"/>
          <w:bCs/>
        </w:rPr>
      </w:pPr>
      <w:r w:rsidRPr="00E75CB2">
        <w:rPr>
          <w:bCs/>
        </w:rPr>
        <w:t>Hull Royal Infirmary</w:t>
      </w:r>
    </w:p>
    <w:p w14:paraId="5D48C09B" w14:textId="77777777" w:rsidR="00FC4FDF" w:rsidRPr="00E75CB2" w:rsidRDefault="00FC4FDF" w:rsidP="004A4E48">
      <w:pPr>
        <w:pStyle w:val="Body"/>
        <w:spacing w:line="276" w:lineRule="auto"/>
        <w:jc w:val="both"/>
        <w:rPr>
          <w:rFonts w:eastAsia="Arial"/>
          <w:bCs/>
        </w:rPr>
      </w:pPr>
      <w:r w:rsidRPr="00E75CB2">
        <w:rPr>
          <w:bCs/>
        </w:rPr>
        <w:t>Anlaby Road</w:t>
      </w:r>
    </w:p>
    <w:p w14:paraId="4B11DA84" w14:textId="77777777" w:rsidR="00FC4FDF" w:rsidRPr="00E75CB2" w:rsidRDefault="00FC4FDF" w:rsidP="004A4E48">
      <w:pPr>
        <w:pStyle w:val="Body"/>
        <w:spacing w:line="276" w:lineRule="auto"/>
        <w:jc w:val="both"/>
        <w:rPr>
          <w:rFonts w:eastAsia="Arial"/>
          <w:bCs/>
        </w:rPr>
      </w:pPr>
      <w:r w:rsidRPr="00E75CB2">
        <w:rPr>
          <w:bCs/>
        </w:rPr>
        <w:t>Hull, HU3 2JZ - U.K.</w:t>
      </w:r>
    </w:p>
    <w:p w14:paraId="06F8DC7D" w14:textId="77777777" w:rsidR="00FC4FDF" w:rsidRPr="00E75CB2" w:rsidRDefault="00FC4FDF" w:rsidP="004A4E48">
      <w:pPr>
        <w:pStyle w:val="Body"/>
        <w:spacing w:line="276" w:lineRule="auto"/>
        <w:jc w:val="both"/>
        <w:rPr>
          <w:rFonts w:eastAsia="Arial"/>
          <w:bCs/>
        </w:rPr>
      </w:pPr>
      <w:r w:rsidRPr="00E75CB2">
        <w:rPr>
          <w:rFonts w:eastAsia="Arial"/>
          <w:bCs/>
          <w:vertAlign w:val="superscript"/>
        </w:rPr>
        <w:t>2</w:t>
      </w:r>
      <w:r w:rsidRPr="00E75CB2">
        <w:rPr>
          <w:rFonts w:eastAsia="Arial"/>
          <w:bCs/>
        </w:rPr>
        <w:t xml:space="preserve"> Centre for Atherothrombosis and Metabolic Disease</w:t>
      </w:r>
    </w:p>
    <w:p w14:paraId="142F556B" w14:textId="77777777" w:rsidR="00FC4FDF" w:rsidRPr="00E75CB2" w:rsidRDefault="00FC4FDF" w:rsidP="004A4E48">
      <w:pPr>
        <w:pStyle w:val="Body"/>
        <w:spacing w:line="276" w:lineRule="auto"/>
        <w:jc w:val="both"/>
        <w:rPr>
          <w:rFonts w:eastAsia="Arial"/>
          <w:bCs/>
        </w:rPr>
      </w:pPr>
      <w:r w:rsidRPr="00E75CB2">
        <w:rPr>
          <w:rFonts w:eastAsia="Arial"/>
          <w:bCs/>
        </w:rPr>
        <w:t>Hull York Medical School - University of Hull</w:t>
      </w:r>
    </w:p>
    <w:p w14:paraId="76ECB193" w14:textId="77777777" w:rsidR="00FC4FDF" w:rsidRPr="00E75CB2" w:rsidRDefault="00FC4FDF" w:rsidP="004A4E48">
      <w:pPr>
        <w:pStyle w:val="Body"/>
        <w:spacing w:line="276" w:lineRule="auto"/>
        <w:jc w:val="both"/>
        <w:rPr>
          <w:rFonts w:eastAsia="Arial"/>
          <w:bCs/>
        </w:rPr>
      </w:pPr>
      <w:r w:rsidRPr="00E75CB2">
        <w:rPr>
          <w:rFonts w:eastAsia="Arial"/>
          <w:bCs/>
        </w:rPr>
        <w:t>Hull, HU6 7RX – U.K</w:t>
      </w:r>
    </w:p>
    <w:p w14:paraId="71654E15" w14:textId="77777777" w:rsidR="00FC4FDF" w:rsidRPr="00E75CB2" w:rsidRDefault="00FC4FDF" w:rsidP="00FC4FDF">
      <w:pPr>
        <w:pStyle w:val="Body"/>
        <w:spacing w:line="276" w:lineRule="auto"/>
        <w:rPr>
          <w:rFonts w:eastAsia="Arial"/>
          <w:bCs/>
        </w:rPr>
      </w:pPr>
    </w:p>
    <w:p w14:paraId="56717B3B" w14:textId="77777777" w:rsidR="00FC4FDF" w:rsidRPr="00E75CB2" w:rsidRDefault="00FC4FDF" w:rsidP="004A4E48">
      <w:pPr>
        <w:pStyle w:val="Body"/>
        <w:spacing w:line="276" w:lineRule="auto"/>
        <w:jc w:val="both"/>
        <w:rPr>
          <w:rFonts w:eastAsia="Arial"/>
          <w:bCs/>
        </w:rPr>
      </w:pPr>
      <w:r w:rsidRPr="00E75CB2">
        <w:rPr>
          <w:rFonts w:eastAsia="Arial"/>
          <w:bCs/>
        </w:rPr>
        <w:t>Abstract word count: 250</w:t>
      </w:r>
    </w:p>
    <w:p w14:paraId="5A916D29" w14:textId="69BA2B9D" w:rsidR="00FC4FDF" w:rsidRPr="00E75CB2" w:rsidRDefault="00FC4FDF" w:rsidP="004A4E48">
      <w:pPr>
        <w:pStyle w:val="Body"/>
        <w:spacing w:line="276" w:lineRule="auto"/>
        <w:jc w:val="both"/>
        <w:rPr>
          <w:rFonts w:eastAsia="Arial"/>
          <w:bCs/>
        </w:rPr>
      </w:pPr>
      <w:r w:rsidRPr="00E75CB2">
        <w:rPr>
          <w:rFonts w:eastAsia="Arial"/>
          <w:bCs/>
        </w:rPr>
        <w:t xml:space="preserve">Manuscript word count: </w:t>
      </w:r>
      <w:r w:rsidR="008D1E72">
        <w:rPr>
          <w:rFonts w:eastAsia="Arial"/>
          <w:bCs/>
          <w:color w:val="auto"/>
        </w:rPr>
        <w:t>3212</w:t>
      </w:r>
      <w:r w:rsidR="004A4E48">
        <w:rPr>
          <w:rFonts w:eastAsia="Arial"/>
          <w:bCs/>
        </w:rPr>
        <w:t xml:space="preserve"> </w:t>
      </w:r>
    </w:p>
    <w:p w14:paraId="181598DC" w14:textId="77777777" w:rsidR="00FC4FDF" w:rsidRPr="00E75CB2" w:rsidRDefault="00FC4FDF" w:rsidP="004A4E48">
      <w:pPr>
        <w:pStyle w:val="Body"/>
        <w:spacing w:line="276" w:lineRule="auto"/>
        <w:jc w:val="both"/>
        <w:rPr>
          <w:rFonts w:eastAsia="Arial"/>
          <w:bCs/>
        </w:rPr>
      </w:pPr>
      <w:r w:rsidRPr="00E75CB2">
        <w:rPr>
          <w:rFonts w:eastAsia="Arial"/>
          <w:bCs/>
        </w:rPr>
        <w:t>Tables: 1 /Figures: 6</w:t>
      </w:r>
    </w:p>
    <w:p w14:paraId="0F95F708" w14:textId="77777777" w:rsidR="00FC4FDF" w:rsidRPr="00E75CB2" w:rsidRDefault="00FC4FDF" w:rsidP="004A4E48">
      <w:pPr>
        <w:pStyle w:val="Body"/>
        <w:spacing w:line="276" w:lineRule="auto"/>
        <w:jc w:val="both"/>
        <w:rPr>
          <w:rFonts w:eastAsia="Arial"/>
          <w:bCs/>
        </w:rPr>
      </w:pPr>
      <w:r w:rsidRPr="00E75CB2">
        <w:rPr>
          <w:rFonts w:eastAsia="Arial"/>
          <w:bCs/>
        </w:rPr>
        <w:t>References: 40</w:t>
      </w:r>
    </w:p>
    <w:p w14:paraId="0732AFD9" w14:textId="77777777" w:rsidR="00FC4FDF" w:rsidRPr="00E75CB2" w:rsidRDefault="00FC4FDF" w:rsidP="004A4E48">
      <w:pPr>
        <w:pStyle w:val="Body"/>
        <w:spacing w:line="276" w:lineRule="auto"/>
        <w:jc w:val="both"/>
        <w:rPr>
          <w:rFonts w:eastAsia="Arial"/>
          <w:bCs/>
        </w:rPr>
      </w:pPr>
    </w:p>
    <w:p w14:paraId="3E90C550" w14:textId="77777777" w:rsidR="00FC4FDF" w:rsidRPr="00E75CB2" w:rsidRDefault="00FC4FDF" w:rsidP="004A4E48">
      <w:pPr>
        <w:pStyle w:val="Body"/>
        <w:spacing w:line="276" w:lineRule="auto"/>
        <w:jc w:val="both"/>
        <w:rPr>
          <w:rFonts w:eastAsia="Arial"/>
          <w:bCs/>
        </w:rPr>
      </w:pPr>
      <w:r w:rsidRPr="00E75CB2">
        <w:rPr>
          <w:bCs/>
        </w:rPr>
        <w:t>Corresponding Authors: Dr Xenophon Kassianides</w:t>
      </w:r>
    </w:p>
    <w:p w14:paraId="52EE71B7" w14:textId="77777777" w:rsidR="00FC4FDF" w:rsidRPr="00E75CB2" w:rsidRDefault="00FC4FDF" w:rsidP="004A4E48">
      <w:pPr>
        <w:pStyle w:val="Body"/>
        <w:spacing w:line="276" w:lineRule="auto"/>
        <w:jc w:val="both"/>
        <w:rPr>
          <w:rFonts w:eastAsia="Arial"/>
          <w:bCs/>
        </w:rPr>
      </w:pPr>
      <w:r w:rsidRPr="00E75CB2">
        <w:rPr>
          <w:bCs/>
        </w:rPr>
        <w:t xml:space="preserve">Email: </w:t>
      </w:r>
      <w:hyperlink r:id="rId8" w:history="1">
        <w:r w:rsidRPr="00E75CB2">
          <w:rPr>
            <w:rStyle w:val="Hyperlink"/>
            <w:bCs/>
          </w:rPr>
          <w:t>xenophon.kassianides@hey.nhs.uk</w:t>
        </w:r>
      </w:hyperlink>
      <w:r w:rsidRPr="00E75CB2">
        <w:rPr>
          <w:bCs/>
        </w:rPr>
        <w:t xml:space="preserve"> Tel:  +44 01482 67 4308 / Fax: +44 01482 67 4998</w:t>
      </w:r>
    </w:p>
    <w:p w14:paraId="208D69A6" w14:textId="77777777" w:rsidR="00FC4FDF" w:rsidRPr="00E75CB2" w:rsidRDefault="00FC4FDF" w:rsidP="00FC4FDF">
      <w:pPr>
        <w:rPr>
          <w:rFonts w:cs="Calibri"/>
          <w:b/>
          <w:color w:val="000000"/>
          <w:sz w:val="24"/>
          <w:szCs w:val="24"/>
          <w:u w:val="single"/>
          <w:lang w:val="en-US"/>
        </w:rPr>
      </w:pPr>
    </w:p>
    <w:p w14:paraId="6C1ADBEB" w14:textId="77777777" w:rsidR="00FC4FDF" w:rsidRPr="00E75CB2" w:rsidRDefault="00FC4FDF" w:rsidP="004A4E48">
      <w:pPr>
        <w:pStyle w:val="Body"/>
        <w:spacing w:line="276" w:lineRule="auto"/>
        <w:jc w:val="both"/>
      </w:pPr>
      <w:r w:rsidRPr="00E75CB2">
        <w:rPr>
          <w:b/>
          <w:u w:val="single"/>
        </w:rPr>
        <w:t>Funding</w:t>
      </w:r>
      <w:r w:rsidRPr="00E75CB2">
        <w:rPr>
          <w:b/>
        </w:rPr>
        <w:t xml:space="preserve">: </w:t>
      </w:r>
      <w:r w:rsidRPr="00E75CB2">
        <w:t>Pharmacosmos A/S</w:t>
      </w:r>
    </w:p>
    <w:p w14:paraId="5D73C5AC" w14:textId="77777777" w:rsidR="00FC4FDF" w:rsidRPr="00E75CB2" w:rsidRDefault="00FC4FDF" w:rsidP="004A4E48">
      <w:pPr>
        <w:pStyle w:val="Body"/>
        <w:spacing w:line="276" w:lineRule="auto"/>
        <w:jc w:val="both"/>
      </w:pPr>
      <w:r w:rsidRPr="00E75CB2">
        <w:rPr>
          <w:b/>
          <w:u w:val="single"/>
        </w:rPr>
        <w:t>Authors’ contributions</w:t>
      </w:r>
      <w:r w:rsidRPr="00E75CB2">
        <w:t xml:space="preserve">: X.K contributed to the interpretation of data, drafting and revision of the manuscript for important intellectual content, approval of the final version for submission and agreement to be accountable for all aspects of the work. S.B contributed to the conception, design, conduct of the trial, interpretation of data, drafting and revision of the manuscript for important intellectual content, approval of the final version for submission and agreement to be accountable for all aspects of the work. A.G contributed to acquisition of data, approval of the final version of submission and agreement to be accountable for all aspects of the work. R.S contributed to acquisition of data and interpretation of data, revision of the manuscript for important intellectual content, approval of the final version for submission and agreement to be accountable for all aspects of work. </w:t>
      </w:r>
    </w:p>
    <w:p w14:paraId="3D7348B4" w14:textId="77777777" w:rsidR="00FC4FDF" w:rsidRPr="00371CFB" w:rsidRDefault="00FC4FDF" w:rsidP="00DF7604">
      <w:pPr>
        <w:pStyle w:val="Body"/>
        <w:spacing w:line="480" w:lineRule="auto"/>
        <w:jc w:val="both"/>
        <w:rPr>
          <w:b/>
        </w:rPr>
      </w:pPr>
      <w:r w:rsidRPr="00E75CB2">
        <w:rPr>
          <w:b/>
          <w:u w:val="single"/>
        </w:rPr>
        <w:lastRenderedPageBreak/>
        <w:t>Abstract</w:t>
      </w:r>
      <w:r w:rsidRPr="00E75CB2">
        <w:rPr>
          <w:b/>
        </w:rPr>
        <w:br/>
      </w:r>
      <w:r w:rsidRPr="00371CFB">
        <w:rPr>
          <w:b/>
        </w:rPr>
        <w:t xml:space="preserve">Background: </w:t>
      </w:r>
      <w:r w:rsidRPr="00371CFB">
        <w:rPr>
          <w:bCs/>
        </w:rPr>
        <w:t>Concerns exist regarding the pro-oxidant and inflammatory potential of intravenous (IV) iron due to labile plasma iron (LPI) generation. The IRON-CKD trial evaluated the comparative effect of different IV irons on oxidative stress and inflammation.</w:t>
      </w:r>
    </w:p>
    <w:p w14:paraId="0AB8E67A" w14:textId="2BEC8A91" w:rsidR="00FC4FDF" w:rsidRPr="00371CFB" w:rsidRDefault="00FC4FDF" w:rsidP="00DF7604">
      <w:pPr>
        <w:pStyle w:val="Body"/>
        <w:spacing w:line="480" w:lineRule="auto"/>
        <w:jc w:val="both"/>
        <w:rPr>
          <w:b/>
        </w:rPr>
      </w:pPr>
      <w:r w:rsidRPr="00371CFB">
        <w:rPr>
          <w:b/>
        </w:rPr>
        <w:t xml:space="preserve">Methods:  </w:t>
      </w:r>
      <w:r w:rsidRPr="00371CFB">
        <w:rPr>
          <w:bCs/>
        </w:rPr>
        <w:t xml:space="preserve">In this randomized open-label explorative single center </w:t>
      </w:r>
      <w:r w:rsidR="003A4FC8">
        <w:rPr>
          <w:bCs/>
        </w:rPr>
        <w:t xml:space="preserve">study in the </w:t>
      </w:r>
      <w:r w:rsidR="004A4E48">
        <w:rPr>
          <w:bCs/>
        </w:rPr>
        <w:t>U.K,</w:t>
      </w:r>
      <w:r w:rsidR="003A4FC8">
        <w:rPr>
          <w:bCs/>
        </w:rPr>
        <w:t xml:space="preserve"> non-dialysis-</w:t>
      </w:r>
      <w:r w:rsidRPr="00371CFB">
        <w:rPr>
          <w:bCs/>
        </w:rPr>
        <w:t>dependent CKD patients with iron deficiency were randomized (1:1:1:1) to a single infusion of 200 mg Iron Dextran, or Iron Sucrose (IS) or 200 mg or 1000 mg Ferric Derisomaltose (FDI) and were followed up for 3 months. Primary outcomes were induction of oxidative stress and inflammation. Secondarily, efficacy, vascular function, quality of life and safety were monitored.</w:t>
      </w:r>
    </w:p>
    <w:p w14:paraId="726E9BED" w14:textId="0BD5683B" w:rsidR="00FC4FDF" w:rsidRPr="00371CFB" w:rsidRDefault="00FC4FDF" w:rsidP="00DF7604">
      <w:pPr>
        <w:pStyle w:val="Body"/>
        <w:spacing w:line="480" w:lineRule="auto"/>
        <w:jc w:val="both"/>
        <w:rPr>
          <w:bCs/>
        </w:rPr>
      </w:pPr>
      <w:r w:rsidRPr="00371CFB">
        <w:rPr>
          <w:b/>
        </w:rPr>
        <w:t xml:space="preserve">Results: </w:t>
      </w:r>
      <w:r w:rsidRPr="00371CFB">
        <w:rPr>
          <w:bCs/>
        </w:rPr>
        <w:t xml:space="preserve">Forty patients were enrolled. No significant rise in oxidative stress existed, regardless of preparation or dose. There was a significant rise in LPI with 1000 mg FDI at 2 hours which normalized within a week, not impacting on oxidative stress or inflammation. A delayed rise in CRP was noted with IS. High-dose FDI produced a sustained </w:t>
      </w:r>
      <w:r w:rsidR="00746799" w:rsidRPr="00D00099">
        <w:rPr>
          <w:bCs/>
          <w:color w:val="auto"/>
        </w:rPr>
        <w:t xml:space="preserve">serum ferritin </w:t>
      </w:r>
      <w:r w:rsidRPr="00371CFB">
        <w:rPr>
          <w:bCs/>
        </w:rPr>
        <w:t>increase (mean pre-dose (SEM): 69.1 (18.4) microg/L, 3 months: 271.0 (83.3) microg/L; p=0.007). Hemoglobin remained stable throughout. No adverse drug reactions were recorded during the study.</w:t>
      </w:r>
    </w:p>
    <w:p w14:paraId="768200BC" w14:textId="150C51F0" w:rsidR="004A4E48" w:rsidRDefault="00FC4FDF" w:rsidP="00DF7604">
      <w:pPr>
        <w:pStyle w:val="Body"/>
        <w:spacing w:line="480" w:lineRule="auto"/>
        <w:jc w:val="both"/>
        <w:rPr>
          <w:bCs/>
        </w:rPr>
      </w:pPr>
      <w:r w:rsidRPr="00371CFB">
        <w:rPr>
          <w:b/>
        </w:rPr>
        <w:t>Conclusions:</w:t>
      </w:r>
      <w:r w:rsidRPr="00371CFB">
        <w:rPr>
          <w:bCs/>
        </w:rPr>
        <w:t xml:space="preserve"> A single dose of IV iron in CKD patients does not trigger oxidative stress or inflammation biomarkers. Third generation IV irons have a reassuring safety profile, and high dose FDI produced a sustained </w:t>
      </w:r>
      <w:r w:rsidR="00746799" w:rsidRPr="00D00099">
        <w:rPr>
          <w:bCs/>
          <w:color w:val="auto"/>
        </w:rPr>
        <w:t>serum ferritin</w:t>
      </w:r>
      <w:r w:rsidRPr="00D00099">
        <w:rPr>
          <w:bCs/>
          <w:color w:val="auto"/>
        </w:rPr>
        <w:t xml:space="preserve"> </w:t>
      </w:r>
      <w:r w:rsidRPr="00371CFB">
        <w:rPr>
          <w:bCs/>
        </w:rPr>
        <w:t>rise and more efficient iron repletion, with no significant pro-oxidant or inflammatory signal wh</w:t>
      </w:r>
      <w:r w:rsidR="00DF7604">
        <w:rPr>
          <w:bCs/>
        </w:rPr>
        <w:t>en compared to a lower dose and other IV irons</w:t>
      </w:r>
      <w:r w:rsidR="004A4E48">
        <w:rPr>
          <w:bCs/>
        </w:rPr>
        <w:t>.</w:t>
      </w:r>
    </w:p>
    <w:p w14:paraId="1860C97D" w14:textId="1AB207A1" w:rsidR="00FC4FDF" w:rsidRPr="00E75CB2" w:rsidRDefault="00FC4FDF" w:rsidP="00DF7604">
      <w:pPr>
        <w:pStyle w:val="Body"/>
        <w:spacing w:line="480" w:lineRule="auto"/>
        <w:jc w:val="both"/>
        <w:rPr>
          <w:bCs/>
        </w:rPr>
      </w:pPr>
      <w:r w:rsidRPr="00E75CB2">
        <w:rPr>
          <w:b/>
          <w:bCs/>
        </w:rPr>
        <w:t>Keywords</w:t>
      </w:r>
      <w:r w:rsidRPr="00E75CB2">
        <w:rPr>
          <w:bCs/>
        </w:rPr>
        <w:t>: Chronic Kidney Disease (CKD)</w:t>
      </w:r>
      <w:r>
        <w:rPr>
          <w:bCs/>
        </w:rPr>
        <w:t>;</w:t>
      </w:r>
      <w:r w:rsidRPr="00E75CB2">
        <w:rPr>
          <w:bCs/>
        </w:rPr>
        <w:t xml:space="preserve"> Ferric Derisomaltose</w:t>
      </w:r>
      <w:r>
        <w:rPr>
          <w:bCs/>
        </w:rPr>
        <w:t xml:space="preserve">; </w:t>
      </w:r>
      <w:r w:rsidRPr="00E75CB2">
        <w:rPr>
          <w:bCs/>
        </w:rPr>
        <w:t>Intravenous Iron</w:t>
      </w:r>
      <w:r>
        <w:rPr>
          <w:bCs/>
        </w:rPr>
        <w:t>;</w:t>
      </w:r>
      <w:r w:rsidRPr="00E75CB2">
        <w:rPr>
          <w:bCs/>
        </w:rPr>
        <w:t xml:space="preserve"> Iron deficiency</w:t>
      </w:r>
      <w:r>
        <w:rPr>
          <w:bCs/>
        </w:rPr>
        <w:t>;</w:t>
      </w:r>
      <w:r w:rsidRPr="00E75CB2">
        <w:rPr>
          <w:bCs/>
        </w:rPr>
        <w:t xml:space="preserve"> Oxidative stress</w:t>
      </w:r>
    </w:p>
    <w:p w14:paraId="541E7396" w14:textId="77777777" w:rsidR="00FC4FDF" w:rsidRPr="00E63806" w:rsidRDefault="00FC4FDF" w:rsidP="00DF7604">
      <w:pPr>
        <w:pStyle w:val="Body"/>
        <w:spacing w:line="480" w:lineRule="auto"/>
        <w:jc w:val="both"/>
        <w:rPr>
          <w:rFonts w:asciiTheme="minorHAnsi" w:hAnsiTheme="minorHAnsi"/>
          <w:b/>
          <w:bCs/>
          <w:u w:val="single"/>
        </w:rPr>
      </w:pPr>
      <w:r w:rsidRPr="00E63806">
        <w:rPr>
          <w:rFonts w:asciiTheme="minorHAnsi" w:hAnsiTheme="minorHAnsi"/>
          <w:b/>
          <w:bCs/>
          <w:u w:val="single"/>
        </w:rPr>
        <w:lastRenderedPageBreak/>
        <w:t>Introduction</w:t>
      </w:r>
    </w:p>
    <w:p w14:paraId="2F451DA8" w14:textId="169DB870"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 xml:space="preserve">Iron deficiency </w:t>
      </w:r>
      <w:r w:rsidRPr="00D00099">
        <w:rPr>
          <w:rFonts w:asciiTheme="minorHAnsi" w:hAnsiTheme="minorHAnsi"/>
          <w:color w:val="auto"/>
        </w:rPr>
        <w:t>anemia</w:t>
      </w:r>
      <w:r w:rsidRPr="00E63806">
        <w:rPr>
          <w:rFonts w:asciiTheme="minorHAnsi" w:hAnsiTheme="minorHAnsi"/>
        </w:rPr>
        <w:t xml:space="preserve"> is a global condition co-existing with other medical comorbidities including chronic kidney disease (CKD), heart failure, inflammatory bowel disease and malignancy </w:t>
      </w:r>
      <w:r w:rsidRPr="00E63806">
        <w:rPr>
          <w:rFonts w:asciiTheme="minorHAnsi" w:hAnsiTheme="minorHAnsi"/>
        </w:rPr>
        <w:fldChar w:fldCharType="begin" w:fldLock="1"/>
      </w:r>
      <w:r w:rsidR="00B337AF">
        <w:rPr>
          <w:rFonts w:asciiTheme="minorHAnsi" w:hAnsiTheme="minorHAnsi"/>
        </w:rPr>
        <w:instrText>ADDIN CSL_CITATION {"citationItems":[{"id":"ITEM-1","itemData":{"DOI":"10.1016/S0140-6736(17)32154-2","ISSN":"1474547X","PMID":"28919117","abstract":"Background As mortality rates decline, life expectancy increases, and populations age, non-fatal outcomes of diseases and injuries are becoming a larger component of the global burden of disease. The Global Burden of Diseases, Injuries, and Risk Factors Study 2016 (GBD 2016) provides a comprehensive assessment of prevalence, incidence, and years lived with disability (YLDs) for 328 causes in 195 countries and territories from 1990 to 2016. Methods We estimated prevalence and incidence for 328 diseases and injuries and 2982 sequelae, their non-fatal consequences. We used DisMod-MR 2.1, a Bayesian meta-regression tool, as the main method of estimation, ensuring consistency between incidence, prevalence, remission, and cause of death rates for each condition. For some causes, we used alternative modelling strategies if incidence or prevalence needed to be derived from other data. YLDs were estimated as the product of prevalence and a disability weight for all mutually exclusive sequelae, corrected for comorbidity and aggregated to cause level. We updated the Socio-demographic Index (SDI), a summary indicator of income per capita, years of schooling, and total fertility rate. GBD 2016 complies with the Guidelines for Accurate and Transparent Health Estimates Reporting (GATHER). Findings Globally, low back pain, migraine, age-related and other hearing loss, iron-deficiency anaemia, and major depressive disorder were the five leading causes of YLDs in 2016, contributing 57·6 million (95% uncertainty interval [UI] 40·8-75·9 million [7·2%, 6·0-8·3]), 45·1 million (29·0-62·8 million [5·6%, 4·0-7·2]), 36·3 million (25·3-50·9 million [4·5%, 3·8-5·3]), 34·7 million (23·0-49·6 million [4·3%, 3·5-5·2]), and 34·1 million (23·5-46·0 million [4·2%, 3·2-5·3]) of total YLDs, respectively. Age-standardised rates of YLDs for all causes combined decreased between 1990 and 2016 by 2·7% (95% UI 2·3-3·1). Despite mostly stagnant age-standardised rates, the absolute number of YLDs from non-communicable diseases has been growing rapidly across all SDI quintiles, partly because of population growth, but also the ageing of populations. The largest absolute increases in total numbers of YLDs globally were between the ages of 40 and 69 years. Age-standardised YLD rates for all conditions combined were 10·4% (95% UI 9·0-11·8) higher in women than in men. Iron-deficiency anaemia, migraine, Alzheimer's disease and other dementias, major depressive disorder, anxiety, and all musculoskele…","author":[{"dropping-particle":"","family":"Vos","given":"Theo","non-dropping-particle":"","parse-names":false,"suffix":""},{"dropping-particle":"","family":"Abajobir","given":"Amanuel Alemu","non-dropping-particle":"","parse-names":false,"suffix":""},{"dropping-particle":"","family":"Abbafati","given":"Cristiana","non-dropping-particle":"","parse-names":false,"suffix":""},{"dropping-particle":"","family":"Abbas","given":"Kaja M.","non-dropping-particle":"","parse-names":false,"suffix":""},{"dropping-particle":"","family":"Abate","given":"Kalkidan Hassen","non-dropping-particle":"","parse-names":false,"suffix":""},{"dropping-particle":"","family":"Abd-Allah","given":"Foad","non-dropping-particle":"","parse-names":false,"suffix":""},{"dropping-particle":"","family":"Abdulle","given":"Abdishakur M.","non-dropping-particle":"","parse-names":false,"suffix":""},{"dropping-particle":"","family":"Abebo","given":"Teshome Abuka","non-dropping-particle":"","parse-names":false,"suffix":""},{"dropping-particle":"","family":"Abera","given":"Semaw Ferede","non-dropping-particle":"","parse-names":false,"suffix":""},{"dropping-particle":"","family":"Aboyans","given":"Victor","non-dropping-particle":"","parse-names":false,"suffix":""},{"dropping-particle":"","family":"Abu-Raddad","given":"Laith J.","non-dropping-particle":"","parse-names":false,"suffix":""},{"dropping-particle":"","family":"Ackerman","given":"Ilana N.","non-dropping-particle":"","parse-names":false,"suffix":""},{"dropping-particle":"","family":"Adamu","given":"Abdu Abdullahi","non-dropping-particle":"","parse-names":false,"suffix":""},{"dropping-particle":"","family":"Adetokunboh","given":"Olatunji","non-dropping-particle":"","parse-names":false,"suffix":""},{"dropping-particle":"","family":"Afarideh","given":"Mohsen","non-dropping-particle":"","parse-names":false,"suffix":""},{"dropping-particle":"","family":"Afshin","given":"Ashkan","non-dropping-particle":"","parse-names":false,"suffix":""},{"dropping-particle":"","family":"Agarwal","given":"Sanjay Kumar","non-dropping-particle":"","parse-names":false,"suffix":""},{"dropping-particle":"","family":"Aggarwal","given":"Rakesh","non-dropping-particle":"","parse-names":false,"suffix":""},{"dropping-particle":"","family":"Agrawal","given":"Anurag","non-dropping-particle":"","parse-names":false,"suffix":""},{"dropping-particle":"","family":"Agrawal","given":"Sutapa","non-dropping-particle":"","parse-names":false,"suffix":""},{"dropping-particle":"","family":"Ahmad Kiadaliri","given":"Aliasghar","non-dropping-particle":"","parse-names":false,"suffix":""},{"dropping-particle":"","family":"Ahmadieh","given":"Hamid","non-dropping-particle":"","parse-names":false,"suffix":""},{"dropping-particle":"","family":"Ahmed","given":"Muktar Beshir","non-dropping-particle":"","parse-names":false,"suffix":""},{"dropping-particle":"","family":"Aichour","given":"Amani Nidhal","non-dropping-particle":"","parse-names":false,"suffix":""},{"dropping-particle":"","family":"Aichour","given":"Ibtihel","non-dropping-particle":"","parse-names":false,"suffix":""},{"dropping-particle":"","family":"Aichour","given":"Miloud Taki Eddine","non-dropping-particle":"","parse-names":false,"suffix":""},{"dropping-particle":"","family":"Aiyar","given":"Sneha","non-dropping-particle":"","parse-names":false,"suffix":""},{"dropping-particle":"","family":"Akinyemi","given":"Rufus Olusola","non-dropping-particle":"","parse-names":false,"suffix":""},{"dropping-particle":"","family":"Akseer","given":"Nadia","non-dropping-particle":"","parse-names":false,"suffix":""},{"dropping-particle":"","family":"Lami","given":"Faris Hasan","non-dropping-particle":"Al","parse-names":false,"suffix":""},{"dropping-particle":"","family":"Alahdab","given":"Fares","non-dropping-particle":"","parse-names":false,"suffix":""},{"dropping-particle":"","family":"Al-Aly","given":"Ziyad","non-dropping-particle":"","parse-names":false,"suffix":""},{"dropping-particle":"","family":"Alam","given":"Khurshid","non-dropping-particle":"","parse-names":false,"suffix":""},{"dropping-particle":"","family":"Alam","given":"Noore","non-dropping-particle":"","parse-names":false,"suffix":""},{"dropping-particle":"","family":"Alam","given":"Tahiya","non-dropping-particle":"","parse-names":false,"suffix":""},{"dropping-particle":"","family":"Alasfoor","given":"Deena","non-dropping-particle":"","parse-names":false,"suffix":""},{"dropping-particle":"","family":"Alene","given":"Kefyalew Addis","non-dropping-particle":"","parse-names":false,"suffix":""},{"dropping-particle":"","family":"Ali","given":"Raghib","non-dropping-particle":"","parse-names":false,"suffix":""},{"dropping-particle":"","family":"Alizadeh-Navaei","given":"Reza","non-dropping-particle":"","parse-names":false,"suffix":""},{"dropping-particle":"","family":"Alkerwi","given":"Ala'a","non-dropping-particle":"","parse-names":false,"suffix":""},{"dropping-particle":"","family":"Alla","given":"François","non-dropping-particle":"","parse-names":false,"suffix":""},{"dropping-particle":"","family":"Allebeck","given":"Peter","non-dropping-particle":"","parse-names":false,"suffix":""},{"dropping-particle":"","family":"Allen","given":"Christine","non-dropping-particle":"","parse-names":false,"suffix":""},{"dropping-particle":"","family":"Al-Maskari","given":"Fatma","non-dropping-particle":"","parse-names":false,"suffix":""},{"dropping-particle":"","family":"Al-Raddadi","given":"Rajaa","non-dropping-particle":"","parse-names":false,"suffix":""},{"dropping-particle":"","family":"Alsharif","given":"Ubai","non-dropping-particle":"","parse-names":false,"suffix":""},{"dropping-particle":"","family":"Alsowaidi","given":"Shirina","non-dropping-particle":"","parse-names":false,"suffix":""},{"dropping-particle":"","family":"Altirkawi","given":"Khalid A.","non-dropping-particle":"","parse-names":false,"suffix":""},{"dropping-particle":"","family":"Amare","given":"Azmeraw T.","non-dropping-particle":"","parse-names":false,"suffix":""},{"dropping-particle":"","family":"Amini","given":"Erfan","non-dropping-particle":"","parse-names":false,"suffix":""},{"dropping-particle":"","family":"Ammar","given":"Walid","non-dropping-particle":"","parse-names":false,"suffix":""},{"dropping-particle":"","family":"Amoako","given":"Yaw Ampem","non-dropping-particle":"","parse-names":false,"suffix":""},{"dropping-particle":"","family":"Andersen","given":"Hjalte H.","non-dropping-particle":"","parse-names":false,"suffix":""},{"dropping-particle":"","family":"Antonio","given":"Carl Abelardo T.","non-dropping-particle":"","parse-names":false,"suffix":""},{"dropping-particle":"","family":"Anwari","given":"Palwasha","non-dropping-particle":"","parse-names":false,"suffix":""},{"dropping-particle":"","family":"Ärnlöv","given":"Johan","non-dropping-particle":"","parse-names":false,"suffix":""},{"dropping-particle":"","family":"Artaman","given":"Al","non-dropping-particle":"","parse-names":false,"suffix":""},{"dropping-particle":"","family":"Aryal","given":"Krishna Kumar","non-dropping-particle":"","parse-names":false,"suffix":""},{"dropping-particle":"","family":"Asayesh","given":"Hamid","non-dropping-particle":"","parse-names":false,"suffix":""},{"dropping-particle":"","family":"Asgedom","given":"Solomon W.","non-dropping-particle":"","parse-names":false,"suffix":""},{"dropping-particle":"","family":"Assadi","given":"Reza","non-dropping-particle":"","parse-names":false,"suffix":""},{"dropping-particle":"","family":"Atey","given":"Tesfay Mehari","non-dropping-particle":"","parse-names":false,"suffix":""},{"dropping-particle":"","family":"Atnafu","given":"Niguse Tadele","non-dropping-particle":"","parse-names":false,"suffix":""},{"dropping-particle":"","family":"Atre","given":"Sachin R.","non-dropping-particle":"","parse-names":false,"suffix":""},{"dropping-particle":"","family":"Avila-Burgos","given":"Leticia","non-dropping-particle":"","parse-names":false,"suffix":""},{"dropping-particle":"","family":"Avokpaho","given":"Euripide Frinel G.Arthur","non-dropping-particle":"","parse-names":false,"suffix":""},{"dropping-particle":"","family":"Awasthi","given":"Ashish","non-dropping-particle":"","parse-names":false,"suffix":""},{"dropping-particle":"","family":"Ayala Quintanilla","given":"Beatriz Paulina","non-dropping-particle":"","parse-names":false,"suffix":""},{"dropping-particle":"","family":"Ba Saleem","given":"Huda Omer","non-dropping-particle":"","parse-names":false,"suffix":""},{"dropping-particle":"","family":"Bacha","given":"Umar","non-dropping-particle":"","parse-names":false,"suffix":""},{"dropping-particle":"","family":"Badawi","given":"Alaa","non-dropping-particle":"","parse-names":false,"suffix":""},{"dropping-particle":"","family":"Balakrishnan","given":"Kalpana","non-dropping-particle":"","parse-names":false,"suffix":""},{"dropping-particle":"","family":"Banerjee","given":"Amitava","non-dropping-particle":"","parse-names":false,"suffix":""},{"dropping-particle":"","family":"Bannick","given":"Marlena S.","non-dropping-particle":"","parse-names":false,"suffix":""},{"dropping-particle":"","family":"Barac","given":"Aleksandra","non-dropping-particle":"","parse-names":false,"suffix":""},{"dropping-particle":"","family":"Barber","given":"Ryan M.","non-dropping-particle":"","parse-names":false,"suffix":""},{"dropping-particle":"","family":"Barker-Collo","given":"Suzanne L.","non-dropping-particle":"","parse-names":false,"suffix":""},{"dropping-particle":"","family":"Bärnighausen","given":"Till","non-dropping-particle":"","parse-names":false,"suffix":""},{"dropping-particle":"","family":"Barquera","given":"Simon","non-dropping-particle":"","parse-names":false,"suffix":""},{"dropping-particle":"","family":"Barregard","given":"Lars","non-dropping-particle":"","parse-names":false,"suffix":""},{"dropping-particle":"","family":"Barrero","given":"Lope H.","non-dropping-particle":"","parse-names":false,"suffix":""},{"dropping-particle":"","family":"Basu","given":"Sanjay","non-dropping-particle":"","parse-names":false,"suffix":""},{"dropping-particle":"","family":"Battista","given":"Bob","non-dropping-particle":"","parse-names":false,"suffix":""},{"dropping-particle":"","family":"Battle","given":"Katherine E.","non-dropping-particle":"","parse-names":false,"suffix":""},{"dropping-particle":"","family":"Baune","given":"Bernhard T.","non-dropping-particle":"","parse-names":false,"suffix":""},{"dropping-particle":"","family":"Bazargan-Hejazi","given":"Shahrzad","non-dropping-particle":"","parse-names":false,"suffix":""},{"dropping-particle":"","family":"Beardsley","given":"Justin","non-dropping-particle":"","parse-names":false,"suffix":""},{"dropping-particle":"","family":"Bedi","given":"Neeraj","non-dropping-particle":"","parse-names":false,"suffix":""},{"dropping-particle":"","family":"Beghi","given":"Ettore","non-dropping-particle":"","parse-names":false,"suffix":""},{"dropping-particle":"","family":"Béjot","given":"Yannick","non-dropping-particle":"","parse-names":false,"suffix":""},{"dropping-particle":"","family":"Bekele","given":"Bayu Begashaw","non-dropping-particle":"","parse-names":false,"suffix":""},{"dropping-particle":"","family":"Bell","given":"Michelle L.","non-dropping-particle":"","parse-names":false,"suffix":""},{"dropping-particle":"","family":"Bennett","given":"Derrick A.","non-dropping-particle":"","parse-names":false,"suffix":""},{"dropping-particle":"","family":"Bensenor","given":"Isabela M.","non-dropping-particle":"","parse-names":false,"suffix":""},{"dropping-particle":"","family":"Benson","given":"Jennifer","non-dropping-particle":"","parse-names":false,"suffix":""},{"dropping-particle":"","family":"Berhane","given":"Adugnaw","non-dropping-particle":"","parse-names":false,"suffix":""},{"dropping-particle":"","family":"Berhe","given":"Derbew Fikadu","non-dropping-particle":"","parse-names":false,"suffix":""},{"dropping-particle":"","family":"Bernabé","given":"Eduardo","non-dropping-particle":"","parse-names":false,"suffix":""},{"dropping-particle":"","family":"Betsu","given":"Balem Demtsu","non-dropping-particle":"","parse-names":false,"suffix":""},{"dropping-particle":"","family":"Beuran","given":"Mircea","non-dropping-particle":"","parse-names":false,"suffix":""},{"dropping-particle":"","family":"Beyene","given":"Addisu Shunu","non-dropping-particle":"","parse-names":false,"suffix":""},{"dropping-particle":"","family":"Bhala","given":"Neeraj","non-dropping-particle":"","parse-names":false,"suffix":""},{"dropping-particle":"","family":"Bhansali","given":"Anil","non-dropping-particle":"","parse-names":false,"suffix":""},{"dropping-particle":"","family":"Bhatt","given":"Samir","non-dropping-particle":"","parse-names":false,"suffix":""},{"dropping-particle":"","family":"Bhutta","given":"Zulfiqar A.","non-dropping-particle":"","parse-names":false,"suffix":""},{"dropping-particle":"","family":"Biadgilign","given":"Sibhatu","non-dropping-particle":"","parse-names":false,"suffix":""},{"dropping-particle":"","family":"Bienhoff","given":"Kelly","non-dropping-particle":"","parse-names":false,"suffix":""},{"dropping-particle":"","family":"Bikbov","given":"Boris","non-dropping-particle":"","parse-names":false,"suffix":""},{"dropping-particle":"","family":"Birungi","given":"Charles","non-dropping-particle":"","parse-names":false,"suffix":""},{"dropping-particle":"","family":"Biryukov","given":"Stan","non-dropping-particle":"","parse-names":false,"suffix":""},{"dropping-particle":"","family":"Bisanzio","given":"Donal","non-dropping-particle":"","parse-names":false,"suffix":""},{"dropping-particle":"","family":"Bizuayehu","given":"Habtamu Mellie","non-dropping-particle":"","parse-names":false,"suffix":""},{"dropping-particle":"","family":"Boneya","given":"Dube Jara","non-dropping-particle":"","parse-names":false,"suffix":""},{"dropping-particle":"","family":"Boufous","given":"Soufiane","non-dropping-particle":"","parse-names":false,"suffix":""},{"dropping-particle":"","family":"Bourne","given":"Rupert R.A.","non-dropping-particle":"","parse-names":false,"suffix":""},{"dropping-particle":"","family":"Brazinova","given":"Alexandra","non-dropping-particle":"","parse-names":false,"suffix":""},{"dropping-particle":"","family":"Brugha","given":"Traolach S.","non-dropping-particle":"","parse-names":false,"suffix":""},{"dropping-particle":"","family":"Buchbinder","given":"Rachelle","non-dropping-particle":"","parse-names":false,"suffix":""},{"dropping-particle":"","family":"Bulto","given":"Lemma Negesa Bulto","non-dropping-particle":"","parse-names":false,"suffix":""},{"dropping-particle":"","family":"Bumgarner","given":"Blair R.","non-dropping-particle":"","parse-names":false,"suffix":""},{"dropping-particle":"","family":"Butt","given":"Zahid A.","non-dropping-particle":"","parse-names":false,"suffix":""},{"dropping-particle":"","family":"Cahuana-Hurtado","given":"Lucero","non-dropping-particle":"","parse-names":false,"suffix":""},{"dropping-particle":"","family":"Cameron","given":"Ewan","non-dropping-particle":"","parse-names":false,"suffix":""},{"dropping-particle":"","family":"Car","given":"Mate","non-dropping-particle":"","parse-names":false,"suffix":""},{"dropping-particle":"","family":"Carabin","given":"Hélène","non-dropping-particle":"","parse-names":false,"suffix":""},{"dropping-particle":"","family":"Carapetis","given":"Jonathan R.","non-dropping-particle":"","parse-names":false,"suffix":""},{"dropping-particle":"","family":"Cárdenas","given":"Rosario","non-dropping-particle":"","parse-names":false,"suffix":""},{"dropping-particle":"","family":"Carpenter","given":"David O.","non-dropping-particle":"","parse-names":false,"suffix":""},{"dropping-particle":"","family":"Carrero","given":"Juan Jesus","non-dropping-particle":"","parse-names":false,"suffix":""},{"dropping-particle":"","family":"Carter","given":"Austin","non-dropping-particle":"","parse-names":false,"suffix":""},{"dropping-particle":"","family":"Carvalho","given":"Felix","non-dropping-particle":"","parse-names":false,"suffix":""},{"dropping-particle":"","family":"Casey","given":"Daniel C.","non-dropping-particle":"","parse-names":false,"suffix":""},{"dropping-particle":"","family":"Caso","given":"Valeria","non-dropping-particle":"","parse-names":false,"suffix":""},{"dropping-particle":"","family":"Castañeda-Orjuela","given":"Carlos A.","non-dropping-particle":"","parse-names":false,"suffix":""},{"dropping-particle":"","family":"Castle","given":"Chris D.","non-dropping-particle":"","parse-names":false,"suffix":""},{"dropping-particle":"","family":"Catalá-López","given":"Ferrán","non-dropping-particle":"","parse-names":false,"suffix":""},{"dropping-particle":"","family":"Chang","given":"Hsing Yi","non-dropping-particle":"","parse-names":false,"suffix":""},{"dropping-particle":"","family":"Chang","given":"Jung Chen","non-dropping-particle":"","parse-names":false,"suffix":""},{"dropping-particle":"","family":"Charlson","given":"Fiona J.","non-dropping-particle":"","parse-names":false,"suffix":""},{"dropping-particle":"","family":"Chen","given":"Honglei","non-dropping-particle":"","parse-names":false,"suffix":""},{"dropping-particle":"","family":"Chibalabala","given":"Mirriam","non-dropping-particle":"","parse-names":false,"suffix":""},{"dropping-particle":"","family":"Chibueze","given":"Chioma Ezinne","non-dropping-particle":"","parse-names":false,"suffix":""},{"dropping-particle":"","family":"Chisumpa","given":"Vesper Hichilombwe","non-dropping-particle":"","parse-names":false,"suffix":""},{"dropping-particle":"","family":"Chitheer","given":"Abdulaal A.","non-dropping-particle":"","parse-names":false,"suffix":""},{"dropping-particle":"","family":"Christopher","given":"Devasahayam Jesudas","non-dropping-particle":"","parse-names":false,"suffix":""},{"dropping-particle":"","family":"Ciobanu","given":"Liliana G.","non-dropping-particle":"","parse-names":false,"suffix":""},{"dropping-particle":"","family":"Cirillo","given":"Massimo","non-dropping-particle":"","parse-names":false,"suffix":""},{"dropping-particle":"","family":"Colombara","given":"Danny","non-dropping-particle":"","parse-names":false,"suffix":""},{"dropping-particle":"","family":"Cooper","given":"Cyrus","non-dropping-particle":"","parse-names":false,"suffix":""},{"dropping-particle":"","family":"Cortesi","given":"Paolo Angelo","non-dropping-particle":"","parse-names":false,"suffix":""},{"dropping-particle":"","family":"Criqui","given":"Michael H.","non-dropping-particle":"","parse-names":false,"suffix":""},{"dropping-particle":"","family":"Crump","given":"John A.","non-dropping-particle":"","parse-names":false,"suffix":""},{"dropping-particle":"","family":"Dadi","given":"Abel Fekadu","non-dropping-particle":"","parse-names":false,"suffix":""},{"dropping-particle":"","family":"Dalal","given":"Koustuv","non-dropping-particle":"","parse-names":false,"suffix":""},{"dropping-particle":"","family":"Dandona","given":"Lalit","non-dropping-particle":"","parse-names":false,"suffix":""},{"dropping-particle":"","family":"Dandona","given":"Rakhi","non-dropping-particle":"","parse-names":false,"suffix":""},{"dropping-particle":"","family":"Neves","given":"José","non-dropping-particle":"Das","parse-names":false,"suffix":""},{"dropping-particle":"V.","family":"Davitoiu","given":"Dragos","non-dropping-particle":"","parse-names":false,"suffix":""},{"dropping-particle":"","family":"Courten","given":"Barbora","non-dropping-particle":"De","parse-names":false,"suffix":""},{"dropping-particle":"","family":"Leo","given":"Diego","non-dropping-particle":"De","parse-names":false,"suffix":""},{"dropping-particle":"","family":"Degenhardt","given":"Louisa","non-dropping-particle":"","parse-names":false,"suffix":""},{"dropping-particle":"","family":"Deiparine","given":"Selina","non-dropping-particle":"","parse-names":false,"suffix":""},{"dropping-particle":"","family":"Dellavalle","given":"Robert P.","non-dropping-particle":"","parse-names":false,"suffix":""},{"dropping-particle":"","family":"Deribe","given":"Kebede","non-dropping-particle":"","parse-names":false,"suffix":""},{"dropping-particle":"","family":"Jarlais","given":"Don C.","non-dropping-particle":"Des","parse-names":false,"suffix":""},{"dropping-particle":"","family":"Dey","given":"Subhojit","non-dropping-particle":"","parse-names":false,"suffix":""},{"dropping-particle":"","family":"Dharmaratne","given":"Samath D.","non-dropping-particle":"","parse-names":false,"suffix":""},{"dropping-particle":"","family":"Dhillon","given":"Preet Kaur","non-dropping-particle":"","parse-names":false,"suffix":""},{"dropping-particle":"","family":"Dicker","given":"Daniel","non-dropping-particle":"","parse-names":false,"suffix":""},{"dropping-particle":"","family":"Ding","given":"Eric L.","non-dropping-particle":"","parse-names":false,"suffix":""},{"dropping-particle":"","family":"Djalalinia","given":"Shirin","non-dropping-particle":"","parse-names":false,"suffix":""},{"dropping-particle":"","family":"Do","given":"Huyen Phuc","non-dropping-particle":"","parse-names":false,"suffix":""},{"dropping-particle":"","family":"Dorsey","given":"E. Ray","non-dropping-particle":"","parse-names":false,"suffix":""},{"dropping-particle":"","family":"Santos","given":"Kadine Priscila Bender","non-dropping-particle":"Dos","parse-names":false,"suffix":""},{"dropping-particle":"","family":"Douwes-Schultz","given":"Dirk","non-dropping-particle":"","parse-names":false,"suffix":""},{"dropping-particle":"","family":"Doyle","given":"Kerrie E.","non-dropping-particle":"","parse-names":false,"suffix":""},{"dropping-particle":"","family":"Driscoll","given":"Tim R.","non-dropping-particle":"","parse-names":false,"suffix":""},{"dropping-particle":"","family":"Dubey","given":"Manisha","non-dropping-particle":"","parse-names":false,"suffix":""},{"dropping-particle":"","family":"Duncan","given":"Bruce Bartholow","non-dropping-particle":"","parse-names":false,"suffix":""},{"dropping-particle":"","family":"El-Khatib","given":"Ziad Ziad","non-dropping-particle":"","parse-names":false,"suffix":""},{"dropping-particle":"","family":"Ellerstrand","given":"Jerisha","non-dropping-particle":"","parse-names":false,"suffix":""},{"dropping-particle":"","family":"Enayati","given":"Ahmadali","non-dropping-particle":"","parse-names":false,"suffix":""},{"dropping-particle":"","family":"Endries","given":"Aman Yesuf","non-dropping-particle":"","parse-names":false,"suffix":""},{"dropping-particle":"","family":"Ermakov","given":"Sergey Petrovich","non-dropping-particle":"","parse-names":false,"suffix":""},{"dropping-particle":"","family":"Erskine","given":"Holly E.","non-dropping-particle":"","parse-names":false,"suffix":""},{"dropping-particle":"","family":"Eshrati","given":"Babak","non-dropping-particle":"","parse-names":false,"suffix":""},{"dropping-particle":"","family":"Eskandarieh","given":"Sharareh","non-dropping-particle":"","parse-names":false,"suffix":""},{"dropping-particle":"","family":"Esteghamati","given":"Alireza","non-dropping-particle":"","parse-names":false,"suffix":""},{"dropping-particle":"","family":"Estep","given":"Kara","non-dropping-particle":"","parse-names":false,"suffix":""},{"dropping-particle":"","family":"Fanuel","given":"Fanuel Belayneh Bekele","non-dropping-particle":"","parse-names":false,"suffix":""},{"dropping-particle":"","family":"Farinha","given":"Carla Sofia E.Sa","non-dropping-particle":"","parse-names":false,"suffix":""},{"dropping-particle":"","family":"Faro","given":"André","non-dropping-particle":"","parse-names":false,"suffix":""},{"dropping-particle":"","family":"Farzadfar","given":"Farshad","non-dropping-particle":"","parse-names":false,"suffix":""},{"dropping-particle":"","family":"Fazeli","given":"Mir Sohail","non-dropping-particle":"","parse-names":false,"suffix":""},{"dropping-particle":"","family":"Feigin","given":"Valery L.","non-dropping-particle":"","parse-names":false,"suffix":""},{"dropping-particle":"","family":"Fereshtehnejad","given":"Seyed Mohammad","non-dropping-particle":"","parse-names":false,"suffix":""},{"dropping-particle":"","family":"Fernandes","given":"João C.","non-dropping-particle":"","parse-names":false,"suffix":""},{"dropping-particle":"","family":"Ferrari","given":"Alize J.","non-dropping-particle":"","parse-names":false,"suffix":""},{"dropping-particle":"","family":"Feyissa","given":"Tesfaye Regassa","non-dropping-particle":"","parse-names":false,"suffix":""},{"dropping-particle":"","family":"Filip","given":"Irina","non-dropping-particle":"","parse-names":false,"suffix":""},{"dropping-particle":"","family":"Fischer","given":"Florian","non-dropping-particle":"","parse-names":false,"suffix":""},{"dropping-particle":"","family":"Fitzmaurice","given":"Christina","non-dropping-particle":"","parse-names":false,"suffix":""},{"dropping-particle":"","family":"Flaxman","given":"Abraham D.","non-dropping-particle":"","parse-names":false,"suffix":""},{"dropping-particle":"","family":"Flor","given":"Luisa Sorio","non-dropping-particle":"","parse-names":false,"suffix":""},{"dropping-particle":"","family":"Foigt","given":"Nataliya","non-dropping-particle":"","parse-names":false,"suffix":""},{"dropping-particle":"","family":"Foreman","given":"Kyle J.","non-dropping-particle":"","parse-names":false,"suffix":""},{"dropping-particle":"","family":"Franklin","given":"Richard C.","non-dropping-particle":"","parse-names":false,"suffix":""},{"dropping-particle":"","family":"Fullman","given":"Nancy","non-dropping-particle":"","parse-names":false,"suffix":""},{"dropping-particle":"","family":"Fürst","given":"Thomas","non-dropping-particle":"","parse-names":false,"suffix":""},{"dropping-particle":"","family":"Furtado","given":"Joao M.","non-dropping-particle":"","parse-names":false,"suffix":""},{"dropping-particle":"","family":"Futran","given":"Neal D.","non-dropping-particle":"","parse-names":false,"suffix":""},{"dropping-particle":"","family":"Gakidou","given":"Emmanuela","non-dropping-particle":"","parse-names":false,"suffix":""},{"dropping-particle":"","family":"Ganji","given":"Morsaleh","non-dropping-particle":"","parse-names":false,"suffix":""},{"dropping-particle":"","family":"Garcia-Basteiro","given":"Alberto L.","non-dropping-particle":"","parse-names":false,"suffix":""},{"dropping-particle":"","family":"Gebre","given":"Teshome","non-dropping-particle":"","parse-names":false,"suffix":""},{"dropping-particle":"","family":"Gebrehiwot","given":"Tsegaye Tewelde","non-dropping-particle":"","parse-names":false,"suffix":""},{"dropping-particle":"","family":"Geleto","given":"Ayele","non-dropping-particle":"","parse-names":false,"suffix":""},{"dropping-particle":"","family":"Gemechu","given":"Bikila Lencha","non-dropping-particle":"","parse-names":false,"suffix":""},{"dropping-particle":"","family":"Gesesew","given":"Hailay Abrha","non-dropping-particle":"","parse-names":false,"suffix":""},{"dropping-particle":"","family":"Gething","given":"Peter W.","non-dropping-particle":"","parse-names":false,"suffix":""},{"dropping-particle":"","family":"Ghajar","given":"Alireza","non-dropping-particle":"","parse-names":false,"suffix":""},{"dropping-particle":"","family":"Gibney","given":"Katherine B.","non-dropping-particle":"","parse-names":false,"suffix":""},{"dropping-particle":"","family":"Gill","given":"Paramjit Singh","non-dropping-particle":"","parse-names":false,"suffix":""},{"dropping-particle":"","family":"Gillum","given":"Richard F.","non-dropping-particle":"","parse-names":false,"suffix":""},{"dropping-particle":"","family":"Ginawi","given":"Ibrahim Abdelmageem Mohamed","non-dropping-particle":"","parse-names":false,"suffix":""},{"dropping-particle":"","family":"Giref","given":"Ababi Zergay","non-dropping-particle":"","parse-names":false,"suffix":""},{"dropping-particle":"","family":"Gishu","given":"Melkamu Dedefo","non-dropping-particle":"","parse-names":false,"suffix":""},{"dropping-particle":"","family":"Giussani","given":"Giorgia","non-dropping-particle":"","parse-names":false,"suffix":""},{"dropping-particle":"","family":"Godwin","given":"William W.","non-dropping-particle":"","parse-names":false,"suffix":""},{"dropping-particle":"","family":"Gold","given":"Audra L.","non-dropping-particle":"","parse-names":false,"suffix":""},{"dropping-particle":"","family":"Goldberg","given":"Ellen M.","non-dropping-particle":"","parse-names":false,"suffix":""},{"dropping-particle":"","family":"Gona","given":"Philimon N.","non-dropping-particle":"","parse-names":false,"suffix":""},{"dropping-particle":"","family":"Goodridge","given":"Amador","non-dropping-particle":"","parse-names":false,"suffix":""},{"dropping-particle":"","family":"Gopalani","given":"Sameer Vali","non-dropping-particle":"","parse-names":false,"suffix":""},{"dropping-particle":"","family":"Goto","given":"Atsushi","non-dropping-particle":"","parse-names":false,"suffix":""},{"dropping-particle":"","family":"Goulart","given":"Alessandra Carvalho","non-dropping-particle":"","parse-names":false,"suffix":""},{"dropping-particle":"","family":"Griswold","given":"Max","non-dropping-particle":"","parse-names":false,"suffix":""},{"dropping-particle":"","family":"Gugnani","given":"Harish Chander","non-dropping-particle":"","parse-names":false,"suffix":""},{"dropping-particle":"","family":"Gupta","given":"Rahul","non-dropping-particle":"","parse-names":false,"suffix":""},{"dropping-particle":"","family":"Gupta","given":"Rajeev","non-dropping-particle":"","parse-names":false,"suffix":""},{"dropping-particle":"","family":"Gupta","given":"Tanush","non-dropping-particle":"","parse-names":false,"suffix":""},{"dropping-particle":"","family":"Gupta","given":"Vipin","non-dropping-particle":"","parse-names":false,"suffix":""},{"dropping-particle":"","family":"Hafezi-Nejad","given":"Nima","non-dropping-particle":"","parse-names":false,"suffix":""},{"dropping-particle":"","family":"Hailu","given":"Alemayehu Desalegne","non-dropping-particle":"","parse-names":false,"suffix":""},{"dropping-particle":"","family":"Hailu","given":"Gessessew Bugssa","non-dropping-particle":"","parse-names":false,"suffix":""},{"dropping-particle":"","family":"Hamadeh","given":"Randah Ribhi","non-dropping-particle":"","parse-names":false,"suffix":""},{"dropping-particle":"","family":"Hamidi","given":"Samer","non-dropping-particle":"","parse-names":false,"suffix":""},{"dropping-particle":"","family":"Handal","given":"Alexis J.","non-dropping-particle":"","parse-names":false,"suffix":""},{"dropping-particle":"","family":"Hankey","given":"Graeme J.","non-dropping-particle":"","parse-names":false,"suffix":""},{"dropping-particle":"","family":"Hao","given":"Yuantao","non-dropping-particle":"","parse-names":false,"suffix":""},{"dropping-particle":"","family":"Harb","given":"Hilda L.","non-dropping-particle":"","parse-names":false,"suffix":""},{"dropping-particle":"","family":"Hareri","given":"Habtamu Abera","non-dropping-particle":"","parse-names":false,"suffix":""},{"dropping-particle":"","family":"Haro","given":"Josep Maria","non-dropping-particle":"","parse-names":false,"suffix":""},{"dropping-particle":"","family":"Harvey","given":"James","non-dropping-particle":"","parse-names":false,"suffix":""},{"dropping-particle":"","family":"Hassanvand","given":"Mohammad Sadegh","non-dropping-particle":"","parse-names":false,"suffix":""},{"dropping-particle":"","family":"Havmoeller","given":"Rasmus","non-dropping-particle":"","parse-names":false,"suffix":""},{"dropping-particle":"","family":"Hawley","given":"Caitlin","non-dropping-particle":"","parse-names":false,"suffix":""},{"dropping-particle":"","family":"Hay","given":"Roderick J.","non-dropping-particle":"","parse-names":false,"suffix":""},{"dropping-particle":"","family":"Hay","given":"Simon I.","non-dropping-particle":"","parse-names":false,"suffix":""},{"dropping-particle":"","family":"Henry","given":"Nathaniel J.","non-dropping-particle":"","parse-names":false,"suffix":""},{"dropping-particle":"","family":"Heredia-Pi","given":"Ileana Beatriz","non-dropping-particle":"","parse-names":false,"suffix":""},{"dropping-particle":"","family":"Heydarpour","given":"Pouria","non-dropping-particle":"","parse-names":false,"suffix":""},{"dropping-particle":"","family":"Hoek","given":"Hans W.","non-dropping-particle":"","parse-names":false,"suffix":""},{"dropping-particle":"","family":"Hoffman","given":"Howard J.","non-dropping-particle":"","parse-names":false,"suffix":""},{"dropping-particle":"","family":"Horita","given":"Nobuyuki","non-dropping-particle":"","parse-names":false,"suffix":""},{"dropping-particle":"","family":"Hosgood","given":"H. Dean","non-dropping-particle":"","parse-names":false,"suffix":""},{"dropping-particle":"","family":"Hostiuc","given":"Sorin","non-dropping-particle":"","parse-names":false,"suffix":""},{"dropping-particle":"","family":"Hotez","given":"Peter J.","non-dropping-particle":"","parse-names":false,"suffix":""},{"dropping-particle":"","family":"Hoy","given":"Damian G.","non-dropping-particle":"","parse-names":false,"suffix":""},{"dropping-particle":"","family":"Htet","given":"Aung Soe","non-dropping-particle":"","parse-names":false,"suffix":""},{"dropping-particle":"","family":"Hu","given":"Guoqing","non-dropping-particle":"","parse-names":false,"suffix":""},{"dropping-particle":"","family":"Huang","given":"Hsiang","non-dropping-particle":"","parse-names":false,"suffix":""},{"dropping-particle":"","family":"Huynh","given":"Chantal","non-dropping-particle":"","parse-names":false,"suffix":""},{"dropping-particle":"","family":"Iburg","given":"Kim Moesgaard","non-dropping-particle":"","parse-names":false,"suffix":""},{"dropping-particle":"","family":"Igumbor","given":"Ehimario Uche","non-dropping-particle":"","parse-names":false,"suffix":""},{"dropping-particle":"","family":"Ikeda","given":"Chad","non-dropping-particle":"","parse-names":false,"suffix":""},{"dropping-particle":"","family":"Irvine","given":"Caleb Mackay Salpeter","non-dropping-particle":"","parse-names":false,"suffix":""},{"dropping-particle":"","family":"Jacobsen","given":"Kathryn H.","non-dropping-particle":"","parse-names":false,"suffix":""},{"dropping-particle":"","family":"Jahanmehr","given":"Nader","non-dropping-particle":"","parse-names":false,"suffix":""},{"dropping-particle":"","family":"Jakovljevic","given":"Mihajlo B.","non-dropping-particle":"","parse-names":false,"suffix":""},{"dropping-particle":"","family":"Jassal","given":"Simerjot K.","non-dropping-particle":"","parse-names":false,"suffix":""},{"dropping-particle":"","family":"Javanbakht","given":"Mehdi","non-dropping-particle":"","parse-names":false,"suffix":""},{"dropping-particle":"","family":"Jayaraman","given":"Sudha P.","non-dropping-particle":"","parse-names":false,"suffix":""},{"dropping-particle":"","family":"Jeemon","given":"Panniyammakal","non-dropping-particle":"","parse-names":false,"suffix":""},{"dropping-particle":"","family":"Jensen","given":"Paul N.","non-dropping-particle":"","parse-names":false,"suffix":""},{"dropping-particle":"","family":"Jha","given":"Vivekanand","non-dropping-particle":"","parse-names":false,"suffix":""},{"dropping-particle":"","family":"Jiang","given":"Guohong","non-dropping-particle":"","parse-names":false,"suffix":""},{"dropping-particle":"","family":"John","given":"Denny","non-dropping-particle":"","parse-names":false,"suffix":""},{"dropping-particle":"","family":"Johnson","given":"Catherine O.","non-dropping-particle":"","parse-names":false,"suffix":""},{"dropping-particle":"","family":"Johnson","given":"Sarah Charlotte","non-dropping-particle":"","parse-names":false,"suffix":""},{"dropping-particle":"","family":"Jonas","given":"Jost B.","non-dropping-particle":"","parse-names":false,"suffix":""},{"dropping-particle":"","family":"Jürisson","given":"Mikk","non-dropping-particle":"","parse-names":false,"suffix":""},{"dropping-particle":"","family":"Kabir","given":"Zubair","non-dropping-particle":"","parse-names":false,"suffix":""},{"dropping-particle":"","family":"Kadel","given":"Rajendra","non-dropping-particle":"","parse-names":false,"suffix":""},{"dropping-particle":"","family":"Kahsay","given":"Amaha","non-dropping-particle":"","parse-names":false,"suffix":""},{"dropping-particle":"","family":"Kamal","given":"Ritul","non-dropping-particle":"","parse-names":false,"suffix":""},{"dropping-particle":"","family":"Kan","given":"Haidong","non-dropping-particle":"","parse-names":false,"suffix":""},{"dropping-particle":"","family":"Karam","given":"Nadim E.","non-dropping-particle":"","parse-names":false,"suffix":""},{"dropping-particle":"","family":"Karch","given":"André","non-dropping-particle":"","parse-names":false,"suffix":""},{"dropping-particle":"","family":"Karema","given":"Corine Kakizi","non-dropping-particle":"","parse-names":false,"suffix":""},{"dropping-particle":"","family":"Kasaeian","given":"Amir","non-dropping-particle":"","parse-names":false,"suffix":""},{"dropping-particle":"","family":"Kassa","given":"Getachew Mullu","non-dropping-particle":"","parse-names":false,"suffix":""},{"dropping-particle":"","family":"Kassaw","given":"Nigussie Assefa","non-dropping-particle":"","parse-names":false,"suffix":""},{"dropping-particle":"","family":"Kassebaum","given":"Nicholas J.","non-dropping-particle":"","parse-names":false,"suffix":""},{"dropping-particle":"","family":"Kastor","given":"Anshul","non-dropping-particle":"","parse-names":false,"suffix":""},{"dropping-particle":"","family":"Katikireddi","given":"Srinivasa Vittal","non-dropping-particle":"","parse-names":false,"suffix":""},{"dropping-particle":"","family":"Kaul","given":"Anil","non-dropping-particle":"","parse-names":false,"suffix":""},{"dropping-particle":"","family":"Kawakami","given":"Norito","non-dropping-particle":"","parse-names":false,"suffix":""},{"dropping-particle":"","family":"Keiyoro","given":"Peter Njenga","non-dropping-particle":"","parse-names":false,"suffix":""},{"dropping-particle":"","family":"Kengne","given":"Andre Pascal","non-dropping-particle":"","parse-names":false,"suffix":""},{"dropping-particle":"","family":"Keren","given":"Andre","non-dropping-particle":"","parse-names":false,"suffix":""},{"dropping-particle":"","family":"Khader","given":"Yousef Saleh","non-dropping-particle":"","parse-names":false,"suffix":""},{"dropping-particle":"","family":"Khalil","given":"Ibrahim A.","non-dropping-particle":"","parse-names":false,"suffix":""},{"dropping-particle":"","family":"Khan","given":"Ejaz Ahmad","non-dropping-particle":"","parse-names":false,"suffix":""},{"dropping-particle":"","family":"Khang","given":"Young Ho","non-dropping-particle":"","parse-names":false,"suffix":""},{"dropping-particle":"","family":"Khosravi","given":"Ardeshir","non-dropping-particle":"","parse-names":false,"suffix":""},{"dropping-particle":"","family":"Khubchandani","given":"Jagdish","non-dropping-particle":"","parse-names":false,"suffix":""},{"dropping-particle":"","family":"Kieling","given":"Christian","non-dropping-particle":"","parse-names":false,"suffix":""},{"dropping-particle":"","family":"Kim","given":"Daniel","non-dropping-particle":"","parse-names":false,"suffix":""},{"dropping-particle":"","family":"Kim","given":"Pauline","non-dropping-particle":"","parse-names":false,"suffix":""},{"dropping-particle":"","family":"Kim","given":"Yun Jin","non-dropping-particle":"","parse-names":false,"suffix":""},{"dropping-particle":"","family":"Kimokoti","given":"Ruth W.","non-dropping-particle":"","parse-names":false,"suffix":""},{"dropping-particle":"","family":"Kinfu","given":"Yohannes","non-dropping-particle":"","parse-names":false,"suffix":""},{"dropping-particle":"","family":"Kisa","given":"Adnan","non-dropping-particle":"","parse-names":false,"suffix":""},{"dropping-particle":"","family":"Kissimova-Skarbek","given":"Katarzyna A.","non-dropping-particle":"","parse-names":false,"suffix":""},{"dropping-particle":"","family":"Kivimaki","given":"Mika","non-dropping-particle":"","parse-names":false,"suffix":""},{"dropping-particle":"","family":"Knudsen","given":"Ann Kristin","non-dropping-particle":"","parse-names":false,"suffix":""},{"dropping-particle":"","family":"Kokubo","given":"Yoshihiro","non-dropping-particle":"","parse-names":false,"suffix":""},{"dropping-particle":"","family":"Kolte","given":"Dhaval","non-dropping-particle":"","parse-names":false,"suffix":""},{"dropping-particle":"","family":"Kopec","given":"Jacek A.","non-dropping-particle":"","parse-names":false,"suffix":""},{"dropping-particle":"","family":"Kosen","given":"Soewarta","non-dropping-particle":"","parse-names":false,"suffix":""},{"dropping-particle":"","family":"Koul","given":"Parvaiz A.","non-dropping-particle":"","parse-names":false,"suffix":""},{"dropping-particle":"","family":"Koyanagi","given":"Ai","non-dropping-particle":"","parse-names":false,"suffix":""},{"dropping-particle":"","family":"Kravchenko","given":"Michael","non-dropping-particle":"","parse-names":false,"suffix":""},{"dropping-particle":"","family":"Krishnaswami","given":"Sanjay","non-dropping-particle":"","parse-names":false,"suffix":""},{"dropping-particle":"","family":"Krohn","given":"Kristopher J.","non-dropping-particle":"","parse-names":false,"suffix":""},{"dropping-particle":"","family":"Kuate Defo","given":"Barthelemy","non-dropping-particle":"","parse-names":false,"suffix":""},{"dropping-particle":"","family":"Kucuk Bicer","given":"Burcu","non-dropping-particle":"","parse-names":false,"suffix":""},{"dropping-particle":"","family":"Kumar","given":"G. Anil","non-dropping-particle":"","parse-names":false,"suffix":""},{"dropping-particle":"","family":"Kumar","given":"Pushpendra","non-dropping-particle":"","parse-names":false,"suffix":""},{"dropping-particle":"","family":"Kumar","given":"Sanjiv","non-dropping-particle":"","parse-names":false,"suffix":""},{"dropping-particle":"","family":"Kyu","given":"Hmwe H.","non-dropping-particle":"","parse-names":false,"suffix":""},{"dropping-particle":"","family":"Lal","given":"Dharmesh Kumar","non-dropping-particle":"","parse-names":false,"suffix":""},{"dropping-particle":"","family":"Lalloo","given":"Ratilal","non-dropping-particle":"","parse-names":false,"suffix":""},{"dropping-particle":"","family":"Lambert","given":"Nkurunziza","non-dropping-particle":"","parse-names":false,"suffix":""},{"dropping-particle":"","family":"Lan","given":"Qing","non-dropping-particle":"","parse-names":false,"suffix":""},{"dropping-particle":"","family":"Larsson","given":"Anders","non-dropping-particle":"","parse-names":false,"suffix":""},{"dropping-particle":"","family":"Lavados","given":"Pablo M.","non-dropping-particle":"","parse-names":false,"suffix":""},{"dropping-particle":"","family":"Leasher","given":"Janet L.","non-dropping-particle":"","parse-names":false,"suffix":""},{"dropping-particle":"","family":"Lee","given":"Jong Tae","non-dropping-particle":"","parse-names":false,"suffix":""},{"dropping-particle":"","family":"Lee","given":"Paul H.","non-dropping-particle":"","parse-names":false,"suffix":""},{"dropping-particle":"","family":"Leigh","given":"James","non-dropping-particle":"","parse-names":false,"suffix":""},{"dropping-particle":"","family":"Leshargie","given":"Cheru Tesema","non-dropping-particle":"","parse-names":false,"suffix":""},{"dropping-particle":"","family":"Leung","given":"Janni","non-dropping-particle":"","parse-names":false,"suffix":""},{"dropping-particle":"","family":"Leung","given":"Ricky","non-dropping-particle":"","parse-names":false,"suffix":""},{"dropping-particle":"","family":"Levi","given":"Miriam","non-dropping-particle":"","parse-names":false,"suffix":""},{"dropping-particle":"","family":"Li","given":"Yichong","non-dropping-particle":"","parse-names":false,"suffix":""},{"dropping-particle":"","family":"Li","given":"Yongmei","non-dropping-particle":"","parse-names":false,"suffix":""},{"dropping-particle":"","family":"Li Kappe","given":"Darya","non-dropping-particle":"","parse-names":false,"suffix":""},{"dropping-particle":"","family":"Liang","given":"Xiaofeng","non-dropping-particle":"","parse-names":false,"suffix":""},{"dropping-particle":"","family":"Liben","given":"Misgan Legesse","non-dropping-particle":"","parse-names":false,"suffix":""},{"dropping-particle":"","family":"Lim","given":"Stephen S.","non-dropping-particle":"","parse-names":false,"suffix":""},{"dropping-particle":"","family":"Linn","given":"Shai","non-dropping-particle":"","parse-names":false,"suffix":""},{"dropping-particle":"","family":"Liu","given":"Angela","non-dropping-particle":"","parse-names":false,"suffix":""},{"dropping-particle":"","family":"Liu","given":"Patrick Y.","non-dropping-particle":"","parse-names":false,"suffix":""},{"dropping-particle":"","family":"Liu","given":"Shiwei","non-dropping-particle":"","parse-names":false,"suffix":""},{"dropping-particle":"","family":"Liu","given":"Yang","non-dropping-particle":"","parse-names":false,"suffix":""},{"dropping-particle":"","family":"Lodha","given":"Rakesh","non-dropping-particle":"","parse-names":false,"suffix":""},{"dropping-particle":"","family":"Logroscino","given":"Giancarlo","non-dropping-particle":"","parse-names":false,"suffix":""},{"dropping-particle":"","family":"London","given":"Stephanie J.","non-dropping-particle":"","parse-names":false,"suffix":""},{"dropping-particle":"","family":"Looker","given":"Katharine J.","non-dropping-particle":"","parse-names":false,"suffix":""},{"dropping-particle":"","family":"Lopez","given":"Alan D.","non-dropping-particle":"","parse-names":false,"suffix":""},{"dropping-particle":"","family":"Lorkowski","given":"Stefan","non-dropping-particle":"","parse-names":false,"suffix":""},{"dropping-particle":"","family":"Lotufo","given":"Paulo A.","non-dropping-particle":"","parse-names":false,"suffix":""},{"dropping-particle":"","family":"Low","given":"Nicola","non-dropping-particle":"","parse-names":false,"suffix":""},{"dropping-particle":"","family":"Lozano","given":"Rafael","non-dropping-particle":"","parse-names":false,"suffix":""},{"dropping-particle":"","family":"Lucas","given":"Timothy C.D.","non-dropping-particle":"","parse-names":false,"suffix":""},{"dropping-particle":"","family":"Macarayan","given":"Erlyn Rachelle King","non-dropping-particle":"","parse-names":false,"suffix":""},{"dropping-particle":"","family":"Magdy Abd El Razek","given":"Hassan","non-dropping-particle":"","parse-names":false,"suffix":""},{"dropping-particle":"","family":"Magdy Abd El Razek","given":"Mohammed","non-dropping-particle":"","parse-names":false,"suffix":""},{"dropping-particle":"","family":"Mahdavi","given":"Mahdi","non-dropping-particle":"","parse-names":false,"suffix":""},{"dropping-particle":"","family":"Majdan","given":"Marek","non-dropping-particle":"","parse-names":false,"suffix":""},{"dropping-particle":"","family":"Majdzadeh","given":"Reza","non-dropping-particle":"","parse-names":false,"suffix":""},{"dropping-particle":"","family":"Majeed","given":"Azeem","non-dropping-particle":"","parse-names":false,"suffix":""},{"dropping-particle":"","family":"Malekzadeh","given":"Reza","non-dropping-particle":"","parse-names":false,"suffix":""},{"dropping-particle":"","family":"Malhotra","given":"Rajesh","non-dropping-particle":"","parse-names":false,"suffix":""},{"dropping-particle":"","family":"Malta","given":"Deborah Carvalho","non-dropping-particle":"","parse-names":false,"suffix":""},{"dropping-particle":"","family":"Mamun","given":"Abdullah A.","non-dropping-particle":"","parse-names":false,"suffix":""},{"dropping-particle":"","family":"Manguerra","given":"Helena","non-dropping-particle":"","parse-names":false,"suffix":""},{"dropping-particle":"","family":"Manhertz","given":"Treh","non-dropping-particle":"","parse-names":false,"suffix":""},{"dropping-particle":"","family":"Mantilla","given":"Ana","non-dropping-particle":"","parse-names":false,"suffix":""},{"dropping-particle":"","family":"Mantovani","given":"Lorenzo G.","non-dropping-particle":"","parse-names":false,"suffix":""},{"dropping-particle":"","family":"Mapoma","given":"Chabila C.","non-dropping-particle":"","parse-names":false,"suffix":""},{"dropping-particle":"","family":"Marczak","given":"Laurie B.","non-dropping-particle":"","parse-names":false,"suffix":""},{"dropping-particle":"","family":"Martinez-Raga","given":"Jose","non-dropping-particle":"","parse-names":false,"suffix":""},{"dropping-particle":"","family":"Martins-Melo","given":"Francisco Rogerlândio","non-dropping-particle":"","parse-names":false,"suffix":""},{"dropping-particle":"","family":"Martopullo","given":"Ira","non-dropping-particle":"","parse-names":false,"suffix":""},{"dropping-particle":"","family":"März","given":"Winfried","non-dropping-particle":"","parse-names":false,"suffix":""},{"dropping-particle":"","family":"Mathur","given":"Manu Raj","non-dropping-particle":"","parse-names":false,"suffix":""},{"dropping-particle":"","family":"Mazidi","given":"Mohsen","non-dropping-particle":"","parse-names":false,"suffix":""},{"dropping-particle":"","family":"McAlinden","given":"Colm","non-dropping-particle":"","parse-names":false,"suffix":""},{"dropping-particle":"","family":"McGaughey","given":"Madeline","non-dropping-particle":"","parse-names":false,"suffix":""},{"dropping-particle":"","family":"McGrath","given":"John J.","non-dropping-particle":"","parse-names":false,"suffix":""},{"dropping-particle":"","family":"McKee","given":"Martin","non-dropping-particle":"","parse-names":false,"suffix":""},{"dropping-particle":"","family":"McNellan","given":"Claire","non-dropping-particle":"","parse-names":false,"suffix":""},{"dropping-particle":"","family":"Mehata","given":"Suresh","non-dropping-particle":"","parse-names":false,"suffix":""},{"dropping-particle":"","family":"Mehndiratta","given":"Man Mohan","non-dropping-particle":"","parse-names":false,"suffix":""},{"dropping-particle":"","family":"Mekonnen","given":"Tefera Chane","non-dropping-particle":"","parse-names":false,"suffix":""},{"dropping-particle":"","family":"Memiah","given":"Peter","non-dropping-particle":"","parse-names":false,"suffix":""},{"dropping-particle":"","family":"Memish","given":"Ziad A.","non-dropping-particle":"","parse-names":false,"suffix":""},{"dropping-particle":"","family":"Mendoza","given":"Walter","non-dropping-particle":"","parse-names":false,"suffix":""},{"dropping-particle":"","family":"Mengistie","given":"Mubarek Abera","non-dropping-particle":"","parse-names":false,"suffix":""},{"dropping-particle":"","family":"Mengistu","given":"Desalegn Tadese","non-dropping-particle":"","parse-names":false,"suffix":""},{"dropping-particle":"","family":"Mensah","given":"George A.","non-dropping-particle":"","parse-names":false,"suffix":""},{"dropping-particle":"","family":"Meretoja","given":"Atte","non-dropping-particle":"","parse-names":false,"suffix":""},{"dropping-particle":"","family":"Meretoja","given":"Tuomo J.","non-dropping-particle":"","parse-names":false,"suffix":""},{"dropping-particle":"","family":"Mezgebe","given":"Haftay Berhane","non-dropping-particle":"","parse-names":false,"suffix":""},{"dropping-particle":"","family":"Micha","given":"Renata","non-dropping-particle":"","parse-names":false,"suffix":""},{"dropping-particle":"","family":"Millear","given":"Anoushka","non-dropping-particle":"","parse-names":false,"suffix":""},{"dropping-particle":"","family":"Miller","given":"Ted R.","non-dropping-particle":"","parse-names":false,"suffix":""},{"dropping-particle":"","family":"Mills","given":"Edward J.","non-dropping-particle":"","parse-names":false,"suffix":""},{"dropping-particle":"","family":"Mirarefin","given":"Mojde","non-dropping-particle":"","parse-names":false,"suffix":""},{"dropping-particle":"","family":"Mirrakhimov","given":"Erkin M.","non-dropping-particle":"","parse-names":false,"suffix":""},{"dropping-particle":"","family":"Misganaw","given":"Awoke","non-dropping-particle":"","parse-names":false,"suffix":""},{"dropping-particle":"","family":"Mishra","given":"Shiva Raj","non-dropping-particle":"","parse-names":false,"suffix":""},{"dropping-particle":"","family":"Mitchell","given":"Philip B.","non-dropping-particle":"","parse-names":false,"suffix":""},{"dropping-particle":"","family":"Mohammad","given":"Karzan Abdulmuhsin","non-dropping-particle":"","parse-names":false,"suffix":""},{"dropping-particle":"","family":"Mohammadi","given":"Alireza","non-dropping-particle":"","parse-names":false,"suffix":""},{"dropping-particle":"","family":"Mohammed","given":"Kedir Endris","non-dropping-particle":"","parse-names":false,"suffix":""},{"dropping-particle":"","family":"Mohammed","given":"Shafiu","non-dropping-particle":"","parse-names":false,"suffix":""},{"dropping-particle":"","family":"Mohanty","given":"Sanjay K.","non-dropping-particle":"","parse-names":false,"suffix":""},{"dropping-particle":"","family":"Mokdad","given":"Ali H.","non-dropping-particle":"","parse-names":false,"suffix":""},{"dropping-particle":"","family":"Mollenkopf","given":"Sarah K.","non-dropping-particle":"","parse-names":false,"suffix":""},{"dropping-particle":"","family":"Monasta","given":"Lorenzo","non-dropping-particle":"","parse-names":false,"suffix":""},{"dropping-particle":"","family":"Hernandez","given":"Julio Montañez","non-dropping-particle":"","parse-names":false,"suffix":""},{"dropping-particle":"","family":"Montico","given":"Marcella","non-dropping-particle":"","parse-names":false,"suffix":""},{"dropping-particle":"","family":"Moradi-Lakeh","given":"Maziar","non-dropping-particle":"","parse-names":false,"suffix":""},{"dropping-particle":"","family":"Moraga","given":"Paula","non-dropping-particle":"","parse-names":false,"suffix":""},{"dropping-particle":"","family":"Mori","given":"Rintaro","non-dropping-particle":"","parse-names":false,"suffix":""},{"dropping-particle":"","family":"Morozoff","given":"Chloe","non-dropping-particle":"","parse-names":false,"suffix":""},{"dropping-particle":"","family":"Morrison","given":"Shane D.","non-dropping-particle":"","parse-names":false,"suffix":""},{"dropping-particle":"","family":"Moses","given":"Mark","non-dropping-particle":"","parse-names":false,"suffix":""},{"dropping-particle":"","family":"Mountjoy-Venning","given":"Cliff","non-dropping-particle":"","parse-names":false,"suffix":""},{"dropping-particle":"","family":"Mruts","given":"Kalayu Birhane","non-dropping-particle":"","parse-names":false,"suffix":""},{"dropping-particle":"","family":"Mueller","given":"Ulrich O.","non-dropping-particle":"","parse-names":false,"suffix":""},{"dropping-particle":"","family":"Muller","given":"Kate","non-dropping-particle":"","parse-names":false,"suffix":""},{"dropping-particle":"","family":"Murdoch","given":"Michele E.","non-dropping-particle":"","parse-names":false,"suffix":""},{"dropping-particle":"","family":"Murthy","given":"Gudlavalleti Venkata Satyanarayana","non-dropping-particle":"","parse-names":false,"suffix":""},{"dropping-particle":"","family":"Musa","given":"Kamarul Imran","non-dropping-particle":"","parse-names":false,"suffix":""},{"dropping-particle":"","family":"Nachega","given":"Jean B.","non-dropping-particle":"","parse-names":false,"suffix":""},{"dropping-particle":"","family":"Nagel","given":"Gabriele","non-dropping-particle":"","parse-names":false,"suffix":""},{"dropping-particle":"","family":"Naghavi","given":"Mohsen","non-dropping-particle":"","parse-names":false,"suffix":""},{"dropping-particle":"","family":"Naheed","given":"Aliya","non-dropping-particle":"","parse-names":false,"suffix":""},{"dropping-particle":"","family":"Naidoo","given":"Kovin S.","non-dropping-particle":"","parse-names":false,"suffix":""},{"dropping-particle":"","family":"Naldi","given":"Luigi","non-dropping-particle":"","parse-names":false,"suffix":""},{"dropping-particle":"","family":"Nangia","given":"Vinay","non-dropping-particle":"","parse-names":false,"suffix":""},{"dropping-particle":"","family":"Natarajan","given":"Gopalakrishnan","non-dropping-particle":"","parse-names":false,"suffix":""},{"dropping-particle":"","family":"Negasa","given":"Dumessa Edessa","non-dropping-particle":"","parse-names":false,"suffix":""},{"dropping-particle":"","family":"Negoi","given":"Ionut","non-dropping-particle":"","parse-names":false,"suffix":""},{"dropping-particle":"","family":"Negoi","given":"Ruxandra Irina","non-dropping-particle":"","parse-names":false,"suffix":""},{"dropping-particle":"","family":"Newton","given":"Charles R.","non-dropping-particle":"","parse-names":false,"suffix":""},{"dropping-particle":"","family":"Ngunjiri","given":"Josephine Wanjiku","non-dropping-particle":"","parse-names":false,"suffix":""},{"dropping-particle":"","family":"Nguyen","given":"Cuong Tat","non-dropping-particle":"","parse-names":false,"suffix":""},{"dropping-particle":"","family":"Nguyen","given":"Grant","non-dropping-particle":"","parse-names":false,"suffix":""},{"dropping-particle":"","family":"Nguyen","given":"Minh","non-dropping-particle":"","parse-names":false,"suffix":""},{"dropping-particle":"Le","family":"Nguyen","given":"Quyen","non-dropping-particle":"","parse-names":false,"suffix":""},{"dropping-particle":"","family":"Nguyen","given":"Trang Huyen","non-dropping-particle":"","parse-names":false,"suffix":""},{"dropping-particle":"","family":"Nichols","given":"Emma","non-dropping-particle":"","parse-names":false,"suffix":""},{"dropping-particle":"","family":"Ningrum","given":"Dina Nur Anggraini","non-dropping-particle":"","parse-names":false,"suffix":""},{"dropping-particle":"","family":"Nolte","given":"Sandra","non-dropping-particle":"","parse-names":false,"suffix":""},{"dropping-particle":"","family":"Nong","given":"Vuong Minh","non-dropping-particle":"","parse-names":false,"suffix":""},{"dropping-particle":"","family":"Norrving","given":"Bo","non-dropping-particle":"","parse-names":false,"suffix":""},{"dropping-particle":"","family":"Noubiap","given":"Jean Jacques N.","non-dropping-particle":"","parse-names":false,"suffix":""},{"dropping-particle":"","family":"O'Donnell","given":"Martin J.","non-dropping-particle":"","parse-names":false,"suffix":""},{"dropping-particle":"","family":"Ogbo","given":"Felix Akpojene","non-dropping-particle":"","parse-names":false,"suffix":""},{"dropping-particle":"","family":"Oh","given":"In Hwan","non-dropping-particle":"","parse-names":false,"suffix":""},{"dropping-particle":"","family":"Okoro","given":"Anselm","non-dropping-particle":"","parse-names":false,"suffix":""},{"dropping-particle":"","family":"Oladimeji","given":"Olanrewaju","non-dropping-particle":"","parse-names":false,"suffix":""},{"dropping-particle":"","family":"Olagunju","given":"Andrew Toyin","non-dropping-particle":"","parse-names":false,"suffix":""},{"dropping-particle":"","family":"Olagunju","given":"Tinuke Oluwasefunmi","non-dropping-particle":"","parse-names":false,"suffix":""},{"dropping-particle":"","family":"Olsen","given":"Helen E.","non-dropping-particle":"","parse-names":false,"suffix":""},{"dropping-particle":"","family":"Olusanya","given":"Bolajoko Olubukunola","non-dropping-particle":"","parse-names":false,"suffix":""},{"dropping-particle":"","family":"Olusanya","given":"Jacob Olusegun","non-dropping-particle":"","parse-names":false,"suffix":""},{"dropping-particle":"","family":"Ong","given":"Kanyin","non-dropping-particle":"","parse-names":false,"suffix":""},{"dropping-particle":"","family":"Opio","given":"John Nelson","non-dropping-particle":"","parse-names":false,"suffix":""},{"dropping-particle":"","family":"Oren","given":"Eyal","non-dropping-particle":"","parse-names":false,"suffix":""},{"dropping-particle":"","family":"Ortiz","given":"Alberto","non-dropping-particle":"","parse-names":false,"suffix":""},{"dropping-particle":"","family":"Osgood-Zimmerman","given":"Aaron","non-dropping-particle":"","parse-names":false,"suffix":""},{"dropping-particle":"","family":"Osman","given":"Majdi","non-dropping-particle":"","parse-names":false,"suffix":""},{"dropping-particle":"","family":"Owolabi","given":"Mayowa O.","non-dropping-particle":"","parse-names":false,"suffix":""},{"dropping-particle":"","family":"Pa","given":"Mahesh","non-dropping-particle":"","parse-names":false,"suffix":""},{"dropping-particle":"","family":"Pacella","given":"Rosana E.","non-dropping-particle":"","parse-names":false,"suffix":""},{"dropping-particle":"","family":"Pana","given":"Adrian","non-dropping-particle":"","parse-names":false,"suffix":""},{"dropping-particle":"","family":"Panda","given":"Basant Kumar","non-dropping-particle":"","parse-names":false,"suffix":""},{"dropping-particle":"","family":"Papachristou","given":"Christina","non-dropping-particle":"","parse-names":false,"suffix":""},{"dropping-particle":"","family":"Park","given":"Eun Kee","non-dropping-particle":"","parse-names":false,"suffix":""},{"dropping-particle":"","family":"Parry","given":"Charles D.","non-dropping-particle":"","parse-names":false,"suffix":""},{"dropping-particle":"","family":"Parsaeian","given":"Mahboubeh","non-dropping-particle":"","parse-names":false,"suffix":""},{"dropping-particle":"","family":"Patten","given":"Scott B.","non-dropping-particle":"","parse-names":false,"suffix":""},{"dropping-particle":"","family":"Patton","given":"George C.","non-dropping-particle":"","parse-names":false,"suffix":""},{"dropping-particle":"","family":"Paulson","given":"Katherine","non-dropping-particle":"","parse-names":false,"suffix":""},{"dropping-particle":"","family":"Pearce","given":"Neil","non-dropping-particle":"","parse-names":false,"suffix":""},{"dropping-particle":"","family":"Pereira","given":"David M.","non-dropping-particle":"","parse-names":false,"suffix":""},{"dropping-particle":"","family":"Perico","given":"Norberto","non-dropping-particle":"","parse-names":false,"suffix":""},{"dropping-particle":"","family":"Pesudovs","given":"Konrad","non-dropping-particle":"","parse-names":false,"suffix":""},{"dropping-particle":"","family":"Peterson","given":"Carrie Beth","non-dropping-particle":"","parse-names":false,"suffix":""},{"dropping-particle":"","family":"Petzold","given":"Max","non-dropping-particle":"","parse-names":false,"suffix":""},{"dropping-particle":"","family":"Phillips","given":"Michael Robert","non-dropping-particle":"","parse-names":false,"suffix":""},{"dropping-particle":"","family":"Pigott","given":"David M.","non-dropping-particle":"","parse-names":false,"suffix":""},{"dropping-particle":"","family":"Pillay","given":"Julian David","non-dropping-particle":"","parse-names":false,"suffix":""},{"dropping-particle":"","family":"Pinho","given":"Christine","non-dropping-particle":"","parse-names":false,"suffix":""},{"dropping-particle":"","family":"Plass","given":"Dietrich","non-dropping-particle":"","parse-names":false,"suffix":""},{"dropping-particle":"","family":"Pletcher","given":"Martin A.","non-dropping-particle":"","parse-names":false,"suffix":""},{"dropping-particle":"","family":"Popova","given":"Svetlana","non-dropping-particle":"","parse-names":false,"suffix":""},{"dropping-particle":"","family":"Poulton","given":"Richie G.","non-dropping-particle":"","parse-names":false,"suffix":""},{"dropping-particle":"","family":"Pourmalek","given":"Farshad","non-dropping-particle":"","parse-names":false,"suffix":""},{"dropping-particle":"","family":"Prabhakaran","given":"Dorairaj","non-dropping-particle":"","parse-names":false,"suffix":""},{"dropping-particle":"","family":"Prasad","given":"Narayan","non-dropping-particle":"","parse-names":false,"suffix":""},{"dropping-particle":"","family":"Prasad","given":"Noela M.","non-dropping-particle":"","parse-names":false,"suffix":""},{"dropping-particle":"","family":"Purcell","given":"Carrie","non-dropping-particle":"","parse-names":false,"suffix":""},{"dropping-particle":"","family":"Qorbani","given":"Mostafa","non-dropping-particle":"","parse-names":false,"suffix":""},{"dropping-particle":"","family":"Quansah","given":"Reginald","non-dropping-particle":"","parse-names":false,"suffix":""},{"dropping-particle":"","family":"Rabiee","given":"Rynaz H.S.","non-dropping-particle":"","parse-names":false,"suffix":""},{"dropping-particle":"","family":"Radfar","given":"Amir","non-dropping-particle":"","parse-names":false,"suffix":""},{"dropping-particle":"","family":"Rafay","given":"Anwar","non-dropping-particle":"","parse-names":false,"suffix":""},{"dropping-particle":"","family":"Rahimi","given":"Kazem","non-dropping-particle":"","parse-names":false,"suffix":""},{"dropping-particle":"","family":"Rahimi-Movaghar","given":"Afarin","non-dropping-particle":"","parse-names":false,"suffix":""},{"dropping-particle":"","family":"Rahimi-Movaghar","given":"Vafa","non-dropping-particle":"","parse-names":false,"suffix":""},{"dropping-particle":"","family":"Rahman","given":"Mahfuzar","non-dropping-particle":"","parse-names":false,"suffix":""},{"dropping-particle":"","family":"Rahman","given":"Mohammad Hifz Ur","non-dropping-particle":"","parse-names":false,"suffix":""},{"dropping-particle":"","family":"Rai","given":"Rajesh Kumar","non-dropping-particle":"","parse-names":false,"suffix":""},{"dropping-particle":"","family":"Rajsic","given":"Sasa","non-dropping-particle":"","parse-names":false,"suffix":""},{"dropping-particle":"","family":"Ram","given":"Usha","non-dropping-particle":"","parse-names":false,"suffix":""},{"dropping-particle":"","family":"Ranabhat","given":"Chhabi Lal","non-dropping-particle":"","parse-names":false,"suffix":""},{"dropping-particle":"","family":"Rankin","given":"Zane","non-dropping-particle":"","parse-names":false,"suffix":""},{"dropping-particle":"","family":"Rao","given":"Paturi Vishnupriya","non-dropping-particle":"","parse-names":false,"suffix":""},{"dropping-particle":"","family":"Rao","given":"Puja C.","non-dropping-particle":"","parse-names":false,"suffix":""},{"dropping-particle":"","family":"Rawaf","given":"Salman","non-dropping-particle":"","parse-names":false,"suffix":""},{"dropping-particle":"","family":"Ray","given":"Sarah E.","non-dropping-particle":"","parse-names":false,"suffix":""},{"dropping-particle":"","family":"Reiner","given":"Robert C.","non-dropping-particle":"","parse-names":false,"suffix":""},{"dropping-particle":"","family":"Reinig","given":"Nikolas","non-dropping-particle":"","parse-names":false,"suffix":""},{"dropping-particle":"","family":"Reitsma","given":"Marissa B.","non-dropping-particle":"","parse-names":false,"suffix":""},{"dropping-particle":"","family":"Remuzzi","given":"Giuseppe","non-dropping-particle":"","parse-names":false,"suffix":""},{"dropping-particle":"","family":"Renzaho","given":"Andre M.N.","non-dropping-particle":"","parse-names":false,"suffix":""},{"dropping-particle":"","family":"Resnikoff","given":"Serge","non-dropping-particle":"","parse-names":false,"suffix":""},{"dropping-particle":"","family":"Rezaei","given":"Satar","non-dropping-particle":"","parse-names":false,"suffix":""},{"dropping-particle":"","family":"Ribeiro","given":"Antonio L.","non-dropping-particle":"","parse-names":false,"suffix":""},{"dropping-particle":"","family":"Ronfani","given":"Luca","non-dropping-particle":"","parse-names":false,"suffix":""},{"dropping-particle":"","family":"Roshandel","given":"Gholamreza","non-dropping-particle":"","parse-names":false,"suffix":""},{"dropping-particle":"","family":"Roth","given":"Gregory A.","non-dropping-particle":"","parse-names":false,"suffix":""},{"dropping-particle":"","family":"Roy","given":"Ambuj","non-dropping-particle":"","parse-names":false,"suffix":""},{"dropping-particle":"","family":"Rubagotti","given":"Enrico","non-dropping-particle":"","parse-names":false,"suffix":""},{"dropping-particle":"","family":"Ruhago","given":"George Mugambage","non-dropping-particle":"","parse-names":false,"suffix":""},{"dropping-particle":"","family":"Saadat","given":"Soheil","non-dropping-particle":"","parse-names":false,"suffix":""},{"dropping-particle":"","family":"Sadat","given":"Nafis","non-dropping-particle":"","parse-names":false,"suffix":""},{"dropping-particle":"","family":"Safdarian","given":"Mahdi","non-dropping-particle":"","parse-names":false,"suffix":""},{"dropping-particle":"","family":"Safi","given":"Sare","non-dropping-particle":"","parse-names":false,"suffix":""},{"dropping-particle":"","family":"Safiri","given":"Saeid","non-dropping-particle":"","parse-names":false,"suffix":""},{"dropping-particle":"","family":"Sagar","given":"Rajesh","non-dropping-particle":"","parse-names":false,"suffix":""},{"dropping-particle":"","family":"Sahathevan","given":"Ramesh","non-dropping-particle":"","parse-names":false,"suffix":""},{"dropping-particle":"","family":"Salama","given":"Joseph","non-dropping-particle":"","parse-names":false,"suffix":""},{"dropping-particle":"","family":"Salomon","given":"Joshua A.","non-dropping-particle":"","parse-names":false,"suffix":""},{"dropping-particle":"","family":"Salvi","given":"Sundeep Santosh","non-dropping-particle":"","parse-names":false,"suffix":""},{"dropping-particle":"","family":"Samy","given":"Abdallah M.","non-dropping-particle":"","parse-names":false,"suffix":""},{"dropping-particle":"","family":"Sanabria","given":"Juan R.","non-dropping-particle":"","parse-names":false,"suffix":""},{"dropping-particle":"","family":"Santomauro","given":"Damian","non-dropping-particle":"","parse-names":false,"suffix":""},{"dropping-particle":"","family":"Santos","given":"Itamar S.","non-dropping-particle":"","parse-names":false,"suffix":""},{"dropping-particle":"","family":"Santos","given":"João Vasco","non-dropping-particle":"","parse-names":false,"suffix":""},{"dropping-particle":"","family":"Santric Milicevic","given":"Milena M.","non-dropping-particle":"","parse-names":false,"suffix":""},{"dropping-particle":"","family":"Sartorius","given":"Benn","non-dropping-particle":"","parse-names":false,"suffix":""},{"dropping-particle":"","family":"Satpathy","given":"Maheswar","non-dropping-particle":"","parse-names":false,"suffix":""},{"dropping-particle":"","family":"Sawhney","given":"Monika","non-dropping-particle":"","parse-names":false,"suffix":""},{"dropping-particle":"","family":"Saxena","given":"Sonia","non-dropping-particle":"","parse-names":false,"suffix":""},{"dropping-particle":"","family":"Schmidt","given":"Maria Inês","non-dropping-particle":"","parse-names":false,"suffix":""},{"dropping-particle":"","family":"Schneider","given":"Ione J.C.","non-dropping-particle":"","parse-names":false,"suffix":""},{"dropping-particle":"","family":"Schöttker","given":"Ben","non-dropping-particle":"","parse-names":false,"suffix":""},{"dropping-particle":"","family":"Schwebel","given":"David C.","non-dropping-particle":"","parse-names":false,"suffix":""},{"dropping-particle":"","family":"Schwendicke","given":"Falk","non-dropping-particle":"","parse-names":false,"suffix":""},{"dropping-particle":"","family":"Seedat","given":"Soraya","non-dropping-particle":"","parse-names":false,"suffix":""},{"dropping-particle":"","family":"Sepanlou","given":"Sadaf G.","non-dropping-particle":"","parse-names":false,"suffix":""},{"dropping-particle":"","family":"Servan-Mori","given":"Edson E.","non-dropping-particle":"","parse-names":false,"suffix":""},{"dropping-particle":"","family":"Setegn","given":"Tesfaye","non-dropping-particle":"","parse-names":false,"suffix":""},{"dropping-particle":"","family":"Shackelford","given":"Katya Anne","non-dropping-particle":"","parse-names":false,"suffix":""},{"dropping-particle":"","family":"Shaheen","given":"Amira","non-dropping-particle":"","parse-names":false,"suffix":""},{"dropping-particle":"","family":"Shaikh","given":"Masood Ali","non-dropping-particle":"","parse-names":false,"suffix":""},{"dropping-particle":"","family":"Shamsipour","given":"Mansour","non-dropping-particle":"","parse-names":false,"suffix":""},{"dropping-particle":"","family":"Shariful Islam","given":"Sheikh Mohammed","non-dropping-particle":"","parse-names":false,"suffix":""},{"dropping-particle":"","family":"Sharma","given":"Jayendra","non-dropping-particle":"","parse-names":false,"suffix":""},{"dropping-particle":"","family":"Sharma","given":"Rajesh","non-dropping-particle":"","parse-names":false,"suffix":""},{"dropping-particle":"","family":"She","given":"Jun","non-dropping-particle":"","parse-names":false,"suffix":""},{"dropping-particle":"","family":"Shi","given":"Peilin","non-dropping-particle":"","parse-names":false,"suffix":""},{"dropping-particle":"","family":"Shields","given":"Chloe","non-dropping-particle":"","parse-names":false,"suffix":""},{"dropping-particle":"","family":"Shigematsu","given":"Mika","non-dropping-particle":"","parse-names":false,"suffix":""},{"dropping-particle":"","family":"Shinohara","given":"Yukito","non-dropping-particle":"","parse-names":false,"suffix":""},{"dropping-particle":"","family":"Shiri","given":"Rahman","non-dropping-particle":"","parse-names":false,"suffix":""},{"dropping-particle":"","family":"Shirkoohi","given":"Reza","non-dropping-particle":"","parse-names":false,"suffix":""},{"dropping-particle":"","family":"Shirude","given":"Shreya","non-dropping-particle":"","parse-names":false,"suffix":""},{"dropping-particle":"","family":"Shishani","given":"Kawkab","non-dropping-particle":"","parse-names":false,"suffix":""},{"dropping-particle":"","family":"Shrime","given":"Mark G.","non-dropping-particle":"","parse-names":false,"suffix":""},{"dropping-particle":"","family":"Sibai","given":"Abla Mehio","non-dropping-particle":"","parse-names":false,"suffix":""},{"dropping-particle":"","family":"Sigfusdottir","given":"Inga Dora","non-dropping-particle":"","parse-names":false,"suffix":""},{"dropping-particle":"","family":"Silva","given":"Diego Augusto Santos","non-dropping-particle":"","parse-names":false,"suffix":""},{"dropping-particle":"","family":"Silva","given":"João Pedro","non-dropping-particle":"","parse-names":false,"suffix":""},{"dropping-particle":"","family":"Silveira","given":"Dayane Gabriele Alves","non-dropping-particle":"","parse-names":false,"suffix":""},{"dropping-particle":"","family":"Singh","given":"Jasvinder A.","non-dropping-particle":"","parse-names":false,"suffix":""},{"dropping-particle":"","family":"Singh","given":"Narinder Pal","non-dropping-particle":"","parse-names":false,"suffix":""},{"dropping-particle":"","family":"Sinha","given":"Dhirendra Narain","non-dropping-particle":"","parse-names":false,"suffix":""},{"dropping-particle":"","family":"Skiadaresi","given":"Eirini","non-dropping-particle":"","parse-names":false,"suffix":""},{"dropping-particle":"","family":"Skirbekk","given":"Vegard","non-dropping-particle":"","parse-names":false,"suffix":""},{"dropping-particle":"","family":"Slepak","given":"Erica Leigh","non-dropping-particle":"","parse-names":false,"suffix":""},{"dropping-particle":"","family":"Sligar","given":"Amber","non-dropping-particle":"","parse-names":false,"suffix":""},{"dropping-particle":"","family":"Smith","given":"David L.","non-dropping-particle":"","parse-names":false,"suffix":""},{"dropping-particle":"","family":"Smith","given":"Mari","non-dropping-particle":"","parse-names":false,"suffix":""},{"dropping-particle":"","family":"Sobaih","given":"Badr H.A.","non-dropping-particle":"","parse-names":false,"suffix":""},{"dropping-particle":"","family":"Sobngwi","given":"Eugene","non-dropping-particle":"","parse-names":false,"suffix":""},{"dropping-particle":"","family":"Sorensen","given":"Reed J.D.","non-dropping-particle":"","parse-names":false,"suffix":""},{"dropping-particle":"","family":"Sousa","given":"Tatiane Cristina Moraes","non-dropping-particle":"","parse-names":false,"suffix":""},{"dropping-particle":"","family":"Sposato","given":"Luciano A.","non-dropping-particle":"","parse-names":false,"suffix":""},{"dropping-particle":"","family":"Sreeramareddy","given":"Chandrashekhar T.","non-dropping-particle":"","parse-names":false,"suffix":""},{"dropping-particle":"","family":"Srinivasan","given":"Vinay","non-dropping-particle":"","parse-names":false,"suffix":""},{"dropping-particle":"","family":"Stanaway","given":"Jeffrey D.","non-dropping-particle":"","parse-names":false,"suffix":""},{"dropping-particle":"","family":"Stathopoulou","given":"Vasiliki","non-dropping-particle":"","parse-names":false,"suffix":""},{"dropping-particle":"","family":"Steel","given":"Nicholas","non-dropping-particle":"","parse-names":false,"suffix":""},{"dropping-particle":"","family":"Stein","given":"Dan J.","non-dropping-particle":"","parse-names":false,"suffix":""},{"dropping-particle":"","family":"Stein","given":"Murray B.","non-dropping-particle":"","parse-names":false,"suffix":""},{"dropping-particle":"","family":"Steiner","given":"Caitlyn","non-dropping-particle":"","parse-names":false,"suffix":""},{"dropping-particle":"","family":"Steiner","given":"Timothy J.","non-dropping-particle":"","parse-names":false,"suffix":""},{"dropping-particle":"","family":"Steinke","given":"Sabine","non-dropping-particle":"","parse-names":false,"suffix":""},{"dropping-particle":"","family":"Stokes","given":"Mark Andrew","non-dropping-particle":"","parse-names":false,"suffix":""},{"dropping-particle":"","family":"Stovner","given":"Lars Jacob","non-dropping-particle":"","parse-names":false,"suffix":""},{"dropping-particle":"","family":"Strub","given":"Bryan","non-dropping-particle":"","parse-names":false,"suffix":""},{"dropping-particle":"","family":"Subart","given":"Michelle","non-dropping-particle":"","parse-names":false,"suffix":""},{"dropping-particle":"","family":"Sufiyan","given":"Muawiyyah Babale","non-dropping-particle":"","parse-names":false,"suffix":""},{"dropping-particle":"","family":"Suliankatchi Abdulkader","given":"Rizwan","non-dropping-particle":"","parse-names":false,"suffix":""},{"dropping-particle":"","family":"Sunguya","given":"Bruno F.","non-dropping-particle":"","parse-names":false,"suffix":""},{"dropping-particle":"","family":"Sur","given":"Patrick J.","non-dropping-particle":"","parse-names":false,"suffix":""},{"dropping-particle":"","family":"Swaminathan","given":"Soumya","non-dropping-particle":"","parse-names":false,"suffix":""},{"dropping-particle":"","family":"Sykes","given":"Bryan L.","non-dropping-particle":"","parse-names":false,"suffix":""},{"dropping-particle":"","family":"Sylte","given":"Dillon O.","non-dropping-particle":"","parse-names":false,"suffix":""},{"dropping-particle":"","family":"Tabarés-Seisdedos","given":"Rafael","non-dropping-particle":"","parse-names":false,"suffix":""},{"dropping-particle":"","family":"Taffere","given":"Getachew Redae","non-dropping-particle":"","parse-names":false,"suffix":""},{"dropping-particle":"","family":"Takala","given":"Jukka S.","non-dropping-particle":"","parse-names":false,"suffix":""},{"dropping-particle":"","family":"Tandon","given":"Nikhil","non-dropping-particle":"","parse-names":false,"suffix":""},{"dropping-particle":"","family":"Tavakkoli","given":"Mohammad","non-dropping-particle":"","parse-names":false,"suffix":""},{"dropping-particle":"","family":"Taveira","given":"Nuno","non-dropping-particle":"","parse-names":false,"suffix":""},{"dropping-particle":"","family":"Taylor","given":"Hugh R.","non-dropping-particle":"","parse-names":false,"suffix":""},{"dropping-particle":"","family":"Tehrani-Banihashemi","given":"Arash","non-dropping-particle":"","parse-names":false,"suffix":""},{"dropping-particle":"","family":"Tekelab","given":"Tesfalidet","non-dropping-particle":"","parse-names":false,"suffix":""},{"dropping-particle":"","family":"Temam Shifa","given":"Girma","non-dropping-particle":"","parse-names":false,"suffix":""},{"dropping-particle":"","family":"Terkawi","given":"Abdullah Sulieman","non-dropping-particle":"","parse-names":false,"suffix":""},{"dropping-particle":"","family":"Tesfaye","given":"Dawit Jember","non-dropping-particle":"","parse-names":false,"suffix":""},{"dropping-particle":"","family":"Tesssema","given":"Belay","non-dropping-particle":"","parse-names":false,"suffix":""},{"dropping-particle":"","family":"Thamsuwan","given":"Ornwipa","non-dropping-particle":"","parse-names":false,"suffix":""},{"dropping-particle":"","family":"Thomas","given":"Katie E.","non-dropping-particle":"","parse-names":false,"suffix":""},{"dropping-particle":"","family":"Thrift","given":"Amanda G.","non-dropping-particle":"","parse-names":false,"suffix":""},{"dropping-particle":"","family":"Tiruye","given":"Tenaw Yimer","non-dropping-particle":"","parse-names":false,"suffix":""},{"dropping-particle":"","family":"Tobe-Gai","given":"Ruoyan","non-dropping-particle":"","parse-names":false,"suffix":""},{"dropping-particle":"","family":"Tollanes","given":"Mette C.","non-dropping-particle":"","parse-names":false,"suffix":""},{"dropping-particle":"","family":"Tonelli","given":"Marcello","non-dropping-particle":"","parse-names":false,"suffix":""},{"dropping-particle":"","family":"Topor-Madry","given":"Roman","non-dropping-particle":"","parse-names":false,"suffix":""},{"dropping-particle":"","family":"Tortajada","given":"Miguel","non-dropping-particle":"","parse-names":false,"suffix":""},{"dropping-particle":"","family":"Touvier","given":"Mathilde","non-dropping-particle":"","parse-names":false,"suffix":""},{"dropping-particle":"","family":"Tran","given":"Bach Xuan","non-dropping-particle":"","parse-names":false,"suffix":""},{"dropping-particle":"","family":"Tripathi","given":"Suryakant","non-dropping-particle":"","parse-names":false,"suffix":""},{"dropping-particle":"","family":"Troeger","given":"Christopher","non-dropping-particle":"","parse-names":false,"suffix":""},{"dropping-particle":"","family":"Truelsen","given":"Thomas","non-dropping-particle":"","parse-names":false,"suffix":""},{"dropping-particle":"","family":"Tsoi","given":"Derrick","non-dropping-particle":"","parse-names":false,"suffix":""},{"dropping-particle":"","family":"Tuem","given":"Kald Beshir","non-dropping-particle":"","parse-names":false,"suffix":""},{"dropping-particle":"","family":"Tuzcu","given":"Emin Murat","non-dropping-particle":"","parse-names":false,"suffix":""},{"dropping-particle":"","family":"Tyrovolas","given":"Stefanos","non-dropping-particle":"","parse-names":false,"suffix":""},{"dropping-particle":"","family":"Ukwaja","given":"Kingsley N.","non-dropping-particle":"","parse-names":false,"suffix":""},{"dropping-particle":"","family":"Undurraga","given":"Eduardo A.","non-dropping-particle":"","parse-names":false,"suffix":""},{"dropping-particle":"","family":"Uneke","given":"Chigozie Jesse","non-dropping-particle":"","parse-names":false,"suffix":""},{"dropping-particle":"","family":"Updike","given":"Rachel","non-dropping-particle":"","parse-names":false,"suffix":""},{"dropping-particle":"","family":"Uthman","given":"Olalekan A.","non-dropping-particle":"","parse-names":false,"suffix":""},{"dropping-particle":"","family":"Uzochukwu","given":"Benjamin S.Chudi","non-dropping-particle":"","parse-names":false,"suffix":""},{"dropping-particle":"","family":"Boven","given":"Job F.M.","non-dropping-particle":"Van","parse-names":false,"suffix":""},{"dropping-particle":"","family":"Varughese","given":"Santosh","non-dropping-particle":"","parse-names":false,"suffix":""},{"dropping-particle":"","family":"Vasankari","given":"Tommi","non-dropping-particle":"","parse-names":false,"suffix":""},{"dropping-particle":"","family":"Venkatesh","given":"S.","non-dropping-particle":"","parse-names":false,"suffix":""},{"dropping-particle":"","family":"Venketasubramanian","given":"Narayanaswamy","non-dropping-particle":"","parse-names":false,"suffix":""},{"dropping-particle":"","family":"Vidavalur","given":"Ramesh","non-dropping-particle":"","parse-names":false,"suffix":""},{"dropping-particle":"","family":"Violante","given":"Francesco S.","non-dropping-particle":"","parse-names":false,"suffix":""},{"dropping-particle":"","family":"Vladimirov","given":"Sergey K.","non-dropping-particle":"","parse-names":false,"suffix":""},{"dropping-particle":"","family":"Vlassov","given":"Vasiliy Victorovich","non-dropping-particle":"","parse-names":false,"suffix":""},{"dropping-particle":"","family":"Vollset","given":"Stein Emil","non-dropping-particle":"","parse-names":false,"suffix":""},{"dropping-particle":"","family":"Wadilo","given":"Fiseha","non-dropping-particle":"","parse-names":false,"suffix":""},{"dropping-particle":"","family":"Wakayo","given":"Tolassa","non-dropping-particle":"","parse-names":false,"suffix":""},{"dropping-particle":"","family":"Wang","given":"Yuan Pang","non-dropping-particle":"","parse-names":false,"suffix":""},{"dropping-particle":"","family":"Weaver","given":"Marcia","non-dropping-particle":"","parse-names":false,"suffix":""},{"dropping-particle":"","family":"Weichenthal","given":"Scott","non-dropping-particle":"","parse-names":false,"suffix":""},{"dropping-particle":"","family":"Weiderpass","given":"Elisabete","non-dropping-particle":"","parse-names":false,"suffix":""},{"dropping-particle":"","family":"Weintraub","given":"Robert G.","non-dropping-particle":"","parse-names":false,"suffix":""},{"dropping-particle":"","family":"Werdecker","given":"Andrea","non-dropping-particle":"","parse-names":false,"suffix":""},{"dropping-particle":"","family":"Westerman","given":"Ronny","non-dropping-particle":"","parse-names":false,"suffix":""},{"dropping-particle":"","family":"Whiteford","given":"Harvey A.","non-dropping-particle":"","parse-names":false,"suffix":""},{"dropping-particle":"","family":"Wijeratne","given":"Tissa","non-dropping-particle":"","parse-names":false,"suffix":""},{"dropping-particle":"","family":"Wiysonge","given":"Charles Shey","non-dropping-particle":"","parse-names":false,"suffix":""},{"dropping-particle":"","family":"Wolfe","given":"Charles D.A.","non-dropping-particle":"","parse-names":false,"suffix":""},{"dropping-particle":"","family":"Woodbrook","given":"Rachel","non-dropping-particle":"","parse-names":false,"suffix":""},{"dropping-particle":"","family":"Woolf","given":"Anthony D.","non-dropping-particle":"","parse-names":false,"suffix":""},{"dropping-particle":"","family":"Workicho","given":"Abdulhalik","non-dropping-particle":"","parse-names":false,"suffix":""},{"dropping-particle":"","family":"Wulf Hanson","given":"Sarah","non-dropping-particle":"","parse-names":false,"suffix":""},{"dropping-particle":"","family":"Xavier","given":"Denis","non-dropping-particle":"","parse-names":false,"suffix":""},{"dropping-particle":"","family":"Xu","given":"Gelin","non-dropping-particle":"","parse-names":false,"suffix":""},{"dropping-particle":"","family":"Yadgir","given":"Simon","non-dropping-particle":"","parse-names":false,"suffix":""},{"dropping-particle":"","family":"Yaghoubi","given":"Mohsen","non-dropping-particle":"","parse-names":false,"suffix":""},{"dropping-particle":"","family":"Yakob","given":"Bereket","non-dropping-particle":"","parse-names":false,"suffix":""},{"dropping-particle":"","family":"Yan","given":"Lijing L.","non-dropping-particle":"","parse-names":false,"suffix":""},{"dropping-particle":"","family":"Yano","given":"Yuichiro","non-dropping-particle":"","parse-names":false,"suffix":""},{"dropping-particle":"","family":"Ye","given":"Pengpeng","non-dropping-particle":"","parse-names":false,"suffix":""},{"dropping-particle":"","family":"Yimam","given":"Hassen Hamid","non-dropping-particle":"","parse-names":false,"suffix":""},{"dropping-particle":"","family":"Yip","given":"Paul","non-dropping-particle":"","parse-names":false,"suffix":""},{"dropping-particle":"","family":"Yonemoto","given":"Naohiro","non-dropping-particle":"","parse-names":false,"suffix":""},{"dropping-particle":"","family":"Yoon","given":"Seok Jun","non-dropping-particle":"","parse-names":false,"suffix":""},{"dropping-particle":"","family":"Yotebieng","given":"Marcel","non-dropping-particle":"","parse-names":false,"suffix":""},{"dropping-particle":"","family":"Younis","given":"Mustafa Z.","non-dropping-particle":"","parse-names":false,"suffix":""},{"dropping-particle":"","family":"Zaidi","given":"Zoubida","non-dropping-particle":"","parse-names":false,"suffix":""},{"dropping-particle":"","family":"Zaki","given":"Maysaa El Sayed","non-dropping-particle":"","parse-names":false,"suffix":""},{"dropping-particle":"","family":"Zegeye","given":"Elias Asfaw","non-dropping-particle":"","parse-names":false,"suffix":""},{"dropping-particle":"","family":"Zenebe","given":"Zerihun Menlkalew","non-dropping-particle":"","parse-names":false,"suffix":""},{"dropping-particle":"","family":"Zhang","given":"Xueying","non-dropping-particle":"","parse-names":false,"suffix":""},{"dropping-particle":"","family":"Zhou","given":"Maigeng","non-dropping-particle":"","parse-names":false,"suffix":""},{"dropping-particle":"","family":"Zipkin","given":"Ben","non-dropping-particle":"","parse-names":false,"suffix":""},{"dropping-particle":"","family":"Zodpey","given":"Sanjay","non-dropping-particle":"","parse-names":false,"suffix":""},{"dropping-particle":"","family":"Zuhlke","given":"Liesl Joanna","non-dropping-particle":"","parse-names":false,"suffix":""},{"dropping-particle":"","family":"Murray","given":"Christopher J.L.","non-dropping-particle":"","parse-names":false,"suffix":""}],"container-title":"The Lancet","id":"ITEM-1","issue":"10100","issued":{"date-parts":[["2017","9"]]},"page":"1211-1259","publisher":"Elsevier","title":"Global, regional, and national incidence, prevalence, and years lived with disability for 328 diseases and injuries for 195 countries, 1990-2016: A systematic analysis for the Global Burden of Disease Study 2016","type":"article-journal","volume":"390"},"uris":["http://www.mendeley.com/documents/?uuid=061e0bc3-39c0-446b-81bd-53cb5f2c5bb6"]},{"id":"ITEM-2","itemData":{"DOI":"10.1056/NEJMra1401038","ISSN":"15334406","PMID":"25946282","author":[{"dropping-particle":"","family":"Camaschella","given":"Clara","non-dropping-particle":"","parse-names":false,"suffix":""}],"container-title":"New England Journal of Medicine","id":"ITEM-2","issue":"19","issued":{"date-parts":[["2015"]]},"page":"1832-1843","title":"Iron-deficiency anemia","type":"article","volume":"372"},"uris":["http://www.mendeley.com/documents/?uuid=a1d508b4-cce0-4de9-855e-b053b360bbe8"]}],"mendeley":{"formattedCitation":"[1,2]","plainTextFormattedCitation":"[1,2]","previouslyFormattedCitation":"(1,2)"},"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[1,2]</w:t>
      </w:r>
      <w:r w:rsidRPr="00E63806">
        <w:rPr>
          <w:rFonts w:asciiTheme="minorHAnsi" w:hAnsiTheme="minorHAnsi"/>
        </w:rPr>
        <w:fldChar w:fldCharType="end"/>
      </w:r>
      <w:r w:rsidRPr="00E63806">
        <w:rPr>
          <w:rFonts w:asciiTheme="minorHAnsi" w:hAnsiTheme="minorHAnsi"/>
        </w:rPr>
        <w:t xml:space="preserve">. It is associated with prognostic and financial implications and reduced quality of life </w:t>
      </w:r>
      <w:r w:rsidRPr="00E63806">
        <w:rPr>
          <w:rFonts w:asciiTheme="minorHAnsi" w:hAnsiTheme="minorHAnsi"/>
        </w:rPr>
        <w:fldChar w:fldCharType="begin" w:fldLock="1"/>
      </w:r>
      <w:r w:rsidR="00B337AF">
        <w:rPr>
          <w:rFonts w:asciiTheme="minorHAnsi" w:hAnsiTheme="minorHAnsi"/>
        </w:rPr>
        <w:instrText>ADDIN CSL_CITATION {"citationItems":[{"id":"ITEM-1","itemData":{"DOI":"10.3399/bjgp17X688465","ISSN":"09601643","author":[{"dropping-particle":"","family":"Keshav","given":"Satish","non-dropping-particle":"","parse-names":false,"suffix":""},{"dropping-particle":"","family":"Stevens","given":"Richard","non-dropping-particle":"","parse-names":false,"suffix":""}],"container-title":"British Journal of General Practice","id":"ITEM-1","issue":"654","issued":{"date-parts":[["2017"]]},"page":"10-11","title":"New concepts in iron deficiency anaemia","type":"article","volume":"67"},"uris":["http://www.mendeley.com/documents/?uuid=024d347a-e30e-41fd-92a3-e1ec4a65d6aa"]},{"id":"ITEM-2","itemData":{"DOI":"10.3390/ph11030082","ISSN":"14248247","abstract":"Iron is an essential trace mineral necessary for life, and iron deficiency anaemia (IDA) is one of the most common haematological problems worldwide, affecting a sixth of the global population. Principally linked to poverty, malnutrition and infection in developing countries, in Western countries the pathophysiology of IDA is primarily linked to blood loss, malabsorption and chronic disease. Oral iron replacement therapy is a simple, inexpensive treatment, but is limited by gastrointestinal side effects that are not inconsequential to some patients and are of minimal efficacy in others. Third generation intravenous (IV) iron therapies allow rapid and complete replacement dosing without the toxicity issues inherent with older iron preparations. Their characteristic, strongly-bound iron-carbohydrate complexes exist as colloidal suspensions of iron oxide nanoparticles with a polynuclear Fe(III)-oxyhydroxide/oxide core surrounded by a carbohydrate ligand. The physicochemical differences between the IV irons include mineral composition, crystalline structure, conformation, size and molecular weight, but the most important difference is the carbohydrate ligand, which influences complex stability, iron release and immunogenicity, and which is a unique feature of each drug. Recent studies have highlighted different adverse event profiles associated with third-generation IV irons that reflect their different structures. The increasing clinical evidence base has allayed safety concerns linked to older IV irons and widened their clinical use. This review considers the properties of the different IV irons, and how differences might impact current and future clinical practice.","author":[{"dropping-particle":"","family":"Bhandari","given":"Sunil","non-dropping-particle":"","parse-names":false,"suffix":""},{"dropping-particle":"","family":"Pereira","given":"Dora I.A.","non-dropping-particle":"","parse-names":false,"suffix":""},{"dropping-particle":"","family":"Chappell","given":"Helen F.","non-dropping-particle":"","parse-names":false,"suffix":""},{"dropping-particle":"","family":"Drakesmith","given":"Hal","non-dropping-particle":"","parse-names":false,"suffix":""}],"container-title":"Pharmaceuticals","id":"ITEM-2","issue":"3","issued":{"date-parts":[["2018","8"]]},"language":"eng","page":"82","publisher":"MDPI","title":"Intravenous irons: From basic science to clinical practice","type":"article-journal","volume":"11"},"uris":["http://www.mendeley.com/documents/?uuid=fbcfbbe0-1eb7-43fe-b3f4-5ba720692b3b"]}],"mendeley":{"formattedCitation":"[3,4]","plainTextFormattedCitation":"[3,4]","previouslyFormattedCitation":"(3,4)"},"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[3,4]</w:t>
      </w:r>
      <w:r w:rsidRPr="00E63806">
        <w:rPr>
          <w:rFonts w:asciiTheme="minorHAnsi" w:hAnsiTheme="minorHAnsi"/>
        </w:rPr>
        <w:fldChar w:fldCharType="end"/>
      </w:r>
      <w:r w:rsidRPr="00E63806">
        <w:rPr>
          <w:rFonts w:asciiTheme="minorHAnsi" w:hAnsiTheme="minorHAnsi"/>
        </w:rPr>
        <w:t>.</w:t>
      </w:r>
    </w:p>
    <w:p w14:paraId="098F798C" w14:textId="159A7866"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 xml:space="preserve">Despite the broad availability of oral iron, issues remain with compliance and side-effects </w:t>
      </w:r>
      <w:r w:rsidRPr="00E63806">
        <w:rPr>
          <w:rFonts w:asciiTheme="minorHAnsi" w:hAnsiTheme="minorHAnsi"/>
        </w:rPr>
        <w:fldChar w:fldCharType="begin" w:fldLock="1"/>
      </w:r>
      <w:r w:rsidR="00B337AF">
        <w:rPr>
          <w:rFonts w:asciiTheme="minorHAnsi" w:hAnsiTheme="minorHAnsi"/>
        </w:rPr>
        <w:instrText>ADDIN CSL_CITATION {"citationItems":[{"id":"ITEM-1","itemData":{"DOI":"10.3390/ph11030082","ISSN":"14248247","abstract":"Iron is an essential trace mineral necessary for life, and iron deficiency anaemia (IDA) is one of the most common haematological problems worldwide, affecting a sixth of the global population. Principally linked to poverty, malnutrition and infection in developing countries, in Western countries the pathophysiology of IDA is primarily linked to blood loss, malabsorption and chronic disease. Oral iron replacement therapy is a simple, inexpensive treatment, but is limited by gastrointestinal side effects that are not inconsequential to some patients and are of minimal efficacy in others. Third generation intravenous (IV) iron therapies allow rapid and complete replacement dosing without the toxicity issues inherent with older iron preparations. Their characteristic, strongly-bound iron-carbohydrate complexes exist as colloidal suspensions of iron oxide nanoparticles with a polynuclear Fe(III)-oxyhydroxide/oxide core surrounded by a carbohydrate ligand. The physicochemical differences between the IV irons include mineral composition, crystalline structure, conformation, size and molecular weight, but the most important difference is the carbohydrate ligand, which influences complex stability, iron release and immunogenicity, and which is a unique feature of each drug. Recent studies have highlighted different adverse event profiles associated with third-generation IV irons that reflect their different structures. The increasing clinical evidence base has allayed safety concerns linked to older IV irons and widened their clinical use. This review considers the properties of the different IV irons, and how differences might impact current and future clinical practice.","author":[{"dropping-particle":"","family":"Bhandari","given":"Sunil","non-dropping-particle":"","parse-names":false,"suffix":""},{"dropping-particle":"","family":"Pereira","given":"Dora I.A.","non-dropping-particle":"","parse-names":false,"suffix":""},{"dropping-particle":"","family":"Chappell","given":"Helen F.","non-dropping-particle":"","parse-names":false,"suffix":""},{"dropping-particle":"","family":"Drakesmith","given":"Hal","non-dropping-particle":"","parse-names":false,"suffix":""}],"container-title":"Pharmaceuticals","id":"ITEM-1","issue":"3","issued":{"date-parts":[["2018","8"]]},"language":"eng","page":"82","publisher":"MDPI","title":"Intravenous irons: From basic science to clinical practice","type":"article-journal","volume":"11"},"uris":["http://www.mendeley.com/documents/?uuid=fbcfbbe0-1eb7-43fe-b3f4-5ba720692b3b"]}],"mendeley":{"formattedCitation":"[4]","plainTextFormattedCitation":"[4]","previouslyFormattedCitation":"(4)"},"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[4]</w:t>
      </w:r>
      <w:r w:rsidRPr="00E63806">
        <w:rPr>
          <w:rFonts w:asciiTheme="minorHAnsi" w:hAnsiTheme="minorHAnsi"/>
        </w:rPr>
        <w:fldChar w:fldCharType="end"/>
      </w:r>
      <w:r w:rsidRPr="00E63806">
        <w:rPr>
          <w:rFonts w:asciiTheme="minorHAnsi" w:hAnsiTheme="minorHAnsi"/>
        </w:rPr>
        <w:t xml:space="preserve">. Consequently, intravenous (IV) iron replacement has gained popularity and is incorporated in current clinical guidelines </w:t>
      </w:r>
      <w:r w:rsidRPr="00E63806">
        <w:rPr>
          <w:rFonts w:asciiTheme="minorHAnsi" w:hAnsiTheme="minorHAnsi"/>
        </w:rPr>
        <w:fldChar w:fldCharType="begin" w:fldLock="1"/>
      </w:r>
      <w:r w:rsidR="00B337AF">
        <w:rPr>
          <w:rFonts w:asciiTheme="minorHAnsi" w:hAnsiTheme="minorHAnsi"/>
        </w:rPr>
        <w:instrText>ADDIN CSL_CITATION {"citationItems":[{"id":"ITEM-1","itemData":{"URL":"https://www.nice.org.uk/guidance/ng8","accessed":{"date-parts":[["2020","7","7"]]},"id":"ITEM-1","issued":{"date-parts":[["2015"]]},"title":"NICE Guideline NG8. Chronic kidney disease: managing anemia.","type":"webpage"},"uris":["http://www.mendeley.com/documents/?uuid=87d7f138-73a7-4772-b992-1c1ea14a5387"]},{"id":"ITEM-2","itemData":{"DOI":"10.1038/kisup.2012.40","ISSN":"21571716","PMID":"25018948","abstract":"The 2012 Kidney Disease: Improving Global Outcomes (KDIGO) Clinical Practice Guideline for Anemia in Chronic Kidney Disease aims to provide guidance on diagnosis, evaluation, management and treatment for all CKD patients (non-dialysis, dialysis, kidney transplant recipients and children) at risk of or with anemia. Guideline development followed an explicit process of evidence review and appraisal. The guideline contains chapters addressing diagnosis and evaluation of anemia in CKD and the use of various therapeutic agents (iron, ESAs and other agents) and red cell transfusion as means of treatment. Treatment approaches are addressed in each chapter and guideline recommendations are based on systematic reviews of relevant trials. Appraisal of the quality of the evidence and the strength of recommendations followed the GRADE approach. Ongoing areas of controversies and limitations of the evidence are discussed and additional suggestions are also provided for future research.","author":[{"dropping-particle":"","family":"Kidney Disease: Improving Global Outcomes (KDIGO) Anemia Work Group","given":"","non-dropping-particle":"","parse-names":false,"suffix":""}],"container-title":"Kidney International Supplements","id":"ITEM-2","issue":"4","issued":{"date-parts":[["2012"]]},"page":"279–335","title":"KDIGO Clinical Practice Guideline for Anemia in Chronic Kidney Disease.","type":"article-journal","volume":"2"},"uris":["http://www.mendeley.com/documents/?uuid=b2dfdef0-75ec-4fee-aaeb-b35cad47fcb1"]}],"mendeley":{"formattedCitation":"[5,6]","plainTextFormattedCitation":"[5,6]","previouslyFormattedCitation":"(5,6)"},"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[5,6]</w:t>
      </w:r>
      <w:r w:rsidRPr="00E63806">
        <w:rPr>
          <w:rFonts w:asciiTheme="minorHAnsi" w:hAnsiTheme="minorHAnsi"/>
        </w:rPr>
        <w:fldChar w:fldCharType="end"/>
      </w:r>
      <w:r w:rsidRPr="00E63806">
        <w:rPr>
          <w:rFonts w:asciiTheme="minorHAnsi" w:hAnsiTheme="minorHAnsi"/>
        </w:rPr>
        <w:t xml:space="preserve">.  Several IV iron preparations are available including second generation (e.g. iron sucrose (IS), low molecular weight iron dextran (ID), and third generation (e.g. ferric derisomaltose/iron isomaltoside (FDI)). </w:t>
      </w:r>
    </w:p>
    <w:p w14:paraId="60369639" w14:textId="64D3E6B9"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 xml:space="preserve">Concerns exist regarding the risks of oxidative stress with parenteral iron administration </w:t>
      </w:r>
      <w:r w:rsidRPr="00E63806">
        <w:rPr>
          <w:rFonts w:asciiTheme="minorHAnsi" w:hAnsiTheme="minorHAnsi"/>
        </w:rPr>
        <w:fldChar w:fldCharType="begin" w:fldLock="1"/>
      </w:r>
      <w:r w:rsidR="00B337AF">
        <w:rPr>
          <w:rFonts w:asciiTheme="minorHAnsi" w:hAnsiTheme="minorHAnsi"/>
        </w:rPr>
        <w:instrText xml:space="preserve">ADDIN CSL_CITATION {"citationItems":[{"id":"ITEM-1","itemData":{"DOI":"10.1038/ki.2015.163","ISSN":"15231755","PMID":"26083656","abstract":"Although iron is commonly used to correct iron deficiency anemia (IDA) in chronic kidney disease (CKD), its effect on kidney function is unclear. To assess this, we randomly assigned patients with stage 3 and 4 CKD and IDA to either open-label oral ferrous sulfate (69 patients to 325 mg three times daily for 8 weeks) or intravenous iron sucrose (67 patients to 200 mg every 2 weeks, total 1 g). The primary outcome was the between-group difference in slope of measured glomerular filtration rate (mGFR) change over two years. The trial was terminated early on the recommendation of an independent data and safety monitoring board based on little chance of finding differences in mGFR slopes, but a higher risk of serious adverse events in the intravenous iron treatment group. mGFR declined similarly over two years in both treatment groups (oral -3.6 ml/min per 1.73 m 2, intravenous -4.0 ml/min per 1.73 m 2, between-group difference -0.35 ml/min per 1.73 m 2; 95% confidence interval -2.9 to 2.3). There were 36 serious cardiovascular events among 19 participants assigned to the oral iron treatment group and 55 events among 17 participants of the intravenous iron group (adjusted incidence rate ratio 2.51 (1.56-4.04)). Infections resulting in hospitalizations had a significant adjusted incidence rate ratio of 2.12 (1.24-3.64). Thus, among non-dialyzed patients with CKD and IDA, intravenous iron therapy is associated with an increased risk of serious adverse events, including those from cardiovascular causes and infectious diseases.","author":[{"dropping-particle":"","family":"Agarwal","given":"Rajiv","non-dropping-particle":"","parse-names":false,"suffix":""},{"dropping-particle":"","family":"Kusek","given":"John W.","non-dropping-particle":"","parse-names":false,"suffix":""},{"dropping-particle":"","family":"Pappas","given":"Maria K.","non-dropping-particle":"","parse-names":false,"suffix":""}],"container-title":"Kidney International","edition":"2015/06/17","id":"ITEM-1","issue":"4","issued":{"date-parts":[["2015","10"]]},"language":"eng","page":"905-914","title":"A randomized trial of intravenous and oral iron in chronic kidney disease","type":"article-journal","volume":"88"},"uris":["http://www.mendeley.com/documents/?uuid=9c5f0fdc-75bb-481f-a0fe-16fcdb3bc16d"]},{"id":"ITEM-2","itemData":{"DOI":"10.1111/j.1523-1755.2004.00716.x","ISSN":"00852538","abstract":"Background. Parenteral iron administration is a mainstay of anemia management in renal disease patients. However, concerns of potential iron toxicity persist. Thus, this study was conducted to more fully gauge iron toxicologic profiles and potential determinants thereof. Methods. Isolated mouse proximal tubule segments (PTS) or cultured proximal tubular [human kidney (HK-2)] cells were exposed to four representative iron preparations [iron sucrose (FeS), iron dextran (FeD), iron gluconate (FeG), or iron oligosaccharide (FeOS)] over a broad dosage range (0, 30 to 1000 μg iron/mL). Cell injury was assessed by lactate deyhdrogenase (LDH) release, adenosine triphosphate (ATP) reductions, cell cytochrome c efflux, and/or electron microscopy. In vivo toxicity (after 2 mg intravenous iron injections) was assessed by plasma/renal/cardiac lipid peroxidation [malondialdehyde (MDA)], renal ferritin (protein)/heme oxygenase-1 (HO-1) (mRNA) expression, electron microscopy, or postiron injection PTS susceptibility to attack. Results. In each test, iron evoked in vitro toxicity, but up to 30x differences in severity (e.g., ATP declines) were observed (FeS &gt; FeG &gt; FeD = FeOS). The in vitro differences paralleled degrees of cell (HK-2) iron uptake. In vivo correlates of iron toxicity included variable increases in renal MDA, ferritin, and HO-1 mRNA levels. Again, these changes appeared to parallel in vivo (glomerular) iron uptake (seen with FeS and FeG, but not with FeD or FeOS). Iron also effected in vivo alterations in proximal tubule cell homeostasis, as reflected by the \"downstream\" emergence of tubule resistance to in vitro oxidant attack. Conclusion. Parenteral iron formulations have potent, but highly variable, cytotoxic potentials which appear to parallel degrees of cell iron uptake (FeS &gt; FeG </w:instrText>
      </w:r>
      <w:r w:rsidR="00B337AF">
        <w:rPr>
          <w:rFonts w:ascii="Lucida Sans Unicode" w:hAnsi="Lucida Sans Unicode" w:cs="Lucida Sans Unicode"/>
        </w:rPr>
        <w:instrText>≫</w:instrText>
      </w:r>
      <w:r w:rsidR="00B337AF">
        <w:rPr>
          <w:rFonts w:asciiTheme="minorHAnsi" w:hAnsiTheme="minorHAnsi"/>
        </w:rPr>
        <w:instrText xml:space="preserve"> FeD or FeOS). That in vitro injury can be expressed at clinically relevant iron concentrations, and that in vivo glomerular iron deposition/injury may result, suggest caution is warranted if these agents are to be administered to patients with active renal disease.","author":[{"dropping-particle":"","family":"Zager","given":"Richard A.","non-dropping-particle":"","parse-names":false,"suffix":""},{"dropping-particle":"","family":"Johnson","given":"Ali C.M.","non-dropping-particle":"","parse-names":false,"suffix":""},{"dropping-particle":"","family":"Hanson","given":"Sherry Y.","non-dropping-particle":"","parse-names":false,"suffix":""}],"container-title":"Kidney International","id":"ITEM-2","issue":"1","issued":{"date-parts":[["2004"]]},"page":"144-156","title":"Parenteral iron nephrotoxicity: Potential mechanisms and consequences","type":"article-journal","volume":"66"},"uris":["http://www.mendeley.com/documents/?uuid=7caa2bd4-45c0-444e-bc74-2ae167e708f6"]},{"id":"ITEM-3","itemData":{"DOI":"10.1081/JDI-200056599","ISSN":"15256049","abstract":"Parenteral iron has been recommended for the treatment of iron deficiency in the majority of maintenance hemodialyzed (HD) patients. However, iron supplementation and consequent over saturation of transferrin and high iron levels, may aggravate oxidative stress already present in these patients. This study aimed to further clarify the role of repeated intravenous iron therapy as a supplementary cause of oxidative stress in HD patients. Markers of free radical activities (carbonyl reactive derivatives, CRD, thiol groups, SH, malondialdehyde, MDA) and antioxidant enzyme activities (superoxide dismutase, SOD and glutathione peroxidase, GPX) were determined in plasma and red blood cells (RBC) of 19 hemodialysis patients given a total iron dose of 625 mg (ferrogluconat, Ferrlecit, 62.5 mg). Blood samples were taken before the first and after the last dose of iron. Twenty apparently normal subjects served as healthy controls. Before iron treatment, HD patients exhibited increased concentrations of MDA and CRD in plasma and red blood cells, accompanied with impaired antioxidant capacity. All patients responded to iron therapy with a significant increase in their serum ferritin, serum iron, hemoglobin, and red blood cells levels. However, iron treatment resulted in enhanced oxidative stress in plasma of HD patients, since significant increase in plasma MDA and CRD concentrations, together with a decrease in nonprotein SH groups levels were detected. Supplementation with iron did not significantly influence plasma SOD and GPX activities, nor did any of the red blood cell parameters tested. Our data show that, despite improvement in hematological parameters, an increase in iron stores due to supplementation could also contribute to increased free radical production in HD patients. Copyright © 2005 Taylor &amp; Francis Inc.","author":[{"dropping-particle":"","family":"Mimić-Oka","given":"Jasmina","non-dropping-particle":"","parse-names":false,"suffix":""},{"dropping-particle":"","family":"Savić-Radojević","given":"A.","non-dropping-particle":"","parse-names":false,"suffix":""},{"dropping-particle":"","family":"Plješa-Ercegovac","given":"M.","non-dropping-particle":"","parse-names":false,"suffix":""},{"dropping-particle":"","family":"Opačić","given":"M.","non-dropping-particle":"","parse-names":false,"suffix":""},{"dropping-particle":"","family":"Simić","given":"T.","non-dropping-particle":"","parse-names":false,"suffix":""},{"dropping-particle":"","family":"Dimković","given":"N.","non-dropping-particle":"","parse-names":false,"suffix":""},{"dropping-particle":"V.","family":"Simić","given":"D.","non-dropping-particle":"","parse-names":false,"suffix":""}],"container-title":"Renal Failure","id":"ITEM-3","issue":"3","issued":{"date-parts":[["2005"]]},"page":"345-351","title":"Evaluation of oxidative stress after repeated intravenous iron supplementation","type":"article-journal","volume":"27"},"uris":["http://www.mendeley.com/documents/?uuid=545d6c3a-124e-4090-a138-7a6606ec6d31"]}],"mendeley":{"formattedCitation":"[7–9]","plainTextFormattedCitation":"[7–9]","previouslyFormattedCitation":"(7–9)"},"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[7–9]</w:t>
      </w:r>
      <w:r w:rsidRPr="00E63806">
        <w:rPr>
          <w:rFonts w:asciiTheme="minorHAnsi" w:hAnsiTheme="minorHAnsi"/>
        </w:rPr>
        <w:fldChar w:fldCharType="end"/>
      </w:r>
      <w:r w:rsidRPr="00E63806">
        <w:rPr>
          <w:rFonts w:asciiTheme="minorHAnsi" w:hAnsiTheme="minorHAnsi"/>
        </w:rPr>
        <w:t xml:space="preserve">. Previous evidence suggests that the degree of oxidative stress due to iron supplementation is relative to the labile plasma iron (LPI) released </w:t>
      </w:r>
      <w:r w:rsidRPr="00E63806">
        <w:rPr>
          <w:rFonts w:asciiTheme="minorHAnsi" w:hAnsiTheme="minorHAnsi"/>
        </w:rPr>
        <w:fldChar w:fldCharType="begin" w:fldLock="1"/>
      </w:r>
      <w:r w:rsidR="00B337AF">
        <w:rPr>
          <w:rFonts w:asciiTheme="minorHAnsi" w:hAnsiTheme="minorHAnsi"/>
        </w:rPr>
        <w:instrText>ADDIN CSL_CITATION {"citationItems":[{"id":"ITEM-1","itemData":{"DOI":"10.1681/ASN.2006050500","ISSN":"10466673","abstract":"Chronic kidney disease is a worldwide public health problem that affects approximately 10% of the US adult population and is associated with a high prevalence of cardiovascular disease and high economic cost. Chronic renal insufficiency, once established, tends to progress to end-stage kidney disease, suggesting some common mechanisms for ultimately causing scarring and further nephron loss. This review defines the term reactive oxygen metabolites (ROM), or oxidants, and presents the available experimental evidence in support of the role of oxidants in diabetic and nondiabetic glomerular disease and their role in tubulointerstitial damage that accompanies progression. It concludes by reviewing the limited human data that provide some proof of concept that the observations in experimental models may be relevant to human disease. Copyright © 2007 by the American Society of Nephrology.","author":[{"dropping-particle":"V.","family":"Shah","given":"Sudhir","non-dropping-particle":"","parse-names":false,"suffix":""},{"dropping-particle":"","family":"Baliga","given":"Radhakrishna","non-dropping-particle":"","parse-names":false,"suffix":""},{"dropping-particle":"","family":"Rajapurkar","given":"Mohan","non-dropping-particle":"","parse-names":false,"suffix":""},{"dropping-particle":"","family":"Fonseca","given":"Vivian A.","non-dropping-particle":"","parse-names":false,"suffix":""}],"container-title":"Journal of the American Society of Nephrology","id":"ITEM-1","issue":"1","issued":{"date-parts":[["2007"]]},"page":"16-28","title":"Oxidants in chronic kidney disease","type":"article-journal","volume":"18"},"uris":["http://www.mendeley.com/documents/?uuid=c498d574-538c-403e-b467-7503a91f7c55"]},{"id":"ITEM-2","itemData":{"DOI":"10.3389/fphar.2014.00045","ISSN":"16639812","abstract":"In living systems iron appears predominantly associated with proteins, but can also be detected in forms referred as labile iron, which denotes the combined redox properties of iron and its amenability to exchange between ligands, including chelators. The labile cell iron (LCI) composition varies with metal concentration and substances with chelating groups but also with pH and the medium redox potential. Although physiologically in the lower μM range, LCI plays a key role in cell iron economy as cross-roads of metabolic pathways. LCI levels are continually regulated by an iron-responsive machinery that balances iron uptake versus deposition into ferritin. However, LCI rises aberrantly in some cell types due to faulty cell utilization pathways or infiltration by pathological iron forms that are found in hemosiderotic plasma. As LCI attains pathological levels, it can catalyze reactive O species (ROS) formation that, at particular threshold, can surpass cellular anti-oxidant capacities and seriously damage its constituents. While in normal plasma and interstitial fluids, virtually all iron is securely carried by circulating transferrin (Tf; that renders iron essentially non-labile), in systemic iron overload (IO), the total plasma iron binding capacity is often surpassed by a massive iron influx from hyperabsorptive gut or from erythrocyte overburdened spleen and/or liver. As plasma Tf approaches iron saturation, labile plasma iron (LPI) emerges in forms that can infiltrate cells by unregulated routes and raise LCI to toxic levels. Despite the limited knowledge available on LPI speciation in different types and degrees of IO, LPI measurements can be and are in fact used for identifying systemic IO and for initiating/adjusting chelation regimens to attain full-day LPI protection. A recent application of labile iron assay is the detection of labile components in intravenous iron formulations per se as well as in plasma (LPI) following parenteral iron administration. © 2014 Cabantchik.","author":[{"dropping-particle":"","family":"Cabantchik","given":"Zvi Ioav","non-dropping-particle":"","parse-names":false,"suffix":""}],"container-title":"Frontiers in Pharmacology","id":"ITEM-2","issue":"5","issued":{"date-parts":[["2014"]]},"page":"45","title":"Labile iron in cells and body fluids: Physiology, pathology, and pharmacology","type":"article-journal","volume":"13"},"uris":["http://www.mendeley.com/documents/?uuid=b3bc33f0-3908-4034-8279-ad692a55080a"]}],"mendeley":{"formattedCitation":"[10,11]","plainTextFormattedCitation":"[10,11]","previouslyFormattedCitation":"(10,11)"},"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[10,11]</w:t>
      </w:r>
      <w:r w:rsidRPr="00E63806">
        <w:rPr>
          <w:rFonts w:asciiTheme="minorHAnsi" w:hAnsiTheme="minorHAnsi"/>
        </w:rPr>
        <w:fldChar w:fldCharType="end"/>
      </w:r>
      <w:r w:rsidRPr="00E63806">
        <w:rPr>
          <w:rFonts w:asciiTheme="minorHAnsi" w:hAnsiTheme="minorHAnsi"/>
        </w:rPr>
        <w:t xml:space="preserve">.  Labile plasma iron can be involved in redox cycling and has a major role in the initiation and propagation of lipid peroxidation </w:t>
      </w:r>
      <w:r w:rsidRPr="00E63806">
        <w:rPr>
          <w:rFonts w:asciiTheme="minorHAnsi" w:hAnsiTheme="minorHAnsi"/>
        </w:rPr>
        <w:fldChar w:fldCharType="begin" w:fldLock="1"/>
      </w:r>
      <w:r w:rsidR="00B337AF">
        <w:rPr>
          <w:rFonts w:asciiTheme="minorHAnsi" w:hAnsiTheme="minorHAnsi"/>
        </w:rPr>
        <w:instrText>ADDIN CSL_CITATION {"citationItems":[{"id":"ITEM-1","itemData":{"DOI":"10.3390/biom5020808","ISSN":"2218273X","abstract":"Iron and oxygen share a delicate partnership since both are indispensable for survival, but if the partnership becomes inadequate, this may rapidly terminate life. Virtually all cell components are directly or indirectly affected by cellular iron metabolism, which represents a complex, redox-based machinery that is controlled by, and essential to, metabolic requirements. Under conditions of increased oxidative stress—i.e., enhanced formation of reactive oxygen species (ROS)—however, this machinery may turn into a potential threat, the continued requirement for iron promoting adverse reactions such as the iron/H2O2-based formation of hydroxyl radicals, which exacerbate the initial pro-oxidant condition. This review will discuss the multifaceted homeodynamics of cellular iron management under normal conditions as well as in the context of oxidative stress","author":[{"dropping-particle":"","family":"Bresgen","given":"Nikolaus","non-dropping-particle":"","parse-names":false,"suffix":""},{"dropping-particle":"","family":"Eckl","given":"Peter M.","non-dropping-particle":"","parse-names":false,"suffix":""}],"container-title":"Biomolecules","id":"ITEM-1","issue":"2","issued":{"date-parts":[["2015"]]},"page":"808-847","title":"Oxidative stress and the homeodynamics of iron metabolism","type":"article","volume":"5"},"uris":["http://www.mendeley.com/documents/?uuid=a09b4f30-db76-4db8-8d74-7dd50572c319"]}],"mendeley":{"formattedCitation":"[12]","plainTextFormattedCitation":"[12]","previouslyFormattedCitation":"(12)"},"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[12]</w:t>
      </w:r>
      <w:r w:rsidRPr="00E63806">
        <w:rPr>
          <w:rFonts w:asciiTheme="minorHAnsi" w:hAnsiTheme="minorHAnsi"/>
        </w:rPr>
        <w:fldChar w:fldCharType="end"/>
      </w:r>
      <w:r w:rsidRPr="00E63806">
        <w:rPr>
          <w:rFonts w:asciiTheme="minorHAnsi" w:hAnsiTheme="minorHAnsi"/>
        </w:rPr>
        <w:t xml:space="preserve">.  Work by Zager and others has indicated both a dose-related and a preparation-dependent association between iron and toxicity, especially with second generation IVIP </w:t>
      </w:r>
      <w:r w:rsidRPr="00E63806">
        <w:rPr>
          <w:rFonts w:asciiTheme="minorHAnsi" w:hAnsiTheme="minorHAnsi"/>
        </w:rPr>
        <w:fldChar w:fldCharType="begin" w:fldLock="1"/>
      </w:r>
      <w:r w:rsidR="00B337AF">
        <w:rPr>
          <w:rFonts w:asciiTheme="minorHAnsi" w:hAnsiTheme="minorHAnsi"/>
        </w:rPr>
        <w:instrText xml:space="preserve">ADDIN CSL_CITATION {"citationItems":[{"id":"ITEM-1","itemData":{"DOI":"10.1111/j.1523-1755.2004.00716.x","ISSN":"00852538","abstract":"Background. Parenteral iron administration is a mainstay of anemia management in renal disease patients. However, concerns of potential iron toxicity persist. Thus, this study was conducted to more fully gauge iron toxicologic profiles and potential determinants thereof. Methods. Isolated mouse proximal tubule segments (PTS) or cultured proximal tubular [human kidney (HK-2)] cells were exposed to four representative iron preparations [iron sucrose (FeS), iron dextran (FeD), iron gluconate (FeG), or iron oligosaccharide (FeOS)] over a broad dosage range (0, 30 to 1000 μg iron/mL). Cell injury was assessed by lactate deyhdrogenase (LDH) release, adenosine triphosphate (ATP) reductions, cell cytochrome c efflux, and/or electron microscopy. In vivo toxicity (after 2 mg intravenous iron injections) was assessed by plasma/renal/cardiac lipid peroxidation [malondialdehyde (MDA)], renal ferritin (protein)/heme oxygenase-1 (HO-1) (mRNA) expression, electron microscopy, or postiron injection PTS susceptibility to attack. Results. In each test, iron evoked in vitro toxicity, but up to 30x differences in severity (e.g., ATP declines) were observed (FeS &gt; FeG &gt; FeD = FeOS). The in vitro differences paralleled degrees of cell (HK-2) iron uptake. In vivo correlates of iron toxicity included variable increases in renal MDA, ferritin, and HO-1 mRNA levels. Again, these changes appeared to parallel in vivo (glomerular) iron uptake (seen with FeS and FeG, but not with FeD or FeOS). Iron also effected in vivo alterations in proximal tubule cell homeostasis, as reflected by the \"downstream\" emergence of tubule resistance to in vitro oxidant attack. Conclusion. Parenteral iron formulations have potent, but highly variable, cytotoxic potentials which appear to parallel degrees of cell iron uptake (FeS &gt; FeG </w:instrText>
      </w:r>
      <w:r w:rsidR="00B337AF">
        <w:rPr>
          <w:rFonts w:ascii="Lucida Sans Unicode" w:hAnsi="Lucida Sans Unicode" w:cs="Lucida Sans Unicode"/>
        </w:rPr>
        <w:instrText>≫</w:instrText>
      </w:r>
      <w:r w:rsidR="00B337AF">
        <w:rPr>
          <w:rFonts w:asciiTheme="minorHAnsi" w:hAnsiTheme="minorHAnsi"/>
        </w:rPr>
        <w:instrText xml:space="preserve"> FeD or FeOS). That in vitro injury can be expressed at clinically relevant iron concentrations, and that in vivo glomerular iron deposition/injury may result, suggest caution is warranted if these agents are to be administered to patients with active renal disease.","author":[{"dropping-particle":"","family":"Zager","given":"Richard A.","non-dropping-particle":"","parse-names":false,"suffix":""},{"dropping-particle":"","family":"Johnson","given":"Ali C.M.","non-dropping-particle":"","parse-names":false,"suffix":""},{"dropping-particle":"","family":"Hanson","given":"Sherry Y.","non-dropping-particle":"","parse-names":false,"suffix":""}],"container-title":"Kidney International","id":"ITEM-1","issue":"1","issued":{"date-parts":[["2004"]]},"page":"144-156","title":"Parenteral iron nephrotoxicity: Potential mechanisms and consequences","type":"article-journal","volume":"66"},"uris":["http://www.mendeley.com/documents/?uuid=7caa2bd4-45c0-444e-bc74-2ae167e708f6"]},{"id":"ITEM-2","itemData":{"DOI":"10.1053/ajkd.2002.33917","ISSN":"02726386","abstract":"Background: Multiple parenteral iron (Fe) formulations exist for administration to patients with end-stage renal disease. Although there are concerns regarding their potential toxicities, no direct in vitro comparisons of these agents exist. Thus, the present study contrasted pro-oxidant and cytotoxic potentials of four available Fe preparations: Fe dextran (Fe dext), Fe sucrose (Fe sucr), Fe gluconate (Fe gluc), and Fe oligosaccharide (Fe OS). Methods: Differing dosages (0.06 to 1 mg/mL) of each compound were added to either (1) isolated mouse proximal tubule segments, (2) renal cortical homogenates, or (3) cultured human proximal tubule (HK-2) cells (0.5- to 72-hour incubations). Oxidant injury (malondialdehyde generation) and lethal cell injury (percentage of lactate dehydrogenase release; tetrazolium dye uptake) were assessed. Effects of selected antioxidants (glutathione [GSH], catalase, dimethylthiourea (DMTU), and sodium benzoate also were assessed. Results: Each test agent induced massive and similar degrees of lipid peroxidation. Nevertheless, marked differences in cell death resulted (Fe sucr &gt; &gt; Fe gluc &gt; Fe dext </w:instrText>
      </w:r>
      <w:r w:rsidR="00B337AF">
        <w:rPr>
          <w:rFonts w:ascii="Monaco" w:hAnsi="Monaco" w:cs="Monaco"/>
        </w:rPr>
        <w:instrText>≃</w:instrText>
      </w:r>
      <w:r w:rsidR="00B337AF">
        <w:rPr>
          <w:rFonts w:asciiTheme="minorHAnsi" w:hAnsiTheme="minorHAnsi"/>
        </w:rPr>
        <w:instrText xml:space="preserve"> Fe OS). This relative toxicity profile also was observed in cultured aortic endothelial cells. Catalase, DMTU, and sodium benzoate conferred no protection. However, GSH and its constituent amino acid glycine blocked Fe sucr-mediated cell death. The latter was mediated by mitochondrial blockade, causing free radical generation and a severe adenosine triphosphate depletion state. Conclusions: (1) parenteral Fes are highly potent prooxidants and capable of inducing tubular and endothelial cell death, (2) markedly different toxicity profiles exist among these agents, and (3) GSH can exert protective effects. However, the latter stems from GSH's glycine content, rather than from a direct antioxidant effect. © 2002 by the National Kidney Foundation, Inc.","author":[{"dropping-particle":"","family":"Zager","given":"Richard A.","non-dropping-particle":"","parse-names":false,"suffix":""},{"dropping-particle":"","family":"Johnson","given":"Ali C.M.","non-dropping-particle":"","parse-names":false,"suffix":""},{"dropping-particle":"","family":"Hanson","given":"Sherry Y.","non-dropping-particle":"","parse-names":false,"suffix":""},{"dropping-particle":"","family":"Wasse","given":"Haimanot","non-dropping-particle":"","parse-names":false,"suffix":""}],"container-title":"American Journal of Kidney Diseases","id":"ITEM-2","issue":"1","issued":{"date-parts":[["2002"]]},"page":"90-103","title":"Parenteral iron formulations: A comparative toxicologic analysis and mechanisms of cell injury","type":"article-journal","volume":"40"},"uris":["http://www.mendeley.com/documents/?uuid=96225e25-cff5-4015-88ce-69603d1a729f"]},{"id":"ITEM-3","itemData":{"DOI":"10.1152/ajprenal.00248.2010","ISSN":"03636127","abstract":"Despite their prooxidant effects, ferric iron compounds are routinely administered to patients with renal disease to correct Fe deficiency. This study assessed relative degrees to which three clinically employed Fe formulations [Fe sucrose (FeS); Fe gluconate (FeG); ferumoxytol (FMX)] impact renal redox- sensitive signaling, cytotoxicity, and responses to superimposed stress [endotoxin; glycerol-induced acute renal failure (ARF)]. Cultured human proximal tubule (HK-2) cells, isolated proximal tubule segments (PTS), or mice were exposed to variable, but equal, amounts of FeS, FeG, or FMX. Oxidant-stimulated signaling was assessed by heme oxygenase-1 (HO-1) or monocyte chemoattractant protein (MCP)-1 mRNA induction. Cell injury was gauged by MTT assay (HK-2 cells), %LDH release (PTS), or renal cortical neutrophil gelatinase-associated lipoprotein (NGAL) protein/mRNA levels. Endotoxin sensitivity and ARF severity were assessed by TNF-α and blood urea nitrogen concentrations, respectively. FeS and FeG induced lethal cell injury (in HK-2 cells, PTS), increased HO-1 and MCP-1 mRNAs (HK-2 cells; in vivo), and markedly raised plasma (</w:instrText>
      </w:r>
      <w:r w:rsidR="00B337AF">
        <w:rPr>
          <w:rFonts w:ascii="Monaco" w:hAnsi="Monaco" w:cs="Monaco"/>
        </w:rPr>
        <w:instrText>∼</w:instrText>
      </w:r>
      <w:r w:rsidR="00B337AF">
        <w:rPr>
          <w:rFonts w:asciiTheme="minorHAnsi" w:hAnsiTheme="minorHAnsi"/>
        </w:rPr>
        <w:instrText>10 times), and renal cortical (</w:instrText>
      </w:r>
      <w:r w:rsidR="00B337AF">
        <w:rPr>
          <w:rFonts w:ascii="Monaco" w:hAnsi="Monaco" w:cs="Monaco"/>
        </w:rPr>
        <w:instrText>∼</w:instrText>
      </w:r>
      <w:r w:rsidR="00B337AF">
        <w:rPr>
          <w:rFonts w:asciiTheme="minorHAnsi" w:hAnsiTheme="minorHAnsi"/>
        </w:rPr>
        <w:instrText>3 times) NGAL protein levels. Both renal and extrarenal (e.g., hepatic) NGAL production likely contributed to these results, based on assessments of tissue and HK-2 cell NGAL mRNA. FeS pretreatment exacerbated endotoxemia. However, it conferred marked protection against the glycerol model of ARF (halving azotemia). FMX appeared to be \"bioneutral,\" as it exerted none of the above noted FeS/FeG effects. We conclude that 1) parenteral iron formulations that stimulate redox signaling can evoke cyto/nephrotoxicity; 2) secondary adaptive responses to this injury (e.g., HO-1/NGAL induction) can initiate a renal tubular cytoresistant state; this suggests a potential new clinical application for intravenous Fe therapy; and 3) FMX is bioneutral regarding these responses. The clinical implication(s) of the latter, vis a vis the treatment of Fe deficiency in renal disease patients, remains to be defined. Copyright © 2010 the American Physiological Society.","author":[{"dropping-particle":"","family":"Johnson","given":"Ali C.M.","non-dropping-particle":"","parse-names":false,"suffix":""},{"dropping-particle":"","family":"Becker","given":"Kirsten","non-dropping-particle":"","parse-names":false,"suffix":""},{"dropping-particle":"","family":"Zager","given":"Richard A.","non-dropping-particle":"","parse-names":false,"suffix":""}],"container-title":"American Journal of Physiology - Renal Physiology","id":"ITEM-3","issue":"2","issued":{"date-parts":[["2010"]]},"title":"Parenteral iron formulations differentially affect MCP-1, HO-1, and NGAL gene expression and renal responses to injury","type":"article-journal","volume":"299"},"uris":["http://www.mendeley.com/documents/?uuid=17ea9ae6-8c71-4bb6-9cf5-4b622c411050"]}],"mendeley":{"formattedCitation":"[8,13,14]","plainTextFormattedCitation":"[8,13,14]","previouslyFormattedCitation":"(8,13,14)"},"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[8,13,14]</w:t>
      </w:r>
      <w:r w:rsidRPr="00E63806">
        <w:rPr>
          <w:rFonts w:asciiTheme="minorHAnsi" w:hAnsiTheme="minorHAnsi"/>
        </w:rPr>
        <w:fldChar w:fldCharType="end"/>
      </w:r>
      <w:r w:rsidRPr="00E63806">
        <w:rPr>
          <w:rFonts w:asciiTheme="minorHAnsi" w:hAnsiTheme="minorHAnsi"/>
        </w:rPr>
        <w:t xml:space="preserve">. The amount of LPI released is related to the structural stability of the iron-carbohydrate complex; third generation IV irons represent more tightly bound compounds than second generation products </w:t>
      </w:r>
      <w:r w:rsidRPr="00E63806">
        <w:rPr>
          <w:rFonts w:asciiTheme="minorHAnsi" w:hAnsiTheme="minorHAnsi"/>
        </w:rPr>
        <w:fldChar w:fldCharType="begin" w:fldLock="1"/>
      </w:r>
      <w:r w:rsidR="00B337AF">
        <w:rPr>
          <w:rFonts w:asciiTheme="minorHAnsi" w:hAnsiTheme="minorHAnsi"/>
        </w:rPr>
        <w:instrText>ADDIN CSL_CITATION {"citationItems":[{"id":"ITEM-1","itemData":{"DOI":"10.1016/j.ejpb.2011.03.016","ISSN":"09396411","abstract":"The treatment of iron deficiency anemia with polynuclear iron formulations is an established therapy in patients with chronic kidney disease but also in other disease areas like gastroenterology, cardiology, oncology, pre/post operatively and obstetrics' and gynecology. Parenteral iron formulations represent colloidal systems in the lower nanometer size range which have traditionally been shown to consist of an iron core surrounded by a carbohydrate shell. In this publication, we for the first time describe the novel matrix structure of iron isomaltoside 1000 which differs from the traditional picture of an iron core surrounded by a carbohydrate. Despite some structural similarities between the different iron formulations, the products differ significantly in their physicochemical properties such as particle size, zeta potential, free and labile iron content, and release of iron in serum. This study compares the physiochemical properties of iron isomaltoside 1000 (Monofer®) with the currently available intravenous iron preparations and relates them to their biopharmaceutical properties and their approved clinical applications. The investigated products encompass low molecular weight iron dextran (CosmoFer®), sodium ferric gluconate (Ferrlecit®), iron sucrose (Venofer®), iron carboxymaltose (Ferinject®/Injectafer®), and ferumoxytol (Feraheme®) which are compared to iron isomaltoside 1000 (Monofer®). It is shown that significant and clinically relevant differences exist between sodium ferric gluconate and iron sucrose as labile iron formulations and iron dextran, iron carboxymaltose, ferumoxytol, and iron isomaltoside 1000 as stable polynuclear formulations. The differences exist in terms of their immunogenic potential, safety, and convenience of use, the latter being expressed by the opportunity for high single-dose administration and short infusion times. Monofer is a new parenteral iron product with a very low immunogenic potential and a very low content of labile and free iron. This enables Monofer, as the only IV iron formulation, to be administered as a rapid high dose infusion in doses exceeding 1000 mg without the application of a test dose. This offers considerable dose flexibility, including the possibility of providing full iron repletion in a single infusion (one-dose iron repletion). © 2011 Elsevier B.V. All rights reserved.","author":[{"dropping-particle":"","family":"Jahn","given":"Markus R.","non-dropping-particle":"","parse-names":false,"suffix":""},{"dropping-particle":"","family":"Andreasen","given":"Hans B.","non-dropping-particle":"","parse-names":false,"suffix":""},{"dropping-particle":"","family":"Fütterer","given":"Sören","non-dropping-particle":"","parse-names":false,"suffix":""},{"dropping-particle":"","family":"Nawroth","given":"Thomas","non-dropping-particle":"","parse-names":false,"suffix":""},{"dropping-particle":"","family":"Schünemann","given":"Volker","non-dropping-particle":"","parse-names":false,"suffix":""},{"dropping-particle":"","family":"Kolb","given":"Ute","non-dropping-particle":"","parse-names":false,"suffix":""},{"dropping-particle":"","family":"Hofmeister","given":"Wolfgang","non-dropping-particle":"","parse-names":false,"suffix":""},{"dropping-particle":"","family":"Muñoz","given":"Manuel","non-dropping-particle":"","parse-names":false,"suffix":""},{"dropping-particle":"","family":"Bock","given":"Klaus","non-dropping-particle":"","parse-names":false,"suffix":""},{"dropping-particle":"","family":"Meldal","given":"Morten","non-dropping-particle":"","parse-names":false,"suffix":""},{"dropping-particle":"","family":"Langguth","given":"Peter","non-dropping-particle":"","parse-names":false,"suffix":""}],"container-title":"European Journal of Pharmaceutics and Biopharmaceutics","id":"ITEM-1","issue":"3","issued":{"date-parts":[["2011"]]},"page":"480-491","publisher":"Elsevier","title":"A comparative study of the physicochemical properties of iron isomaltoside 1000 (Monofer®), a new intravenous iron preparation and its clinical implications","type":"article-journal","volume":"78"},"uris":["http://www.mendeley.com/documents/?uuid=33023856-936f-433e-8f44-cccb1bc70043"]}],"mendeley":{"formattedCitation":"[15]","plainTextFormattedCitation":"[15]","previouslyFormattedCitation":"(15)"},"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[15]</w:t>
      </w:r>
      <w:r w:rsidRPr="00E63806">
        <w:rPr>
          <w:rFonts w:asciiTheme="minorHAnsi" w:hAnsiTheme="minorHAnsi"/>
        </w:rPr>
        <w:fldChar w:fldCharType="end"/>
      </w:r>
      <w:r w:rsidRPr="00E63806">
        <w:rPr>
          <w:rFonts w:asciiTheme="minorHAnsi" w:hAnsiTheme="minorHAnsi"/>
        </w:rPr>
        <w:t xml:space="preserve">. This may explain why less stable IVIP (e.g. IS) are linked to endothelial and renal dysfunction and inflammation </w:t>
      </w:r>
      <w:r w:rsidRPr="00E63806">
        <w:rPr>
          <w:rFonts w:asciiTheme="minorHAnsi" w:hAnsiTheme="minorHAnsi"/>
        </w:rPr>
        <w:fldChar w:fldCharType="begin" w:fldLock="1"/>
      </w:r>
      <w:r w:rsidR="00B337AF">
        <w:rPr>
          <w:rFonts w:asciiTheme="minorHAnsi" w:hAnsiTheme="minorHAnsi"/>
        </w:rPr>
        <w:instrText>ADDIN CSL_CITATION {"citationItems":[{"id":"ITEM-1","itemData":{"DOI":"10.1038/sj.ki.5000046","ISSN":"00852538","abstract":"Intravenous iron is commonly used in conjunction with erythropoietic agents to treat anemia in patients with chronic kidney disease. Iron has been proposed to promote oxidative stress and endothelial dysfunction in vascular tissues. We studied the acute effects of intravenous iron sucrose on homocysteine-induced endothelial dysfunction in the brachial artery of normal human subjects. In all, 40 healthy subjects received intravenous iron sucrose 100 mg or placebo over 30 min immediately before ingestion of 100 mg/kg of oral methionine in a double-blind, randomized study. Flow- and nitroglycerin-mediated dilation in the brachial artery, serum markers of iron stores, and homocysteine and nitrotyrosine levels were measured before and after study drug administration. Intravenous iron significantly increased transferrin saturation and non-transferrin-bound iron (NTBI) when compared with placebo. Flow-mediated dilation significantly decreased from baseline 1 h after administration of iron sucrose when compared with placebo (from 6.66 ± 0.47 to 1.93 ± 0.35% after iron sucrose vs from 6.00 ± 0.40 to 5.61 ± 0.46% after placebo, P &lt; 0.001), but did not differ between groups at 4 h (1.10 ± 0.39 vs 1.33 ± 0.51%). Nitroglycerin-mediated vasodilation, and homocysteine and 3-nitrotyrosine levels did not differ after administration of iron sucrose and placebo. Intravenous administration of iron sucrose in the setting of transient hyperhomocysteinemia induced by methionine ingestion significantly increased transferrin saturation and plasma levels of NTBI and significantly attenuated flow-mediated dilation in the brachial artery when compared with placebo. This potential mechanistic link between intravenous iron and endothelial dysfunction warrants further study of cardiovascular effects of intravenous iron in anemic chronic kidney disease populations. © 2006 International Society of Nephrology.","author":[{"dropping-particle":"","family":"Zheng","given":"H.","non-dropping-particle":"","parse-names":false,"suffix":""},{"dropping-particle":"","family":"Huang","given":"X.","non-dropping-particle":"","parse-names":false,"suffix":""},{"dropping-particle":"","family":"Zhang","given":"Q.","non-dropping-particle":"","parse-names":false,"suffix":""},{"dropping-particle":"","family":"Katz","given":"S. D.","non-dropping-particle":"","parse-names":false,"suffix":""}],"container-title":"Kidney International","id":"ITEM-1","issue":"4","issued":{"date-parts":[["2006"]]},"page":"679-684","title":"Iron sucrose augments homocysteine-induced endothelial dysfunction in normal subjects","type":"article-journal","volume":"69"},"uris":["http://www.mendeley.com/documents/?uuid=4c113774-d174-4964-9236-1210be0854a8"]},{"id":"ITEM-2","itemData":{"DOI":"10.1681/ASN.2013080838","ISSN":"15333450","abstract":"High-dose intravenous iron supplementation is associated with adverse cardiovascular outcomes in patients with CKD, but the underlying mechanism is unknown. Our study investigated the causative role of iron sucrose in leukocyte-endothelium interactions, an index of early atherogenesis, and subsequent atherosclerosis in the mouse remnant kidney model. We found that expression levels of intracellular cell adhesionmolecule-1 (ICAM-1) and vascular cell adhesion molecule-1 (VCAM-1) and adhesion of U937 cells increased in iron-treated human aortic endothelial cells through upregulated NADPH oxidase (NOx) and NF-κB signaling. We then measured mononuclear -endothelial adhesion and atherosclerotic lesions of the proximal aorta inmale C57BL/6 mice with subtotal nephrectomy, male apolipoprotein E-deficient (ApoE-/-) mice with uninephrectomy, and sham-operated mice subjected to saline or parenteral iron loading. Iron sucrose significantly increased tissue superoxide production, expression of tissue cell adhesion molecules, and endothelial adhesiveness in mice with subtotal nephrectomy. Moreover, iron sucrose exacerbated atherosclerosis in the aorta of ApoE-/- mice with uninephrectomy. In patients with CKD, intravenous iron sucrose increased circulating mononuclear superoxide production, expression of soluble adhesion molecules, and mononuclear-endothelial adhesion compared with healthy subjects or untreated patients. In summary, iron sucrose aggravated endothelial dysfunction through NOx/NF-κB/CAM signaling, increased mononuclear-endothelial adhesion, and exacerbated atherosclerosis in mice with remnant kidneys. These results suggest a novel causative role for therapeutic iron in cardiovascular complications in patients with CKD.","author":[{"dropping-particle":"","family":"Kuo","given":"Ko Lin","non-dropping-particle":"","parse-names":false,"suffix":""},{"dropping-particle":"","family":"Hung","given":"Szu Chun","non-dropping-particle":"","parse-names":false,"suffix":""},{"dropping-particle":"","family":"Lee","given":"Tzong Shyuan","non-dropping-particle":"","parse-names":false,"suffix":""},{"dropping-particle":"","family":"Tarng","given":"Der Cherng","non-dropping-particle":"","parse-names":false,"suffix":""}],"container-title":"Journal of the American Society of Nephrology","id":"ITEM-2","issue":"11","issued":{"date-parts":[["2014"]]},"page":"2596-2606","title":"Iron sucrose accelerates early atherogenesis by increasing superoxide production and upregulating adhesion molecules in CKD","type":"article-journal","volume":"25"},"uris":["http://www.mendeley.com/documents/?uuid=e978d649-d56a-491f-92a9-b2fdc0193d90"]},{"id":"ITEM-3","itemData":{"DOI":"10.1038/sj.ki.5002422","ISSN":"00852538","PMID":"17622274","abstract":"Non-dextran intravenous (i.v.) iron preparations seem to differentially affect proteinuria in patients with chronic kidney disease. To study effects of ferric gluconate and iron sucrose on proteinuria, we conducted a crossover trial in 12 patients with stage 3-4 chronic kidney disease. These patients were randomized to receive the same dose of either drug 1 week apart. Urine samples were obtained immediately before and at frequent intervals after the drug. The urine total protein/creatinine ratio was significantly greater after iron sucrose than ferric gluconate treatment with the effect noted within 15 min post-infusion. Furthermore, when iron sucrose was given first, a significantly greater protein/creatinine ratio was seen subsequently with ferric gluconate than with the reverse order of treatment. The urine albumin/creatinine ratio was also significantly greater with iron sucrose than with ferric gluconate. There was no significant difference, however, between the two i.v. irons in the measured urine N-acetyl-β-D-glucosaminidase/creatinine ratio. Although our study showed that acutely, iron sucrose increased proteinuria, the long-term effects of repeated i.v. non-dextran iron on kidney function requires further study. © 2007 International Society of Nephrology.","author":[{"dropping-particle":"","family":"Agarwal","given":"R.","non-dropping-particle":"","parse-names":false,"suffix":""},{"dropping-particle":"","family":"Rizkala","given":"A. R.","non-dropping-particle":"","parse-names":false,"suffix":""},{"dropping-particle":"","family":"Kaskas","given":"M. O.","non-dropping-particle":"","parse-names":false,"suffix":""},{"dropping-particle":"","family":"Minasian","given":"R.","non-dropping-particle":"","parse-names":false,"suffix":""},{"dropping-particle":"","family":"Trout","given":"J. R.","non-dropping-particle":"","parse-names":false,"suffix":""}],"container-title":"Kidney International","id":"ITEM-3","issue":"5","issued":{"date-parts":[["2007"]]},"page":"638-642","title":"Iron sucrose causes greater proteinuria than ferric gluconate in non-dialysis chronic kidney disease","type":"article-journal","volume":"72"},"uris":["http://www.mendeley.com/documents/?uuid=e3d3019b-9412-4ac1-9e57-ac066d961336"]}],"mendeley":{"formattedCitation":"[16–18]","plainTextFormattedCitation":"[16–18]","previouslyFormattedCitation":"(16–18)"},"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[16–18]</w:t>
      </w:r>
      <w:r w:rsidRPr="00E63806">
        <w:rPr>
          <w:rFonts w:asciiTheme="minorHAnsi" w:hAnsiTheme="minorHAnsi"/>
        </w:rPr>
        <w:fldChar w:fldCharType="end"/>
      </w:r>
      <w:r w:rsidRPr="00E63806">
        <w:rPr>
          <w:rFonts w:asciiTheme="minorHAnsi" w:hAnsiTheme="minorHAnsi"/>
        </w:rPr>
        <w:t>.</w:t>
      </w:r>
    </w:p>
    <w:p w14:paraId="292DE28C" w14:textId="77777777"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This explorative study was designed to primarily assess the effect of different IV iron compounds and dosages on oxidative stress and inflammation, in patients with non-dialysis dependent CKD and absolute or functional iron deficiency.</w:t>
      </w:r>
    </w:p>
    <w:p w14:paraId="6058E688" w14:textId="77777777" w:rsidR="00FC4FDF" w:rsidRPr="00E63806" w:rsidRDefault="00FC4FDF" w:rsidP="00DF7604">
      <w:pPr>
        <w:pStyle w:val="Body"/>
        <w:spacing w:line="480" w:lineRule="auto"/>
        <w:jc w:val="both"/>
        <w:rPr>
          <w:rFonts w:asciiTheme="minorHAnsi" w:hAnsiTheme="minorHAnsi"/>
        </w:rPr>
      </w:pPr>
    </w:p>
    <w:p w14:paraId="4D90C8CC" w14:textId="77777777"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lastRenderedPageBreak/>
        <w:t xml:space="preserve">Secondarily, IV iron treatment effects on hematinic profile and hemoglobin concentration, arterial stiffness, endothelial function, quality of life, and safety outcomes were investigated. We hypothesized that treatment with IV irons would primarily lead to variable effects on biomarkers of inflammation and oxidative stress and secondarily may result in differences in efficacy markers. </w:t>
      </w:r>
    </w:p>
    <w:p w14:paraId="46740856" w14:textId="77777777" w:rsidR="00FC4FDF" w:rsidRPr="00E63806" w:rsidRDefault="00FC4FDF" w:rsidP="00DF7604">
      <w:pPr>
        <w:pStyle w:val="Body"/>
        <w:spacing w:line="480" w:lineRule="auto"/>
        <w:jc w:val="both"/>
        <w:rPr>
          <w:rFonts w:asciiTheme="minorHAnsi" w:hAnsiTheme="minorHAnsi"/>
        </w:rPr>
      </w:pPr>
    </w:p>
    <w:p w14:paraId="6C7096FE" w14:textId="77777777" w:rsidR="00FC4FDF" w:rsidRPr="00E63806" w:rsidRDefault="00FC4FDF" w:rsidP="00DF7604">
      <w:pPr>
        <w:pStyle w:val="Body"/>
        <w:pageBreakBefore/>
        <w:spacing w:line="480" w:lineRule="auto"/>
        <w:jc w:val="both"/>
        <w:rPr>
          <w:rFonts w:asciiTheme="minorHAnsi" w:hAnsiTheme="minorHAnsi"/>
          <w:b/>
          <w:bCs/>
          <w:u w:val="single"/>
        </w:rPr>
      </w:pPr>
      <w:r w:rsidRPr="00E63806">
        <w:rPr>
          <w:rFonts w:asciiTheme="minorHAnsi" w:hAnsiTheme="minorHAnsi"/>
          <w:b/>
          <w:bCs/>
          <w:u w:val="single"/>
        </w:rPr>
        <w:lastRenderedPageBreak/>
        <w:t>Methods</w:t>
      </w:r>
    </w:p>
    <w:p w14:paraId="365D809D" w14:textId="77777777" w:rsidR="00FC4FDF" w:rsidRPr="00E63806" w:rsidRDefault="00FC4FDF" w:rsidP="00DF7604">
      <w:pPr>
        <w:pStyle w:val="Body"/>
        <w:spacing w:line="480" w:lineRule="auto"/>
        <w:jc w:val="both"/>
        <w:rPr>
          <w:rFonts w:asciiTheme="minorHAnsi" w:hAnsiTheme="minorHAnsi"/>
          <w:b/>
        </w:rPr>
      </w:pPr>
      <w:r w:rsidRPr="00E63806">
        <w:rPr>
          <w:rFonts w:asciiTheme="minorHAnsi" w:hAnsiTheme="minorHAnsi"/>
          <w:b/>
        </w:rPr>
        <w:t>Study design and population</w:t>
      </w:r>
    </w:p>
    <w:p w14:paraId="3C1BE811" w14:textId="5CA6F880" w:rsidR="00FC4FDF" w:rsidRPr="00E63806" w:rsidRDefault="00DF7604" w:rsidP="00DF7604">
      <w:pPr>
        <w:pStyle w:val="Body"/>
        <w:spacing w:line="480" w:lineRule="auto"/>
        <w:jc w:val="both"/>
        <w:rPr>
          <w:rFonts w:asciiTheme="minorHAnsi" w:hAnsiTheme="minorHAnsi"/>
        </w:rPr>
      </w:pPr>
      <w:r>
        <w:rPr>
          <w:rFonts w:asciiTheme="minorHAnsi" w:hAnsiTheme="minorHAnsi"/>
        </w:rPr>
        <w:t>This was an open-</w:t>
      </w:r>
      <w:r w:rsidR="00E63806">
        <w:rPr>
          <w:rFonts w:asciiTheme="minorHAnsi" w:hAnsiTheme="minorHAnsi"/>
        </w:rPr>
        <w:t xml:space="preserve">label </w:t>
      </w:r>
      <w:r w:rsidR="00FC4FDF" w:rsidRPr="00E63806">
        <w:rPr>
          <w:rFonts w:asciiTheme="minorHAnsi" w:hAnsiTheme="minorHAnsi"/>
        </w:rPr>
        <w:t xml:space="preserve">single-center prospective randomized explorative study. The study was carried out in accordance with Good Clinical Practice guidelines, the Declaration of Helsinki, and received ethical approval 10/H1306/40 (NRES Committee Yorkshire &amp; Humber - Leeds East, UK). </w:t>
      </w:r>
    </w:p>
    <w:p w14:paraId="15A2B6A2" w14:textId="126D1796" w:rsidR="00FC4FDF" w:rsidRPr="00E63806" w:rsidRDefault="00FC4FDF" w:rsidP="00DF7604">
      <w:pPr>
        <w:pStyle w:val="Body"/>
        <w:spacing w:line="480" w:lineRule="auto"/>
        <w:jc w:val="both"/>
        <w:rPr>
          <w:rFonts w:asciiTheme="minorHAnsi" w:hAnsiTheme="minorHAnsi"/>
        </w:rPr>
      </w:pPr>
      <w:r w:rsidRPr="00E63806">
        <w:rPr>
          <w:rFonts w:asciiTheme="minorHAnsi" w:eastAsia="Arial" w:hAnsiTheme="minorHAnsi"/>
        </w:rPr>
        <w:t xml:space="preserve">The study enrolled </w:t>
      </w:r>
      <w:r w:rsidRPr="00E63806">
        <w:rPr>
          <w:rFonts w:asciiTheme="minorHAnsi" w:hAnsiTheme="minorHAnsi"/>
        </w:rPr>
        <w:t>patients with CKD stages 3-5 (eGFR &lt;60 ml/min/1.73 m</w:t>
      </w:r>
      <w:r w:rsidRPr="00E63806">
        <w:rPr>
          <w:rFonts w:asciiTheme="minorHAnsi" w:hAnsiTheme="minorHAnsi"/>
          <w:vertAlign w:val="superscript"/>
        </w:rPr>
        <w:t>2</w:t>
      </w:r>
      <w:r w:rsidRPr="00E63806">
        <w:rPr>
          <w:rFonts w:asciiTheme="minorHAnsi" w:hAnsiTheme="minorHAnsi"/>
        </w:rPr>
        <w:t xml:space="preserve">) with a serum ferritin (SF) level less than 200 microg/L and/or a transferrin saturation (TSAT) of &lt;20% following informed consent. Further information on the inclusion and exclusion criteria and methodology can be found in the published protocol (Supplementary Table 1) </w:t>
      </w:r>
      <w:r w:rsidRPr="00E63806">
        <w:rPr>
          <w:rFonts w:asciiTheme="minorHAnsi" w:hAnsiTheme="minorHAnsi"/>
        </w:rPr>
        <w:fldChar w:fldCharType="begin" w:fldLock="1"/>
      </w:r>
      <w:r w:rsidR="00B337AF">
        <w:rPr>
          <w:rFonts w:asciiTheme="minorHAnsi" w:hAnsiTheme="minorHAnsi"/>
        </w:rPr>
        <w:instrText>ADDIN CSL_CITATION {"citationItems":[{"id":"ITEM-1","itemData":{"DOI":"10.1186/s13063-019-3291-x","ISSN":"17456215","abstract":"Background: Intravenous (IV) iron is frequently used to treat iron deficiency/anemia in patients who are unable to tolerate oral iron or the oral iron is not sufficient toreplete iron requirements. However, safety concerns regarding the potential increase in oxidative stress and other adverse effects persist and it remains unclear whether all iron preparations are equivalent. Indeed, the comparative risk of adverse events with IV iron preparations has not been extensively assessed. We hypothesize that IV iron leads to changes in oxidative stress, endothelial function, and potential renal damage depending on the iron formulation (related to the generation of \"free\" or catalytic labile iron) and this may result in more tubular and glomerular injury manifested as increased proteinuria and raised neutrophil gelatinase-associated lipocalin (NGAL) levels in patients with chronic kidney disease (CKD). Methods: IRON-CKD is a prospective, open-label, explorative, randomized, single-center study designed to compare the safety and efficacy of three parenteral iron preparations: low-molecular-weight iron dextran-Cosmofer, iron sucrose-Venofer, and iron isomaltoside-Monofer. The study includes 40 adults who have established CKD stages 3-5 and serum ferritin (SF) of less than 200 μg/L or transferrin saturation (TS) of less than 20% (or both); they were randomly assigned in a 1:1:1:1 ratio to 200 mg iron dextran, 200 mg iron sucrose, 200 mg iron isomaltoside, or 1000 mg iron isomaltoside. After randomization, participants undergo baseline assessments and then an iron infusion. Each participant is followed up at 2 h, day 1, week 1, and months 1 and 3. At each follow-up visit, patients undergo clinical review, measurement of pulse wave velocity (PWV), blood tests for renal function, and collection of serum/plasma samples for oxidative stress and inflammatory markers. The primary outcomes are measures of oxidative stress, inflammatory markers, and markers of acute renal injury in comparison with baseline measures of each iron preparation and between each of the iron preparations. Secondary objectives include effects on hematinic profiles and hemoglobin concentrations, changes in arterial stiffness, incidence of significant side effects, and change in patients' quality of life. Results: Between October 2015 and April 2018, 521 individuals were identified as potential participants; 216 were contacted, 56 expressed an interest, 49 attended a screening visit, and 40 were con…","author":[{"dropping-particle":"","family":"Ziedan","given":"Ahmed","non-dropping-particle":"","parse-names":false,"suffix":""},{"dropping-particle":"","family":"Bhandari","given":"Sunil","non-dropping-particle":"","parse-names":false,"suffix":""}],"container-title":"Trials","id":"ITEM-1","issue":"1","issued":{"date-parts":[["2019"]]},"page":"194","title":"Protocol and baseline data for a prospective open-label explorative randomized single-center comparative study to determine the effects of various intravenous iron preparations on markers of oxidative stress and kidney injury in chronic kidney disease (IR","type":"article-journal","volume":"20"},"uris":["http://www.mendeley.com/documents/?uuid=ee2e60cd-f8f4-4fa2-b9ed-fe1a4fcab38b"]}],"mendeley":{"formattedCitation":"[19]","plainTextFormattedCitation":"[19]","previouslyFormattedCitation":"(19)"},"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[19]</w:t>
      </w:r>
      <w:r w:rsidRPr="00E63806">
        <w:rPr>
          <w:rFonts w:asciiTheme="minorHAnsi" w:hAnsiTheme="minorHAnsi"/>
        </w:rPr>
        <w:fldChar w:fldCharType="end"/>
      </w:r>
      <w:r w:rsidRPr="00E63806">
        <w:rPr>
          <w:rFonts w:asciiTheme="minorHAnsi" w:hAnsiTheme="minorHAnsi"/>
        </w:rPr>
        <w:t xml:space="preserve">. </w:t>
      </w:r>
    </w:p>
    <w:p w14:paraId="1E453241" w14:textId="0B1B11B4"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Patients were recruited and randomly allocated in a 1:1:1:1 ratio to receive a single infusion of IS 200 mg (Venofer</w:t>
      </w:r>
      <w:r w:rsidRPr="00E63806">
        <w:rPr>
          <w:rFonts w:asciiTheme="minorHAnsi" w:hAnsiTheme="minorHAnsi"/>
          <w:vertAlign w:val="superscript"/>
        </w:rPr>
        <w:t>®</w:t>
      </w:r>
      <w:r w:rsidRPr="00E63806">
        <w:rPr>
          <w:rFonts w:asciiTheme="minorHAnsi" w:hAnsiTheme="minorHAnsi"/>
        </w:rPr>
        <w:t>, Vifor Pharma, France), ID 200 mg (Cosmofer</w:t>
      </w:r>
      <w:r w:rsidRPr="00E63806">
        <w:rPr>
          <w:rFonts w:asciiTheme="minorHAnsi" w:hAnsiTheme="minorHAnsi"/>
          <w:vertAlign w:val="superscript"/>
        </w:rPr>
        <w:t>®</w:t>
      </w:r>
      <w:r w:rsidRPr="00E63806">
        <w:rPr>
          <w:rFonts w:asciiTheme="minorHAnsi" w:hAnsiTheme="minorHAnsi"/>
        </w:rPr>
        <w:t>, Pharmacosmos A/S, Denmark) and FDI 200 mg or 1000 mg (Monofer</w:t>
      </w:r>
      <w:r w:rsidRPr="00E63806">
        <w:rPr>
          <w:rFonts w:asciiTheme="minorHAnsi" w:hAnsiTheme="minorHAnsi"/>
          <w:vertAlign w:val="superscript"/>
        </w:rPr>
        <w:t>®</w:t>
      </w:r>
      <w:r w:rsidRPr="00E63806">
        <w:rPr>
          <w:rFonts w:asciiTheme="minorHAnsi" w:hAnsiTheme="minorHAnsi"/>
        </w:rPr>
        <w:t xml:space="preserve">, Pharmacosmos A/S, </w:t>
      </w:r>
      <w:r w:rsidRPr="00D00099">
        <w:rPr>
          <w:rFonts w:asciiTheme="minorHAnsi" w:hAnsiTheme="minorHAnsi"/>
          <w:color w:val="auto"/>
        </w:rPr>
        <w:t>Denmark)</w:t>
      </w:r>
      <w:r w:rsidR="000B501D" w:rsidRPr="00D00099">
        <w:rPr>
          <w:rFonts w:asciiTheme="minorHAnsi" w:hAnsiTheme="minorHAnsi"/>
          <w:color w:val="auto"/>
        </w:rPr>
        <w:t xml:space="preserve"> as per summary product characteristics and standard practice in our institution</w:t>
      </w:r>
      <w:r w:rsidRPr="00D00099">
        <w:rPr>
          <w:rFonts w:asciiTheme="minorHAnsi" w:hAnsiTheme="minorHAnsi"/>
          <w:color w:val="auto"/>
        </w:rPr>
        <w:t xml:space="preserve">. They </w:t>
      </w:r>
      <w:r w:rsidRPr="00E63806">
        <w:rPr>
          <w:rFonts w:asciiTheme="minorHAnsi" w:hAnsiTheme="minorHAnsi"/>
        </w:rPr>
        <w:t xml:space="preserve">were followed up at 2 hours, 1 day, 1 week, and 1 and 3 months after infusion (Supplementary Table 2). </w:t>
      </w:r>
    </w:p>
    <w:p w14:paraId="5FA5B370" w14:textId="77777777"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b/>
        </w:rPr>
        <w:t>Investigations</w:t>
      </w:r>
    </w:p>
    <w:p w14:paraId="72E1C8FE" w14:textId="77777777"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b/>
          <w:i/>
          <w:iCs/>
        </w:rPr>
        <w:t>Oxidative stress, LPI and inflammatory markers</w:t>
      </w:r>
      <w:r w:rsidRPr="00E63806">
        <w:rPr>
          <w:rFonts w:asciiTheme="minorHAnsi" w:hAnsiTheme="minorHAnsi"/>
        </w:rPr>
        <w:tab/>
      </w:r>
      <w:r w:rsidRPr="00E63806">
        <w:rPr>
          <w:rFonts w:asciiTheme="minorHAnsi" w:hAnsiTheme="minorHAnsi"/>
        </w:rPr>
        <w:br/>
        <w:t>Thiobarbituric acid reactive substances (TBARS) were measured as a by-product of lipid peroxidation and a surrogate marker of reactive oxygen species generation. The FerOS</w:t>
      </w:r>
      <w:r w:rsidRPr="00E63806">
        <w:rPr>
          <w:rFonts w:asciiTheme="minorHAnsi" w:hAnsiTheme="minorHAnsi"/>
          <w:vertAlign w:val="superscript"/>
        </w:rPr>
        <w:t>TM</w:t>
      </w:r>
      <w:r w:rsidRPr="00E63806">
        <w:rPr>
          <w:rFonts w:asciiTheme="minorHAnsi" w:hAnsiTheme="minorHAnsi"/>
        </w:rPr>
        <w:t xml:space="preserve"> assay (Afferix </w:t>
      </w:r>
      <w:r w:rsidRPr="00E63806">
        <w:rPr>
          <w:rFonts w:asciiTheme="minorHAnsi" w:hAnsiTheme="minorHAnsi"/>
          <w:vertAlign w:val="superscript"/>
        </w:rPr>
        <w:t>TM</w:t>
      </w:r>
      <w:r w:rsidRPr="00E63806">
        <w:rPr>
          <w:rFonts w:asciiTheme="minorHAnsi" w:hAnsiTheme="minorHAnsi"/>
        </w:rPr>
        <w:t>, Tel Aviv, Israel) was used to measure LPI. This assay employs a selective chelator that blocks iron redox cycling leading to the identification of iron-mediated reactive oxygen species formation; this measure all forms of non-transferrin bound iron (NTBI), both redox active and not.</w:t>
      </w:r>
    </w:p>
    <w:p w14:paraId="5AE8BB66" w14:textId="77777777"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lastRenderedPageBreak/>
        <w:t>Interleukins 1b, 6, 8 and 10 were measured using enzyme-linked immunosorbent assays supplied by Thermo Fisher (Life Technologies | Thermo Fisher Scientific, Carlsbad, CA, USA). Beckman Coulter technology was used for measurement of C-reactive protein (CRP) and albumin (Beckman Coulter | Danaher Corporation, Brea, CA, USA).</w:t>
      </w:r>
    </w:p>
    <w:p w14:paraId="2D6A0D1A" w14:textId="77777777" w:rsidR="00FC4FDF" w:rsidRPr="00E63806" w:rsidRDefault="00FC4FDF" w:rsidP="00DF7604">
      <w:pPr>
        <w:pStyle w:val="Body"/>
        <w:spacing w:line="480" w:lineRule="auto"/>
        <w:jc w:val="both"/>
        <w:rPr>
          <w:rFonts w:asciiTheme="minorHAnsi" w:hAnsiTheme="minorHAnsi"/>
          <w:b/>
          <w:i/>
          <w:iCs/>
        </w:rPr>
      </w:pPr>
      <w:r w:rsidRPr="00E63806">
        <w:rPr>
          <w:rFonts w:asciiTheme="minorHAnsi" w:hAnsiTheme="minorHAnsi"/>
          <w:b/>
          <w:i/>
          <w:iCs/>
        </w:rPr>
        <w:t xml:space="preserve">Hemoglobin and hematinics </w:t>
      </w:r>
    </w:p>
    <w:p w14:paraId="58855824" w14:textId="77777777"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Hemoglobin was analyzed with Sysmex XN technology (Sysmex UK, Milton Keynes, UK) as per local hospital pathology laboratory practice. SF and TSAT were measured spectrophotometrically using Beckman Coulter analyzers.</w:t>
      </w:r>
    </w:p>
    <w:p w14:paraId="0E9331AD" w14:textId="77777777" w:rsidR="00FC4FDF" w:rsidRPr="00E63806" w:rsidRDefault="00FC4FDF" w:rsidP="00DF7604">
      <w:pPr>
        <w:pStyle w:val="Body"/>
        <w:spacing w:line="480" w:lineRule="auto"/>
        <w:jc w:val="both"/>
        <w:rPr>
          <w:rFonts w:asciiTheme="minorHAnsi" w:hAnsiTheme="minorHAnsi"/>
          <w:b/>
          <w:i/>
          <w:iCs/>
        </w:rPr>
      </w:pPr>
      <w:r w:rsidRPr="00E63806">
        <w:rPr>
          <w:rFonts w:asciiTheme="minorHAnsi" w:hAnsiTheme="minorHAnsi"/>
          <w:i/>
          <w:iCs/>
        </w:rPr>
        <w:t xml:space="preserve"> </w:t>
      </w:r>
      <w:r w:rsidRPr="00E63806">
        <w:rPr>
          <w:rFonts w:asciiTheme="minorHAnsi" w:hAnsiTheme="minorHAnsi"/>
          <w:b/>
          <w:i/>
          <w:iCs/>
        </w:rPr>
        <w:t>Vascular and endothelial function</w:t>
      </w:r>
    </w:p>
    <w:p w14:paraId="3FE57019" w14:textId="77777777" w:rsidR="00FC4FDF" w:rsidRPr="00E63806" w:rsidRDefault="00FC4FDF" w:rsidP="00DF7604">
      <w:pPr>
        <w:spacing w:line="480" w:lineRule="auto"/>
        <w:jc w:val="both"/>
        <w:rPr>
          <w:rFonts w:asciiTheme="minorHAnsi" w:hAnsiTheme="minorHAnsi" w:cs="Calibri"/>
          <w:color w:val="000000"/>
          <w:sz w:val="24"/>
          <w:szCs w:val="24"/>
          <w:lang w:val="en-US"/>
        </w:rPr>
      </w:pPr>
      <w:r w:rsidRPr="00E63806">
        <w:rPr>
          <w:rFonts w:asciiTheme="minorHAnsi" w:hAnsiTheme="minorHAnsi" w:cs="Calibri"/>
          <w:color w:val="000000"/>
          <w:sz w:val="24"/>
          <w:szCs w:val="24"/>
          <w:lang w:val="en-US"/>
        </w:rPr>
        <w:t>The Enverdis</w:t>
      </w:r>
      <w:r w:rsidRPr="00E63806">
        <w:rPr>
          <w:rFonts w:asciiTheme="minorHAnsi" w:hAnsiTheme="minorHAnsi" w:cs="Calibri"/>
          <w:color w:val="000000"/>
          <w:sz w:val="24"/>
          <w:szCs w:val="24"/>
          <w:vertAlign w:val="superscript"/>
          <w:lang w:val="en-US"/>
        </w:rPr>
        <w:t>®</w:t>
      </w:r>
      <w:r w:rsidRPr="00E63806">
        <w:rPr>
          <w:rFonts w:asciiTheme="minorHAnsi" w:hAnsiTheme="minorHAnsi" w:cs="Calibri"/>
          <w:color w:val="000000"/>
          <w:sz w:val="24"/>
          <w:szCs w:val="24"/>
          <w:lang w:val="en-US"/>
        </w:rPr>
        <w:t xml:space="preserve"> Vascular Explorer (VAE) (Enverdis GmBH Medical Solutions, Jena, Germany) was used to measure pulse wave velocity (PWV) and augmentation index as markers of arterial stiffness.</w:t>
      </w:r>
    </w:p>
    <w:p w14:paraId="600A360A" w14:textId="77777777" w:rsidR="00FC4FDF" w:rsidRDefault="00FC4FDF" w:rsidP="00DF7604">
      <w:pPr>
        <w:spacing w:line="480" w:lineRule="auto"/>
        <w:jc w:val="both"/>
        <w:rPr>
          <w:rFonts w:asciiTheme="minorHAnsi" w:hAnsiTheme="minorHAnsi" w:cs="Calibri"/>
          <w:color w:val="000000"/>
          <w:sz w:val="24"/>
          <w:szCs w:val="24"/>
          <w:lang w:val="en-US"/>
        </w:rPr>
      </w:pPr>
      <w:r w:rsidRPr="00E63806">
        <w:rPr>
          <w:rFonts w:asciiTheme="minorHAnsi" w:hAnsiTheme="minorHAnsi" w:cs="Calibri"/>
          <w:color w:val="000000"/>
          <w:sz w:val="24"/>
          <w:szCs w:val="24"/>
          <w:lang w:val="en-US"/>
        </w:rPr>
        <w:t>The Human CD62P ELISA Kit (P-Selectin) (Abcam, Cambridge, UK) and the Mouse E-Selectin/CD62E Quantikine ELISA Kit (R&amp;D Systems | Bio techne, Minneapolis, MN, USA) were used to analyze P-selectin and E-selectin, respectively.</w:t>
      </w:r>
    </w:p>
    <w:p w14:paraId="77E6901B" w14:textId="77777777" w:rsidR="00DF7604" w:rsidRDefault="00DF7604" w:rsidP="00DF7604">
      <w:pPr>
        <w:spacing w:line="480" w:lineRule="auto"/>
        <w:jc w:val="both"/>
        <w:rPr>
          <w:rFonts w:asciiTheme="minorHAnsi" w:hAnsiTheme="minorHAnsi" w:cs="Calibri"/>
          <w:b/>
          <w:i/>
          <w:color w:val="000000"/>
          <w:sz w:val="24"/>
          <w:szCs w:val="24"/>
          <w:lang w:val="en-US"/>
        </w:rPr>
      </w:pPr>
      <w:r w:rsidRPr="00DF7604">
        <w:rPr>
          <w:rFonts w:asciiTheme="minorHAnsi" w:hAnsiTheme="minorHAnsi" w:cs="Calibri"/>
          <w:b/>
          <w:i/>
          <w:color w:val="000000"/>
          <w:sz w:val="24"/>
          <w:szCs w:val="24"/>
          <w:lang w:val="en-US"/>
        </w:rPr>
        <w:t>Quality of life</w:t>
      </w:r>
    </w:p>
    <w:p w14:paraId="02C7F800" w14:textId="3E612364" w:rsidR="00FC4FDF" w:rsidRPr="00DF7604" w:rsidRDefault="00FC4FDF" w:rsidP="00DF7604">
      <w:pPr>
        <w:spacing w:line="480" w:lineRule="auto"/>
        <w:jc w:val="both"/>
        <w:rPr>
          <w:rFonts w:asciiTheme="minorHAnsi" w:hAnsiTheme="minorHAnsi" w:cs="Calibri"/>
          <w:b/>
          <w:i/>
          <w:color w:val="000000"/>
          <w:sz w:val="24"/>
          <w:szCs w:val="24"/>
          <w:lang w:val="en-US"/>
        </w:rPr>
      </w:pPr>
      <w:r w:rsidRPr="00E63806">
        <w:rPr>
          <w:rFonts w:asciiTheme="minorHAnsi" w:hAnsiTheme="minorHAnsi" w:cs="Calibri"/>
          <w:sz w:val="24"/>
          <w:szCs w:val="24"/>
          <w:lang w:val="en-US"/>
        </w:rPr>
        <w:t xml:space="preserve">The Short Form (36) Health Survey (SF-36) was used. This is composed of thirty-six questions calculating patient-reported health status and is valid and reliable in the assessment of quality of life in CKD-associated anemia </w:t>
      </w:r>
      <w:r w:rsidRPr="00E63806">
        <w:rPr>
          <w:rFonts w:asciiTheme="minorHAnsi" w:hAnsiTheme="minorHAnsi" w:cs="Calibri"/>
          <w:sz w:val="24"/>
          <w:szCs w:val="24"/>
          <w:lang w:val="en-US"/>
        </w:rPr>
        <w:fldChar w:fldCharType="begin" w:fldLock="1"/>
      </w:r>
      <w:r w:rsidR="00B337AF">
        <w:rPr>
          <w:rFonts w:asciiTheme="minorHAnsi" w:hAnsiTheme="minorHAnsi" w:cs="Calibri"/>
          <w:sz w:val="24"/>
          <w:szCs w:val="24"/>
          <w:lang w:val="en-US"/>
        </w:rPr>
        <w:instrText>ADDIN CSL_CITATION {"citationItems":[{"id":"ITEM-1","itemData":{"DOI":"10.1186/s12955-018-0933-8","ISSN":"14777525","abstract":"Background: Anemia is a common and debilitating manifestation of chronic kidney disease (CKD). Data from two clinical trials in patients with anemia of CKD were used to assess the measurement properties of the Medical Outcomes Survey Short Form-36 version 2 (hereafter SF-36) and the Functional Assessment of Cancer Therapy-Anemia (FACT-An). The Vitality and Physical functioning domains of the SF-36 and the FACT-An Total, Fatigue and Anemia subscales were identified as domains relevant to CKD-associated anemia. Methods: A total of 204 patients aged 18-80 years were included in the analyses that included internal consistency (Cronbach's alpha), test-retest reliability (intraclass correlation coefficients [ICCs]), convergent and known-groups validity, responsiveness, and estimates of important change. Results: Both the SF-36 and the FACT-An had strong psychometric properties with high internal consistency (Cronbach's alpha: 0.69-0.93 and 0.79-0.95), and test-retest reliability (ICCs: 0.64-0.83 and 0.72-0.88). Convergent validity, measured by correlation coefficients between similar concepts in SF-36 and FACT-An, ranged from 0.52 to 0.77. Correlations with hemoglobin (Hb) levels were modest at baseline; by Week 9, the correlations with Hb were somewhat higher, r = 0.23 (p &lt; 0.05) for SF-36 Vitality, r = 0.22 (p &lt; 0.05) for FACT-An Total, r = 0.26 (p &lt; 0.001) for FACT-Fatigue and r = 0.22 (p &lt; 0.01) for Anemia. Correlations with Hb at Week 13/17 were r = 0.28 (p &lt; 0.001) for SF-36 Vitality and r = 0.25 (p &lt; 0.05) for Role Physical; FACT-An Total correlation was r = 0.33 (p &lt; 0.0001), Anemia was r = 0.28 (p &lt; 0.001), and Fatigue was r = 0.30 (p &lt; 0.001). The SF-36 domains and Component Summary scores (p &lt; 0.05-p &lt; 0.0001) demonstrated ability to detect change. For the FACT-An, significant differences (p &lt; 0.05-p &lt; 0.0001) were observed between responder and non-responder change scores: important change score estimates ranged from 2 to 4 for Vitality and 2-3 for Physical functioning. Important change scores were also estimated for the FACT-An Total score (6-9), the Anemia (3-5), and Fatigue subscale (2-4). Conclusions: Both the SF-36 Vitality and Physical function scales and the FACT-An Total, Fatigue and Anemia scales, are reliable and valid measures for assessing health-related quality of life in anemia associated with CKD.","author":[{"dropping-particle":"","family":"Finkelstein","given":"Fredric O.","non-dropping-particle":"","parse-names":false,"suffix":""},{"dropping-particle":"","family":"Nooten","given":"Floortje","non-dropping-particle":"van","parse-names":false,"suffix":""},{"dropping-particle":"","family":"Wiklund","given":"Ingela","non-dropping-particle":"","parse-names":false,"suffix":""},{"dropping-particle":"","family":"Trundell","given":"Dylan","non-dropping-particle":"","parse-names":false,"suffix":""},{"dropping-particle":"","family":"Cella","given":"David","non-dropping-particle":"","parse-names":false,"suffix":""}],"container-title":"Health and Quality of Life Outcomes","id":"ITEM-1","issue":"1","issued":{"date-parts":[["2018"]]},"title":"Measurement properties of the Short Form-36 (SF-36) and the Functional Assessment of Cancer Therapy - Anemia (FACT-An) in patients with anemia associated with chronic kidney disease","type":"article-journal","volume":"16"},"uris":["http://www.mendeley.com/documents/?uuid=6cbaa142-edc5-4f22-881e-a98e867c4086"]}],"mendeley":{"formattedCitation":"[20]","plainTextFormattedCitation":"[20]","previouslyFormattedCitation":"(20)"},"properties":{"noteIndex":0},"schema":"https://github.com/citation-style-language/schema/raw/master/csl-citation.json"}</w:instrText>
      </w:r>
      <w:r w:rsidRPr="00E63806">
        <w:rPr>
          <w:rFonts w:asciiTheme="minorHAnsi" w:hAnsiTheme="minorHAnsi" w:cs="Calibri"/>
          <w:sz w:val="24"/>
          <w:szCs w:val="24"/>
          <w:lang w:val="en-US"/>
        </w:rPr>
        <w:fldChar w:fldCharType="separate"/>
      </w:r>
      <w:r w:rsidR="00B337AF" w:rsidRPr="00B337AF">
        <w:rPr>
          <w:rFonts w:asciiTheme="minorHAnsi" w:hAnsiTheme="minorHAnsi" w:cs="Calibri"/>
          <w:noProof/>
          <w:sz w:val="24"/>
          <w:szCs w:val="24"/>
          <w:lang w:val="en-US"/>
        </w:rPr>
        <w:t>[20]</w:t>
      </w:r>
      <w:r w:rsidRPr="00E63806">
        <w:rPr>
          <w:rFonts w:asciiTheme="minorHAnsi" w:hAnsiTheme="minorHAnsi" w:cs="Calibri"/>
          <w:sz w:val="24"/>
          <w:szCs w:val="24"/>
          <w:lang w:val="en-US"/>
        </w:rPr>
        <w:fldChar w:fldCharType="end"/>
      </w:r>
      <w:r w:rsidRPr="00E63806">
        <w:rPr>
          <w:rFonts w:asciiTheme="minorHAnsi" w:hAnsiTheme="minorHAnsi" w:cs="Calibri"/>
          <w:sz w:val="24"/>
          <w:szCs w:val="24"/>
          <w:lang w:val="en-US"/>
        </w:rPr>
        <w:t xml:space="preserve">. </w:t>
      </w:r>
    </w:p>
    <w:p w14:paraId="4C81CDB9" w14:textId="77777777" w:rsidR="00FC4FDF" w:rsidRPr="00E63806" w:rsidRDefault="00FC4FDF" w:rsidP="00DF7604">
      <w:pPr>
        <w:pStyle w:val="Body"/>
        <w:spacing w:line="480" w:lineRule="auto"/>
        <w:jc w:val="both"/>
        <w:rPr>
          <w:rFonts w:asciiTheme="minorHAnsi" w:hAnsiTheme="minorHAnsi"/>
          <w:b/>
          <w:i/>
          <w:iCs/>
        </w:rPr>
      </w:pPr>
      <w:r w:rsidRPr="00E63806">
        <w:rPr>
          <w:rFonts w:asciiTheme="minorHAnsi" w:hAnsiTheme="minorHAnsi"/>
          <w:b/>
          <w:i/>
          <w:iCs/>
        </w:rPr>
        <w:t xml:space="preserve">Safety </w:t>
      </w:r>
    </w:p>
    <w:p w14:paraId="2ABE151E" w14:textId="77777777"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Safety assessment took place throughout the study. Adverse events were recorded and analyzed regarding relationship to treatment with investigational drug.</w:t>
      </w:r>
    </w:p>
    <w:p w14:paraId="593CE162" w14:textId="77777777" w:rsidR="00FC4FDF" w:rsidRPr="00E63806" w:rsidRDefault="00FC4FDF" w:rsidP="00DF7604">
      <w:pPr>
        <w:pStyle w:val="Body"/>
        <w:spacing w:line="480" w:lineRule="auto"/>
        <w:jc w:val="both"/>
        <w:rPr>
          <w:rFonts w:asciiTheme="minorHAnsi" w:hAnsiTheme="minorHAnsi"/>
          <w:b/>
        </w:rPr>
      </w:pPr>
      <w:r w:rsidRPr="00E63806">
        <w:rPr>
          <w:rFonts w:asciiTheme="minorHAnsi" w:hAnsiTheme="minorHAnsi"/>
          <w:b/>
        </w:rPr>
        <w:lastRenderedPageBreak/>
        <w:t>Statistical analysis</w:t>
      </w:r>
    </w:p>
    <w:p w14:paraId="0F9F635E" w14:textId="3F437CAD" w:rsidR="00FC4FDF" w:rsidRPr="00E63806" w:rsidRDefault="00FC4FDF" w:rsidP="00DF7604">
      <w:pPr>
        <w:spacing w:line="480" w:lineRule="auto"/>
        <w:jc w:val="both"/>
        <w:rPr>
          <w:rFonts w:asciiTheme="minorHAnsi" w:hAnsiTheme="minorHAnsi" w:cs="Calibri"/>
          <w:color w:val="000000"/>
          <w:sz w:val="24"/>
          <w:szCs w:val="24"/>
          <w:lang w:val="en-US"/>
        </w:rPr>
      </w:pPr>
      <w:r w:rsidRPr="00E63806">
        <w:rPr>
          <w:rFonts w:asciiTheme="minorHAnsi" w:hAnsiTheme="minorHAnsi" w:cs="Calibri"/>
          <w:color w:val="000000"/>
          <w:sz w:val="24"/>
          <w:szCs w:val="24"/>
          <w:lang w:val="en-US"/>
        </w:rPr>
        <w:t xml:space="preserve">This was an explorative pilot study examining concept proof; a power calculation was not required. The safety population included any randomized patient who received any amount of study drug. All analyses involved comparison of outcomes and changes in parameters during the study visits among all participants. Baseline population characteristics have been previously published </w:t>
      </w:r>
      <w:r w:rsidRPr="00E63806">
        <w:rPr>
          <w:rFonts w:asciiTheme="minorHAnsi" w:hAnsiTheme="minorHAnsi" w:cs="Calibri"/>
          <w:color w:val="000000"/>
          <w:sz w:val="24"/>
          <w:szCs w:val="24"/>
          <w:lang w:val="en-US"/>
        </w:rPr>
        <w:fldChar w:fldCharType="begin" w:fldLock="1"/>
      </w:r>
      <w:r w:rsidR="00B337AF">
        <w:rPr>
          <w:rFonts w:asciiTheme="minorHAnsi" w:hAnsiTheme="minorHAnsi" w:cs="Calibri"/>
          <w:color w:val="000000"/>
          <w:sz w:val="24"/>
          <w:szCs w:val="24"/>
          <w:lang w:val="en-US"/>
        </w:rPr>
        <w:instrText>ADDIN CSL_CITATION {"citationItems":[{"id":"ITEM-1","itemData":{"DOI":"10.1186/s13063-019-3291-x","ISSN":"17456215","abstract":"Background: Intravenous (IV) iron is frequently used to treat iron deficiency/anemia in patients who are unable to tolerate oral iron or the oral iron is not sufficient toreplete iron requirements. However, safety concerns regarding the potential increase in oxidative stress and other adverse effects persist and it remains unclear whether all iron preparations are equivalent. Indeed, the comparative risk of adverse events with IV iron preparations has not been extensively assessed. We hypothesize that IV iron leads to changes in oxidative stress, endothelial function, and potential renal damage depending on the iron formulation (related to the generation of \"free\" or catalytic labile iron) and this may result in more tubular and glomerular injury manifested as increased proteinuria and raised neutrophil gelatinase-associated lipocalin (NGAL) levels in patients with chronic kidney disease (CKD). Methods: IRON-CKD is a prospective, open-label, explorative, randomized, single-center study designed to compare the safety and efficacy of three parenteral iron preparations: low-molecular-weight iron dextran-Cosmofer, iron sucrose-Venofer, and iron isomaltoside-Monofer. The study includes 40 adults who have established CKD stages 3-5 and serum ferritin (SF) of less than 200 μg/L or transferrin saturation (TS) of less than 20% (or both); they were randomly assigned in a 1:1:1:1 ratio to 200 mg iron dextran, 200 mg iron sucrose, 200 mg iron isomaltoside, or 1000 mg iron isomaltoside. After randomization, participants undergo baseline assessments and then an iron infusion. Each participant is followed up at 2 h, day 1, week 1, and months 1 and 3. At each follow-up visit, patients undergo clinical review, measurement of pulse wave velocity (PWV), blood tests for renal function, and collection of serum/plasma samples for oxidative stress and inflammatory markers. The primary outcomes are measures of oxidative stress, inflammatory markers, and markers of acute renal injury in comparison with baseline measures of each iron preparation and between each of the iron preparations. Secondary objectives include effects on hematinic profiles and hemoglobin concentrations, changes in arterial stiffness, incidence of significant side effects, and change in patients' quality of life. Results: Between October 2015 and April 2018, 521 individuals were identified as potential participants; 216 were contacted, 56 expressed an interest, 49 attended a screening visit, and 40 were con…","author":[{"dropping-particle":"","family":"Ziedan","given":"Ahmed","non-dropping-particle":"","parse-names":false,"suffix":""},{"dropping-particle":"","family":"Bhandari","given":"Sunil","non-dropping-particle":"","parse-names":false,"suffix":""}],"container-title":"Trials","id":"ITEM-1","issue":"1","issued":{"date-parts":[["2019"]]},"page":"194","title":"Protocol and baseline data for a prospective open-label explorative randomized single-center comparative study to determine the effects of various intravenous iron preparations on markers of oxidative stress and kidney injury in chronic kidney disease (IR","type":"article-journal","volume":"20"},"uris":["http://www.mendeley.com/documents/?uuid=ee2e60cd-f8f4-4fa2-b9ed-fe1a4fcab38b"]},{"id":"ITEM-2","itemData":{"DOI":"10.1186/s13063-020-04238-w","ISSN":"17456215","PMID":"32183861","abstract":"After publication of our article [1], the database of IRON-CKD has undergone vigorous inspection – the authors have therefore re-examined database. On final cleaning of the database after completion of the study for all the participants it was noticed that transcription errors in data entry from the case report files (CRFs) and also from laboratory results occurred. Therefore, to ensure complete independence and as quality check of the whole data set a separate team was formed, composed by members of the research team and the research and development department, the sponsor. The database was restructured and re-audited four times; data and dates of blood investigations were noted and correlated with evidence in the medical notes (the source documents). Only evidence arising from laboratory and equipment with tracking memory (described as “hard” evidence) was used in the final dataset for the baseline data and the final future analysis. Additionally, initial “missing” values have also been entered from the source data, where available, to ensure the completeness of the dataset. Therefore, the mean values and SEM have been recalculated based on the revised complete and correct dataset available (Additional File 1) and removal of errors in full agreement with final database which has independently been checked and locked. With this correction, the Abstract section is also modified to the below: Results: Between October 2015 and April 2018, 521 individuals were identified as potential participants; 216 were contacted, 56 expressed an interest, 49 attended a screening visit, and 40 were confirmed to meet the eligibility criteria and were randomly assigned. The mean age was 58.8 (standard error of the mean 2.2) years, and 23 (58%) were male. All patients were white and English-speaking. The mean SF was 68.8 µg/L, TS was 21.4%, and haemoglobin was 122.6 g/L at randomization for the whole group. The mean estimated glomerular filtration rate was 28.2 mL/min/1.73 m2 the urinary protein/ creatinine ratio was 154.2 mg/mmol, and CRP was 7.5 mg/L. (Table Presented).","author":[{"dropping-particle":"","family":"Ziedan","given":"Ahmed","non-dropping-particle":"","parse-names":false,"suffix":""},{"dropping-particle":"","family":"Kassianides","given":"Xenophon","non-dropping-particle":"","parse-names":false,"suffix":""},{"dropping-particle":"","family":"Bhandari","given":"Sunil","non-dropping-particle":"","parse-names":false,"suffix":""}],"container-title":"Trials","id":"ITEM-2","issue":"1","issued":{"date-parts":[["2020"]]},"title":"Erratum: Protocol and baseline data for a prospective open-label explorative randomized singlecenter comparative study to determine the effects of various intravenous iron preparations on markers of oxidative stress and kidney injury in chronic kidney dis","type":"article-journal","volume":"21"},"uris":["http://www.mendeley.com/documents/?uuid=755b4b1b-04ad-3e81-8fba-c1f2736fce45"]}],"mendeley":{"formattedCitation":"[19,21]","plainTextFormattedCitation":"[19,21]","previouslyFormattedCitation":"(19,21)"},"properties":{"noteIndex":0},"schema":"https://github.com/citation-style-language/schema/raw/master/csl-citation.json"}</w:instrText>
      </w:r>
      <w:r w:rsidRPr="00E63806">
        <w:rPr>
          <w:rFonts w:asciiTheme="minorHAnsi" w:hAnsiTheme="minorHAnsi" w:cs="Calibri"/>
          <w:color w:val="000000"/>
          <w:sz w:val="24"/>
          <w:szCs w:val="24"/>
          <w:lang w:val="en-US"/>
        </w:rPr>
        <w:fldChar w:fldCharType="separate"/>
      </w:r>
      <w:r w:rsidR="00B337AF" w:rsidRPr="00B337AF">
        <w:rPr>
          <w:rFonts w:asciiTheme="minorHAnsi" w:hAnsiTheme="minorHAnsi" w:cs="Calibri"/>
          <w:noProof/>
          <w:color w:val="000000"/>
          <w:sz w:val="24"/>
          <w:szCs w:val="24"/>
          <w:lang w:val="en-US"/>
        </w:rPr>
        <w:t>[19,21]</w:t>
      </w:r>
      <w:r w:rsidRPr="00E63806">
        <w:rPr>
          <w:rFonts w:asciiTheme="minorHAnsi" w:hAnsiTheme="minorHAnsi" w:cs="Calibri"/>
          <w:color w:val="000000"/>
          <w:sz w:val="24"/>
          <w:szCs w:val="24"/>
          <w:lang w:val="en-US"/>
        </w:rPr>
        <w:fldChar w:fldCharType="end"/>
      </w:r>
      <w:r w:rsidR="00FC59FC" w:rsidRPr="00E63806">
        <w:rPr>
          <w:rFonts w:asciiTheme="minorHAnsi" w:hAnsiTheme="minorHAnsi" w:cs="Calibri"/>
          <w:color w:val="000000"/>
          <w:sz w:val="24"/>
          <w:szCs w:val="24"/>
          <w:lang w:val="en-US"/>
        </w:rPr>
        <w:t xml:space="preserve"> </w:t>
      </w:r>
      <w:r w:rsidR="00FC59FC" w:rsidRPr="00D00099">
        <w:rPr>
          <w:rFonts w:asciiTheme="minorHAnsi" w:hAnsiTheme="minorHAnsi" w:cs="Calibri"/>
          <w:sz w:val="24"/>
          <w:szCs w:val="24"/>
          <w:lang w:val="en-US"/>
        </w:rPr>
        <w:t>(Su</w:t>
      </w:r>
      <w:r w:rsidR="004A4E48" w:rsidRPr="00D00099">
        <w:rPr>
          <w:rFonts w:asciiTheme="minorHAnsi" w:hAnsiTheme="minorHAnsi" w:cs="Calibri"/>
          <w:sz w:val="24"/>
          <w:szCs w:val="24"/>
          <w:lang w:val="en-US"/>
        </w:rPr>
        <w:t>pplementary T</w:t>
      </w:r>
      <w:r w:rsidR="00FC59FC" w:rsidRPr="00D00099">
        <w:rPr>
          <w:rFonts w:asciiTheme="minorHAnsi" w:hAnsiTheme="minorHAnsi" w:cs="Calibri"/>
          <w:sz w:val="24"/>
          <w:szCs w:val="24"/>
          <w:lang w:val="en-US"/>
        </w:rPr>
        <w:t>ables 3-4)</w:t>
      </w:r>
      <w:r w:rsidRPr="00D00099">
        <w:rPr>
          <w:rFonts w:asciiTheme="minorHAnsi" w:hAnsiTheme="minorHAnsi" w:cs="Calibri"/>
          <w:sz w:val="24"/>
          <w:szCs w:val="24"/>
          <w:lang w:val="en-US"/>
        </w:rPr>
        <w:t>. The</w:t>
      </w:r>
      <w:r w:rsidRPr="00E63806">
        <w:rPr>
          <w:rFonts w:asciiTheme="minorHAnsi" w:hAnsiTheme="minorHAnsi" w:cs="Calibri"/>
          <w:color w:val="000000"/>
          <w:sz w:val="24"/>
          <w:szCs w:val="24"/>
          <w:lang w:val="en-US"/>
        </w:rPr>
        <w:t xml:space="preserve"> impact of iron treatment for all groups individually and for a total combined group was examined for the outcome measures. Descriptive statistics and graphic correlations were employed for the analysis of hematinics, oxidative stress and inflammatory markers. Numerical data was presented as mean and standard error mean (SEM). Statistical comparisons of continuous outcomes between the allocated treatment arms were performed using two-way ANOVA (RStudio version 1.2.5019). In addition, comparison of high-dose versus low-dose iron was carried out for the primary and secondary outcome measures. A p-value of &lt;0.05 was deemed statistically significant. </w:t>
      </w:r>
    </w:p>
    <w:p w14:paraId="70B3BCCD" w14:textId="77777777" w:rsidR="00FC4FDF" w:rsidRPr="00E63806" w:rsidRDefault="00FC4FDF" w:rsidP="00DF7604">
      <w:pPr>
        <w:pageBreakBefore/>
        <w:spacing w:line="480" w:lineRule="auto"/>
        <w:jc w:val="both"/>
        <w:rPr>
          <w:rFonts w:asciiTheme="minorHAnsi" w:hAnsiTheme="minorHAnsi" w:cs="Calibri"/>
          <w:color w:val="000000"/>
          <w:sz w:val="24"/>
          <w:szCs w:val="24"/>
          <w:u w:val="single"/>
          <w:lang w:val="en-US"/>
        </w:rPr>
      </w:pPr>
      <w:r w:rsidRPr="00E63806">
        <w:rPr>
          <w:rFonts w:asciiTheme="minorHAnsi" w:hAnsiTheme="minorHAnsi" w:cs="Calibri"/>
          <w:b/>
          <w:bCs/>
          <w:color w:val="000000"/>
          <w:sz w:val="24"/>
          <w:szCs w:val="24"/>
          <w:u w:val="single"/>
          <w:lang w:val="en-US"/>
        </w:rPr>
        <w:lastRenderedPageBreak/>
        <w:t>Results</w:t>
      </w:r>
    </w:p>
    <w:p w14:paraId="3A5EF265" w14:textId="1AA5EC40" w:rsidR="00FC4FDF" w:rsidRPr="00E63806" w:rsidRDefault="00FC4FDF" w:rsidP="00DF7604">
      <w:pPr>
        <w:spacing w:line="480" w:lineRule="auto"/>
        <w:jc w:val="both"/>
        <w:rPr>
          <w:rFonts w:asciiTheme="minorHAnsi" w:hAnsiTheme="minorHAnsi" w:cs="Calibri"/>
          <w:color w:val="000000"/>
          <w:sz w:val="24"/>
          <w:szCs w:val="24"/>
          <w:lang w:val="en-US"/>
        </w:rPr>
      </w:pPr>
      <w:r w:rsidRPr="00E63806">
        <w:rPr>
          <w:rFonts w:asciiTheme="minorHAnsi" w:hAnsiTheme="minorHAnsi" w:cs="Calibri"/>
          <w:color w:val="000000"/>
          <w:sz w:val="24"/>
          <w:szCs w:val="24"/>
          <w:lang w:val="en-US"/>
        </w:rPr>
        <w:t>Forty patients</w:t>
      </w:r>
      <w:r w:rsidR="001060B4">
        <w:rPr>
          <w:rFonts w:asciiTheme="minorHAnsi" w:hAnsiTheme="minorHAnsi" w:cs="Calibri"/>
          <w:color w:val="000000"/>
          <w:sz w:val="24"/>
          <w:szCs w:val="24"/>
          <w:lang w:val="en-US"/>
        </w:rPr>
        <w:t>,</w:t>
      </w:r>
      <w:r w:rsidRPr="00E63806">
        <w:rPr>
          <w:rFonts w:asciiTheme="minorHAnsi" w:hAnsiTheme="minorHAnsi" w:cs="Calibri"/>
          <w:color w:val="000000"/>
          <w:sz w:val="24"/>
          <w:szCs w:val="24"/>
          <w:lang w:val="en-US"/>
        </w:rPr>
        <w:t xml:space="preserve"> with a mean age of 58.8 (2.2) </w:t>
      </w:r>
      <w:r w:rsidR="001060B4" w:rsidRPr="00E63806">
        <w:rPr>
          <w:rFonts w:asciiTheme="minorHAnsi" w:hAnsiTheme="minorHAnsi" w:cs="Calibri"/>
          <w:color w:val="000000"/>
          <w:sz w:val="24"/>
          <w:szCs w:val="24"/>
          <w:lang w:val="en-US"/>
        </w:rPr>
        <w:t>years</w:t>
      </w:r>
      <w:r w:rsidR="001060B4">
        <w:rPr>
          <w:rFonts w:asciiTheme="minorHAnsi" w:hAnsiTheme="minorHAnsi" w:cs="Calibri"/>
          <w:color w:val="000000"/>
          <w:sz w:val="24"/>
          <w:szCs w:val="24"/>
          <w:lang w:val="en-US"/>
        </w:rPr>
        <w:t>,</w:t>
      </w:r>
      <w:r w:rsidRPr="00E63806">
        <w:rPr>
          <w:rFonts w:asciiTheme="minorHAnsi" w:hAnsiTheme="minorHAnsi" w:cs="Calibri"/>
          <w:color w:val="000000"/>
          <w:sz w:val="24"/>
          <w:szCs w:val="24"/>
          <w:lang w:val="en-US"/>
        </w:rPr>
        <w:t xml:space="preserve"> were recruited and randomized from a total of 49 patients who attended screening. Twenty-three (58%) were male. </w:t>
      </w:r>
    </w:p>
    <w:p w14:paraId="6785D226" w14:textId="77777777" w:rsidR="00FC4FDF" w:rsidRPr="00E63806" w:rsidRDefault="00FC4FDF" w:rsidP="00DF7604">
      <w:pPr>
        <w:spacing w:line="480" w:lineRule="auto"/>
        <w:jc w:val="both"/>
        <w:rPr>
          <w:rFonts w:asciiTheme="minorHAnsi" w:hAnsiTheme="minorHAnsi" w:cs="Calibri"/>
          <w:color w:val="000000"/>
          <w:sz w:val="24"/>
          <w:szCs w:val="24"/>
          <w:lang w:val="en-US"/>
        </w:rPr>
      </w:pPr>
      <w:r w:rsidRPr="00E63806">
        <w:rPr>
          <w:rFonts w:asciiTheme="minorHAnsi" w:hAnsiTheme="minorHAnsi" w:cs="Calibri"/>
          <w:color w:val="000000"/>
          <w:sz w:val="24"/>
          <w:szCs w:val="24"/>
          <w:lang w:val="en-US"/>
        </w:rPr>
        <w:t>One participant commenced hemodialysis before the last visit, but follow-up was completed as per protocol; the patient was included in the analysis. One patient became pregnant within a month of receiving 1000 mg FDI, while another individual</w:t>
      </w:r>
      <w:r w:rsidRPr="00E63806">
        <w:rPr>
          <w:rFonts w:asciiTheme="minorHAnsi" w:eastAsia="Arial" w:hAnsiTheme="minorHAnsi" w:cs="Calibri"/>
          <w:color w:val="000000"/>
          <w:sz w:val="24"/>
          <w:szCs w:val="24"/>
          <w:lang w:val="en-US"/>
        </w:rPr>
        <w:t xml:space="preserve"> </w:t>
      </w:r>
      <w:r w:rsidRPr="00E63806">
        <w:rPr>
          <w:rFonts w:asciiTheme="minorHAnsi" w:hAnsiTheme="minorHAnsi" w:cs="Calibri"/>
          <w:color w:val="000000"/>
          <w:sz w:val="24"/>
          <w:szCs w:val="24"/>
          <w:lang w:val="en-US"/>
        </w:rPr>
        <w:t>randomized to the 1000 mg FDI</w:t>
      </w:r>
      <w:r w:rsidRPr="00E63806">
        <w:rPr>
          <w:rFonts w:asciiTheme="minorHAnsi" w:hAnsiTheme="minorHAnsi" w:cs="Calibri"/>
          <w:color w:val="000000"/>
          <w:sz w:val="24"/>
          <w:szCs w:val="24"/>
          <w:vertAlign w:val="superscript"/>
          <w:lang w:val="en-US"/>
        </w:rPr>
        <w:t xml:space="preserve"> </w:t>
      </w:r>
      <w:r w:rsidRPr="00E63806">
        <w:rPr>
          <w:rFonts w:asciiTheme="minorHAnsi" w:hAnsiTheme="minorHAnsi" w:cs="Calibri"/>
          <w:color w:val="000000"/>
          <w:sz w:val="24"/>
          <w:szCs w:val="24"/>
          <w:lang w:val="en-US"/>
        </w:rPr>
        <w:t xml:space="preserve">group required a second IV iron infusion during the study due to severe symptomatic anemia. The latter two participants were excluded from the three-month analysis. The flow of participants is summarized in Figure 1. </w:t>
      </w:r>
    </w:p>
    <w:p w14:paraId="13DBE442" w14:textId="77777777" w:rsidR="00FC4FDF" w:rsidRPr="00E63806" w:rsidRDefault="00FC4FDF" w:rsidP="00DF7604">
      <w:pPr>
        <w:pStyle w:val="Body"/>
        <w:spacing w:line="480" w:lineRule="auto"/>
        <w:jc w:val="both"/>
        <w:rPr>
          <w:rFonts w:asciiTheme="minorHAnsi" w:eastAsia="Arial" w:hAnsiTheme="minorHAnsi"/>
          <w:b/>
          <w:bCs/>
          <w:i/>
          <w:iCs/>
        </w:rPr>
      </w:pPr>
      <w:r w:rsidRPr="00E63806">
        <w:rPr>
          <w:rFonts w:asciiTheme="minorHAnsi" w:hAnsiTheme="minorHAnsi"/>
          <w:b/>
          <w:bCs/>
          <w:i/>
          <w:iCs/>
        </w:rPr>
        <w:t>Oxidative stress and LPI</w:t>
      </w:r>
    </w:p>
    <w:p w14:paraId="75D07364" w14:textId="5D124271"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Administration of IV iron resulted in a rise in mean TBARS level within 2 hours (pre-infusion: 1083.0 (117.1) nM; 2 hours post-infusion: 1552.6 (156.0) nM; p=0.06 - all groups combined; Figure 2). The increased levels returned to baseline within 1 week. The greatest rise in TBARS was noted in the 1000 mg FDI group which was not statistically significant (pre-infusion: 846.0 (108.9) nM; 2 hours post-infusion: 1865.0 (203</w:t>
      </w:r>
      <w:r w:rsidR="001060B4">
        <w:rPr>
          <w:rFonts w:asciiTheme="minorHAnsi" w:hAnsiTheme="minorHAnsi"/>
        </w:rPr>
        <w:t>.2) nM; p=0.25). There was a non</w:t>
      </w:r>
      <w:r w:rsidRPr="00E63806">
        <w:rPr>
          <w:rFonts w:asciiTheme="minorHAnsi" w:hAnsiTheme="minorHAnsi"/>
        </w:rPr>
        <w:t xml:space="preserve">-statistically significant increase with IS that occurred one-week post-infusion (pre-infusion: 906.3 (140.9) nM; 1-week post-infusion: 1261.3 (369.3) nM; p=0.9). There was no statistically significant difference for the effect on TBARS between </w:t>
      </w:r>
      <w:r w:rsidR="001060B4" w:rsidRPr="00E63806">
        <w:rPr>
          <w:rFonts w:asciiTheme="minorHAnsi" w:hAnsiTheme="minorHAnsi"/>
        </w:rPr>
        <w:t>products</w:t>
      </w:r>
      <w:r w:rsidRPr="00E63806">
        <w:rPr>
          <w:rFonts w:asciiTheme="minorHAnsi" w:hAnsiTheme="minorHAnsi"/>
        </w:rPr>
        <w:t xml:space="preserve"> used or between high-dose and low-dose FDI.</w:t>
      </w:r>
    </w:p>
    <w:p w14:paraId="58E7C51A" w14:textId="77777777"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 xml:space="preserve">Mean LPI levels increased significantly within 2 hours of infusion and returned to baseline within one-week (pre-infusion: 1.4 (0.5) ΔFU/min; 2 hours post-infusion: 7.4 (2.4) ΔFU/min; p=0.006 – all groups combined) (Figure 2). LPI increased in the ID and IS groups, but these did not reach statistical significance. The concentration of LPI with 200 mg FDI remained </w:t>
      </w:r>
      <w:r w:rsidRPr="00E63806">
        <w:rPr>
          <w:rFonts w:asciiTheme="minorHAnsi" w:hAnsiTheme="minorHAnsi"/>
        </w:rPr>
        <w:lastRenderedPageBreak/>
        <w:t>constant and similar to the baseline level throughout the study. There was a significant increase in LPI with 1000 mg FDI (pre-infusion: 0.33 (0.2) ΔFU/min; 2 hours post-infusion: 19.6 (7.1) ΔFU/min; p&lt;0.001), and the level at 2 hours post-infusion was significantly higher when compared to the 200 mg FDI group (19.6 (7.1) ΔFU/min vs. 1.6 (0.8) ΔFU/min; p&lt;0.001). These changes resolved within one week.</w:t>
      </w:r>
    </w:p>
    <w:p w14:paraId="4E81675D" w14:textId="77777777" w:rsidR="00FC4FDF" w:rsidRPr="00E63806" w:rsidRDefault="00FC4FDF" w:rsidP="00DF7604">
      <w:pPr>
        <w:pStyle w:val="Body"/>
        <w:spacing w:line="480" w:lineRule="auto"/>
        <w:jc w:val="both"/>
        <w:rPr>
          <w:rFonts w:asciiTheme="minorHAnsi" w:hAnsiTheme="minorHAnsi"/>
          <w:b/>
          <w:i/>
          <w:iCs/>
        </w:rPr>
      </w:pPr>
      <w:r w:rsidRPr="00E63806">
        <w:rPr>
          <w:rFonts w:asciiTheme="minorHAnsi" w:hAnsiTheme="minorHAnsi"/>
          <w:b/>
          <w:i/>
          <w:iCs/>
        </w:rPr>
        <w:t>Inflammation</w:t>
      </w:r>
    </w:p>
    <w:p w14:paraId="55672A5C" w14:textId="77777777"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 xml:space="preserve">There was a rise in mean CRP level within a day of infusion, which returned to baseline levels within one month (pre-infusion: 7.5 (1.6) mg/L; 1 day post-infusion: 17.6 (8.0) mg/L, p=0.4; 1 month post-infusion: 7.5 (1.7) mg/L, p=0.9 - all groups combined). This rise was more evident in patients receiving IS (pre-infusion: 8.1 (3.3) mg/L; 1-day post-infusion: 36.1 (27.0) mg/L; p=0.55). The changes in CRP did not reach statistical significance for FDI at any dose (Figure 3). </w:t>
      </w:r>
    </w:p>
    <w:p w14:paraId="71D0E183" w14:textId="77777777"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A transient fall in interleukin-10 within one month, and a rise in interleukin-8 within 1 week of IV iron infusion were observed across the treatment groups combined; interleukin-6 was unaffected. Interleukin-1b did not reach detectable levels during the study. A transient rise in interleukin-10 within 2 hours of infusion was noted with IS (Supplementary Fig. 1-2).</w:t>
      </w:r>
    </w:p>
    <w:p w14:paraId="7568537A" w14:textId="77777777"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Serum albumin concentration remained unchanged throughout the study for all IV iron products</w:t>
      </w:r>
      <w:r w:rsidR="00FC59FC" w:rsidRPr="00E63806">
        <w:rPr>
          <w:rFonts w:asciiTheme="minorHAnsi" w:hAnsiTheme="minorHAnsi"/>
        </w:rPr>
        <w:t xml:space="preserve"> </w:t>
      </w:r>
      <w:r w:rsidR="00FC59FC" w:rsidRPr="00D00099">
        <w:rPr>
          <w:rFonts w:asciiTheme="minorHAnsi" w:hAnsiTheme="minorHAnsi"/>
          <w:color w:val="auto"/>
        </w:rPr>
        <w:t>(Supplementary Fig. 3)</w:t>
      </w:r>
      <w:r w:rsidRPr="00D00099">
        <w:rPr>
          <w:rFonts w:asciiTheme="minorHAnsi" w:hAnsiTheme="minorHAnsi"/>
          <w:color w:val="auto"/>
        </w:rPr>
        <w:t>.</w:t>
      </w:r>
    </w:p>
    <w:p w14:paraId="3E5756F2" w14:textId="77777777" w:rsidR="00FC4FDF" w:rsidRPr="00E63806" w:rsidRDefault="00FC4FDF" w:rsidP="00DF7604">
      <w:pPr>
        <w:spacing w:after="0" w:line="480" w:lineRule="auto"/>
        <w:jc w:val="both"/>
        <w:rPr>
          <w:rFonts w:asciiTheme="minorHAnsi" w:hAnsiTheme="minorHAnsi" w:cs="Calibri"/>
          <w:b/>
          <w:i/>
          <w:iCs/>
          <w:color w:val="000000"/>
          <w:sz w:val="24"/>
          <w:szCs w:val="24"/>
          <w:lang w:val="en-US"/>
        </w:rPr>
      </w:pPr>
      <w:r w:rsidRPr="00E63806">
        <w:rPr>
          <w:rFonts w:asciiTheme="minorHAnsi" w:hAnsiTheme="minorHAnsi" w:cs="Calibri"/>
          <w:b/>
          <w:i/>
          <w:iCs/>
          <w:color w:val="000000"/>
          <w:sz w:val="24"/>
          <w:szCs w:val="24"/>
          <w:lang w:val="en-US"/>
        </w:rPr>
        <w:t>Hemoglobin and hematinics</w:t>
      </w:r>
    </w:p>
    <w:p w14:paraId="37AF63D9" w14:textId="77777777" w:rsidR="00FC4FDF" w:rsidRPr="00E63806" w:rsidRDefault="00FC4FDF" w:rsidP="00DF7604">
      <w:pPr>
        <w:spacing w:line="480" w:lineRule="auto"/>
        <w:jc w:val="both"/>
        <w:rPr>
          <w:rFonts w:asciiTheme="minorHAnsi" w:hAnsiTheme="minorHAnsi" w:cs="Calibri"/>
          <w:color w:val="000000"/>
          <w:sz w:val="24"/>
          <w:szCs w:val="24"/>
          <w:lang w:val="en-US"/>
        </w:rPr>
      </w:pPr>
      <w:r w:rsidRPr="00E63806">
        <w:rPr>
          <w:rFonts w:asciiTheme="minorHAnsi" w:hAnsiTheme="minorHAnsi" w:cs="Calibri"/>
          <w:color w:val="000000"/>
          <w:sz w:val="24"/>
          <w:szCs w:val="24"/>
          <w:lang w:val="en-US"/>
        </w:rPr>
        <w:t>Hemoglobin concentration, for all groups combined, rose to its maximal level after one month and was sustained until the end of the study at 3 months (p=0.9). The increase in hemoglobin concentration was not significantly different between the iron compounds, and no statistically significant difference was noted between high-dose and low-dose FDI (p=0.9 throughout study) (Table 1).</w:t>
      </w:r>
    </w:p>
    <w:p w14:paraId="5E963ED1" w14:textId="30E5544E" w:rsidR="00FC4FDF" w:rsidRPr="00E63806" w:rsidRDefault="00FC4FDF" w:rsidP="00DF7604">
      <w:pPr>
        <w:spacing w:line="480" w:lineRule="auto"/>
        <w:jc w:val="both"/>
        <w:rPr>
          <w:rFonts w:asciiTheme="minorHAnsi" w:hAnsiTheme="minorHAnsi" w:cs="Calibri"/>
          <w:color w:val="000000"/>
          <w:sz w:val="24"/>
          <w:szCs w:val="24"/>
          <w:lang w:val="en-US"/>
        </w:rPr>
      </w:pPr>
      <w:r w:rsidRPr="00E63806">
        <w:rPr>
          <w:rFonts w:asciiTheme="minorHAnsi" w:hAnsiTheme="minorHAnsi" w:cs="Calibri"/>
          <w:color w:val="000000"/>
          <w:sz w:val="24"/>
          <w:szCs w:val="24"/>
          <w:lang w:val="en-US"/>
        </w:rPr>
        <w:lastRenderedPageBreak/>
        <w:t>Transferrin saturation increased within 2 hours post-infusion (up to 80% - all groups combined) and returned to baseline level by the first week (Figure 5). This transient rise from baseline to 2 hours post-infusion was statistically significant in both 1000 mg FDI (17.8% to 98.7%; p&lt;0.001) and IS groups (21.1% to 91.4%; p&lt;0.001). High-dose FDI produced a significant change in TSAT at 2 hours and 1 day post-infusion when compared with low-dose FDI that persisted for one week (FDI 1000 mg vs. FDI 200 mg: 2 hours post-infusion: 98.7% vs. 58.3%; p=0.005, 1 day post-infusion: 100% vs. 51.8%; p&lt;0.001). There was no statistically significant difference between the different ir</w:t>
      </w:r>
      <w:r w:rsidR="008B2E1B">
        <w:rPr>
          <w:rFonts w:asciiTheme="minorHAnsi" w:hAnsiTheme="minorHAnsi" w:cs="Calibri"/>
          <w:color w:val="000000"/>
          <w:sz w:val="24"/>
          <w:szCs w:val="24"/>
          <w:lang w:val="en-US"/>
        </w:rPr>
        <w:t>on preparations at 2 hours post-</w:t>
      </w:r>
      <w:r w:rsidRPr="00E63806">
        <w:rPr>
          <w:rFonts w:asciiTheme="minorHAnsi" w:hAnsiTheme="minorHAnsi" w:cs="Calibri"/>
          <w:color w:val="000000"/>
          <w:sz w:val="24"/>
          <w:szCs w:val="24"/>
          <w:lang w:val="en-US"/>
        </w:rPr>
        <w:t>infusion.</w:t>
      </w:r>
    </w:p>
    <w:p w14:paraId="44F4C09A" w14:textId="0A281297"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 xml:space="preserve">The </w:t>
      </w:r>
      <w:r w:rsidR="008B2E1B" w:rsidRPr="00E63806">
        <w:rPr>
          <w:rFonts w:asciiTheme="minorHAnsi" w:hAnsiTheme="minorHAnsi"/>
        </w:rPr>
        <w:t>mean SF</w:t>
      </w:r>
      <w:r w:rsidRPr="00E63806">
        <w:rPr>
          <w:rFonts w:asciiTheme="minorHAnsi" w:hAnsiTheme="minorHAnsi"/>
        </w:rPr>
        <w:t xml:space="preserve"> level rose within 2 hours post-infusion to achieve its maximal mean concentration at 1 week (pre-infusion: 68.8 (8.0) microg/L, 1 week post-infusion: 216.2 (36.6) microg/L, 3 months post-infusion: 122.6 (23.1) microg/L - all groups combined; Figure 6). The 1000 mg FDI group produced the greatest and most lasting iron repletion (pre-infusion: 69.1 (18.4) microg/L, 1 week post-infusion: 505.9 (105.5) microg/L, 3 months post-infusion: 271.0 (83.3) microg/L), which remained significantly higher than baseline throughout the study (baseline to 1 week post-infusion p&lt;0.001; baseline to 3 months post-infusion p=0.007). The 1000 mg FDI dose achieved a statistically significantly greater change in SF when compared to the 200 mg FDI dose throughout the study (p&lt;0.001).</w:t>
      </w:r>
    </w:p>
    <w:p w14:paraId="7C8DA444" w14:textId="77777777" w:rsidR="00FC4FDF" w:rsidRPr="00E63806" w:rsidRDefault="00FC4FDF" w:rsidP="00DF7604">
      <w:pPr>
        <w:spacing w:line="480" w:lineRule="auto"/>
        <w:jc w:val="both"/>
        <w:rPr>
          <w:rFonts w:asciiTheme="minorHAnsi" w:hAnsiTheme="minorHAnsi" w:cs="Calibri"/>
          <w:b/>
          <w:bCs/>
          <w:i/>
          <w:iCs/>
          <w:color w:val="000000"/>
          <w:sz w:val="24"/>
          <w:szCs w:val="24"/>
          <w:lang w:val="en-US"/>
        </w:rPr>
      </w:pPr>
      <w:r w:rsidRPr="00E63806">
        <w:rPr>
          <w:rFonts w:asciiTheme="minorHAnsi" w:hAnsiTheme="minorHAnsi" w:cs="Calibri"/>
          <w:b/>
          <w:bCs/>
          <w:i/>
          <w:iCs/>
          <w:color w:val="000000"/>
          <w:sz w:val="24"/>
          <w:szCs w:val="24"/>
          <w:lang w:val="en-US"/>
        </w:rPr>
        <w:t>Vascular and endovascular function</w:t>
      </w:r>
    </w:p>
    <w:p w14:paraId="60E3BA1D" w14:textId="5276E549" w:rsidR="00FC4FDF" w:rsidRPr="00B046B3" w:rsidRDefault="00FC4FDF" w:rsidP="00DF7604">
      <w:pPr>
        <w:spacing w:line="480" w:lineRule="auto"/>
        <w:jc w:val="both"/>
        <w:rPr>
          <w:rFonts w:asciiTheme="minorHAnsi" w:hAnsiTheme="minorHAnsi" w:cs="Calibri"/>
          <w:b/>
          <w:bCs/>
          <w:sz w:val="24"/>
          <w:szCs w:val="24"/>
          <w:lang w:val="en-US"/>
        </w:rPr>
      </w:pPr>
      <w:r w:rsidRPr="00E63806">
        <w:rPr>
          <w:rFonts w:asciiTheme="minorHAnsi" w:hAnsiTheme="minorHAnsi" w:cs="Calibri"/>
          <w:color w:val="000000"/>
          <w:sz w:val="24"/>
          <w:szCs w:val="24"/>
          <w:lang w:val="en-US"/>
        </w:rPr>
        <w:t xml:space="preserve">There was a trend for a reduction in mean PWV throughout the study across all groups, which did not reach statistical significance (pre-infusion: 7.5 (0.4) m/s; 3 months post-infusion: 6.7 (0.4) m/s; p=0.9). There was no significant difference between compound used and improvement in PWV. No difference was noted between high-dose and low-dose FDI. A </w:t>
      </w:r>
      <w:r w:rsidRPr="00E63806">
        <w:rPr>
          <w:rFonts w:asciiTheme="minorHAnsi" w:hAnsiTheme="minorHAnsi" w:cs="Calibri"/>
          <w:color w:val="000000"/>
          <w:sz w:val="24"/>
          <w:szCs w:val="24"/>
          <w:lang w:val="en-US"/>
        </w:rPr>
        <w:lastRenderedPageBreak/>
        <w:t xml:space="preserve">similar improvement tendency was observed for augmentation index </w:t>
      </w:r>
      <w:r w:rsidRPr="00B046B3">
        <w:rPr>
          <w:rFonts w:asciiTheme="minorHAnsi" w:hAnsiTheme="minorHAnsi" w:cs="Calibri"/>
          <w:sz w:val="24"/>
          <w:szCs w:val="24"/>
          <w:lang w:val="en-US"/>
        </w:rPr>
        <w:t>(</w:t>
      </w:r>
      <w:r w:rsidR="00437D55" w:rsidRPr="00B046B3">
        <w:rPr>
          <w:rFonts w:asciiTheme="minorHAnsi" w:hAnsiTheme="minorHAnsi" w:cs="Calibri"/>
          <w:sz w:val="24"/>
          <w:szCs w:val="24"/>
          <w:lang w:val="en-US"/>
        </w:rPr>
        <w:t>Supplementary Table 5</w:t>
      </w:r>
      <w:r w:rsidR="00B046B3" w:rsidRPr="00B046B3">
        <w:rPr>
          <w:rFonts w:asciiTheme="minorHAnsi" w:hAnsiTheme="minorHAnsi" w:cs="Calibri"/>
          <w:sz w:val="24"/>
          <w:szCs w:val="24"/>
          <w:lang w:val="en-US"/>
        </w:rPr>
        <w:t>).</w:t>
      </w:r>
    </w:p>
    <w:p w14:paraId="1B67DCA7" w14:textId="36470001" w:rsidR="00FC4FDF" w:rsidRPr="00E63806" w:rsidRDefault="00FC4FDF" w:rsidP="00DF7604">
      <w:pPr>
        <w:spacing w:line="480" w:lineRule="auto"/>
        <w:jc w:val="both"/>
        <w:rPr>
          <w:rFonts w:asciiTheme="minorHAnsi" w:hAnsiTheme="minorHAnsi" w:cs="Calibri"/>
          <w:color w:val="000000"/>
          <w:sz w:val="24"/>
          <w:szCs w:val="24"/>
          <w:lang w:val="en-US"/>
        </w:rPr>
      </w:pPr>
      <w:r w:rsidRPr="00E63806">
        <w:rPr>
          <w:rFonts w:asciiTheme="minorHAnsi" w:hAnsiTheme="minorHAnsi" w:cs="Calibri"/>
          <w:color w:val="000000"/>
          <w:sz w:val="24"/>
          <w:szCs w:val="24"/>
          <w:lang w:val="en-US"/>
        </w:rPr>
        <w:t xml:space="preserve">Intravenous iron did not significantly affect E-selectin during the study, irrespective of iron preparation or dose. A non-statistically significant decrease in mean P-selectin level was seen (pre-infusion: 75.0 (6.4) ng/ml; 2 hours post-infusion: 72.4 (6.5) ng/ml; 3 months post-infusion: 68.7 (6.9) ng/ml - all groups combined, p=0.9); no significant differences in P-selectin were seen between the different IV iron groups or between different doses of FDI (Supplementary </w:t>
      </w:r>
      <w:r w:rsidR="00FC59FC" w:rsidRPr="00B046B3">
        <w:rPr>
          <w:rFonts w:asciiTheme="minorHAnsi" w:hAnsiTheme="minorHAnsi" w:cs="Calibri"/>
          <w:sz w:val="24"/>
          <w:szCs w:val="24"/>
          <w:lang w:val="en-US"/>
        </w:rPr>
        <w:t xml:space="preserve">Table </w:t>
      </w:r>
      <w:r w:rsidR="004A4E48" w:rsidRPr="00B046B3">
        <w:rPr>
          <w:rFonts w:asciiTheme="minorHAnsi" w:hAnsiTheme="minorHAnsi" w:cs="Calibri"/>
          <w:sz w:val="24"/>
          <w:szCs w:val="24"/>
          <w:lang w:val="en-US"/>
        </w:rPr>
        <w:t>5</w:t>
      </w:r>
      <w:r w:rsidRPr="00B046B3">
        <w:rPr>
          <w:rFonts w:asciiTheme="minorHAnsi" w:hAnsiTheme="minorHAnsi" w:cs="Calibri"/>
          <w:sz w:val="24"/>
          <w:szCs w:val="24"/>
          <w:lang w:val="en-US"/>
        </w:rPr>
        <w:t>).</w:t>
      </w:r>
    </w:p>
    <w:p w14:paraId="7A88BEA4" w14:textId="77777777" w:rsidR="00FC4FDF" w:rsidRPr="00E63806" w:rsidRDefault="00FC4FDF" w:rsidP="00DF7604">
      <w:pPr>
        <w:pStyle w:val="Body"/>
        <w:spacing w:line="480" w:lineRule="auto"/>
        <w:jc w:val="both"/>
        <w:rPr>
          <w:rFonts w:asciiTheme="minorHAnsi" w:eastAsia="Arial" w:hAnsiTheme="minorHAnsi"/>
          <w:b/>
          <w:bCs/>
          <w:i/>
          <w:iCs/>
        </w:rPr>
      </w:pPr>
      <w:r w:rsidRPr="00E63806">
        <w:rPr>
          <w:rFonts w:asciiTheme="minorHAnsi" w:hAnsiTheme="minorHAnsi"/>
          <w:b/>
          <w:bCs/>
          <w:i/>
          <w:iCs/>
        </w:rPr>
        <w:t xml:space="preserve">Quality of Life </w:t>
      </w:r>
    </w:p>
    <w:p w14:paraId="6B06A0D2" w14:textId="5CD80213" w:rsidR="00FC4FDF" w:rsidRPr="00E63806" w:rsidRDefault="00FC4FDF" w:rsidP="00DF7604">
      <w:pPr>
        <w:spacing w:line="480" w:lineRule="auto"/>
        <w:jc w:val="both"/>
        <w:rPr>
          <w:rFonts w:asciiTheme="minorHAnsi" w:hAnsiTheme="minorHAnsi" w:cs="Calibri"/>
          <w:b/>
          <w:bCs/>
          <w:color w:val="000000"/>
          <w:sz w:val="24"/>
          <w:szCs w:val="24"/>
          <w:lang w:val="en-US"/>
        </w:rPr>
      </w:pPr>
      <w:r w:rsidRPr="00E63806">
        <w:rPr>
          <w:rFonts w:asciiTheme="minorHAnsi" w:hAnsiTheme="minorHAnsi" w:cs="Calibri"/>
          <w:color w:val="000000"/>
          <w:sz w:val="24"/>
          <w:szCs w:val="24"/>
          <w:lang w:val="en-US"/>
        </w:rPr>
        <w:t>There was a trend for improvement in all domains of SF36 following iron administration for all iron treatment groups combined and with all compounds separately until study completion. This was not statistically si</w:t>
      </w:r>
      <w:r w:rsidR="00FC59FC" w:rsidRPr="00E63806">
        <w:rPr>
          <w:rFonts w:asciiTheme="minorHAnsi" w:hAnsiTheme="minorHAnsi" w:cs="Calibri"/>
          <w:color w:val="000000"/>
          <w:sz w:val="24"/>
          <w:szCs w:val="24"/>
          <w:lang w:val="en-US"/>
        </w:rPr>
        <w:t xml:space="preserve">gnificant (Supplementary Table </w:t>
      </w:r>
      <w:r w:rsidR="00FC59FC" w:rsidRPr="00B046B3">
        <w:rPr>
          <w:rFonts w:asciiTheme="minorHAnsi" w:hAnsiTheme="minorHAnsi" w:cs="Calibri"/>
          <w:sz w:val="24"/>
          <w:szCs w:val="24"/>
          <w:lang w:val="en-US"/>
        </w:rPr>
        <w:t>6</w:t>
      </w:r>
      <w:r w:rsidRPr="00E63806">
        <w:rPr>
          <w:rFonts w:asciiTheme="minorHAnsi" w:hAnsiTheme="minorHAnsi" w:cs="Calibri"/>
          <w:color w:val="000000"/>
          <w:sz w:val="24"/>
          <w:szCs w:val="24"/>
          <w:lang w:val="en-US"/>
        </w:rPr>
        <w:t xml:space="preserve">). </w:t>
      </w:r>
    </w:p>
    <w:p w14:paraId="7854933E" w14:textId="77777777" w:rsidR="00FC4FDF" w:rsidRPr="00E63806" w:rsidRDefault="00FC4FDF" w:rsidP="00DF7604">
      <w:pPr>
        <w:spacing w:line="480" w:lineRule="auto"/>
        <w:jc w:val="both"/>
        <w:rPr>
          <w:rFonts w:asciiTheme="minorHAnsi" w:hAnsiTheme="minorHAnsi" w:cs="Calibri"/>
          <w:color w:val="000000"/>
          <w:sz w:val="24"/>
          <w:szCs w:val="24"/>
          <w:lang w:val="en-US"/>
        </w:rPr>
      </w:pPr>
      <w:r w:rsidRPr="00E63806">
        <w:rPr>
          <w:rFonts w:asciiTheme="minorHAnsi" w:hAnsiTheme="minorHAnsi" w:cs="Calibri"/>
          <w:b/>
          <w:bCs/>
          <w:i/>
          <w:iCs/>
          <w:color w:val="000000"/>
          <w:sz w:val="24"/>
          <w:szCs w:val="24"/>
          <w:lang w:val="en-US"/>
        </w:rPr>
        <w:t>Safety</w:t>
      </w:r>
      <w:r w:rsidRPr="00E63806">
        <w:rPr>
          <w:rFonts w:asciiTheme="minorHAnsi" w:hAnsiTheme="minorHAnsi" w:cs="Calibri"/>
          <w:b/>
          <w:bCs/>
          <w:color w:val="000000"/>
          <w:sz w:val="24"/>
          <w:szCs w:val="24"/>
          <w:lang w:val="en-US"/>
        </w:rPr>
        <w:br/>
      </w:r>
      <w:r w:rsidRPr="00E63806">
        <w:rPr>
          <w:rFonts w:asciiTheme="minorHAnsi" w:hAnsiTheme="minorHAnsi" w:cs="Calibri"/>
          <w:color w:val="000000"/>
          <w:sz w:val="24"/>
          <w:szCs w:val="24"/>
          <w:lang w:val="en-US"/>
        </w:rPr>
        <w:t>One death occurred during the study due to myocardial infarction in a patient with significant cardiovascular comorbidities, one week following infusion of iron (1000 mg FDI). The event was deemed unrelated to the study drug. There were no episodes of anaphylaxis or infusion reactions. No infection-related hospitalizations and no other cardiovascular events occurred.</w:t>
      </w:r>
    </w:p>
    <w:p w14:paraId="5FA1B492" w14:textId="77777777" w:rsidR="00FC4FDF" w:rsidRPr="00E63806" w:rsidRDefault="00FC4FDF" w:rsidP="00DF7604">
      <w:pPr>
        <w:pStyle w:val="Body"/>
        <w:pageBreakBefore/>
        <w:spacing w:line="480" w:lineRule="auto"/>
        <w:jc w:val="both"/>
        <w:rPr>
          <w:rFonts w:asciiTheme="minorHAnsi" w:hAnsiTheme="minorHAnsi"/>
          <w:b/>
          <w:u w:val="single"/>
        </w:rPr>
      </w:pPr>
      <w:r w:rsidRPr="00E63806">
        <w:rPr>
          <w:rFonts w:asciiTheme="minorHAnsi" w:hAnsiTheme="minorHAnsi"/>
          <w:b/>
          <w:u w:val="single"/>
        </w:rPr>
        <w:lastRenderedPageBreak/>
        <w:t>Discussion</w:t>
      </w:r>
    </w:p>
    <w:p w14:paraId="59993967" w14:textId="77777777"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In the IRON-CKD study we examined whether administration of IV iron products with different structural stability and risk of labile iron release would have a differential impact on biomarkers of oxidative stress and inflammation, and on measures of efficacy, endothelial function and safety in iron deficient individuals with CKD. We also compared different doses of FDI, a commonly used third generation IVIP with low risk of labile release to identify any dosage-related differences.</w:t>
      </w:r>
    </w:p>
    <w:p w14:paraId="663C01A0" w14:textId="2BF173FF"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 xml:space="preserve">Previously, it was assumed that a short-lived increase in oxidative stress was pathogenic. In this study, markers of oxidative stress returned to baseline within one week irrespective of iron preparation and dose. </w:t>
      </w:r>
      <w:r w:rsidR="00A241D4" w:rsidRPr="00B046B3">
        <w:rPr>
          <w:rFonts w:asciiTheme="minorHAnsi" w:hAnsiTheme="minorHAnsi"/>
          <w:color w:val="auto"/>
        </w:rPr>
        <w:t>Here, despite a trend f</w:t>
      </w:r>
      <w:r w:rsidR="00437D55" w:rsidRPr="00B046B3">
        <w:rPr>
          <w:rFonts w:asciiTheme="minorHAnsi" w:hAnsiTheme="minorHAnsi"/>
          <w:color w:val="auto"/>
        </w:rPr>
        <w:t>or increase in TBARS with high-</w:t>
      </w:r>
      <w:r w:rsidR="00A241D4" w:rsidRPr="00B046B3">
        <w:rPr>
          <w:rFonts w:asciiTheme="minorHAnsi" w:hAnsiTheme="minorHAnsi"/>
          <w:color w:val="auto"/>
        </w:rPr>
        <w:t>dose FDI and IS</w:t>
      </w:r>
      <w:r w:rsidR="00AF3947" w:rsidRPr="00B046B3">
        <w:rPr>
          <w:rFonts w:asciiTheme="minorHAnsi" w:hAnsiTheme="minorHAnsi"/>
          <w:color w:val="auto"/>
        </w:rPr>
        <w:t>,</w:t>
      </w:r>
      <w:r w:rsidR="00A241D4" w:rsidRPr="00B046B3">
        <w:rPr>
          <w:rFonts w:asciiTheme="minorHAnsi" w:hAnsiTheme="minorHAnsi"/>
          <w:color w:val="auto"/>
        </w:rPr>
        <w:t xml:space="preserve"> this did not reach statistical significance at any point</w:t>
      </w:r>
      <w:r w:rsidR="00A241D4" w:rsidRPr="00E63806">
        <w:rPr>
          <w:rFonts w:asciiTheme="minorHAnsi" w:hAnsiTheme="minorHAnsi"/>
        </w:rPr>
        <w:t xml:space="preserve"> .</w:t>
      </w:r>
      <w:r w:rsidRPr="00E63806">
        <w:rPr>
          <w:rFonts w:asciiTheme="minorHAnsi" w:hAnsiTheme="minorHAnsi"/>
        </w:rPr>
        <w:t xml:space="preserve"> Labile plasma iron rose in a dose-dependent manner</w:t>
      </w:r>
      <w:r w:rsidR="00A241D4" w:rsidRPr="00E63806">
        <w:rPr>
          <w:rFonts w:asciiTheme="minorHAnsi" w:hAnsiTheme="minorHAnsi"/>
        </w:rPr>
        <w:t xml:space="preserve">, </w:t>
      </w:r>
      <w:r w:rsidR="00A241D4" w:rsidRPr="00B046B3">
        <w:rPr>
          <w:rFonts w:asciiTheme="minorHAnsi" w:hAnsiTheme="minorHAnsi"/>
          <w:color w:val="auto"/>
        </w:rPr>
        <w:t xml:space="preserve">with a statistically significant rise </w:t>
      </w:r>
      <w:r w:rsidR="00437D55" w:rsidRPr="00B046B3">
        <w:rPr>
          <w:rFonts w:asciiTheme="minorHAnsi" w:hAnsiTheme="minorHAnsi"/>
          <w:color w:val="auto"/>
        </w:rPr>
        <w:t xml:space="preserve">noted </w:t>
      </w:r>
      <w:r w:rsidR="00A241D4" w:rsidRPr="00B046B3">
        <w:rPr>
          <w:rFonts w:asciiTheme="minorHAnsi" w:hAnsiTheme="minorHAnsi"/>
          <w:color w:val="auto"/>
        </w:rPr>
        <w:t>with high-dose FDI</w:t>
      </w:r>
      <w:r w:rsidRPr="00B046B3">
        <w:rPr>
          <w:rFonts w:asciiTheme="minorHAnsi" w:hAnsiTheme="minorHAnsi"/>
          <w:color w:val="auto"/>
        </w:rPr>
        <w:t>.</w:t>
      </w:r>
      <w:r w:rsidRPr="00E63806">
        <w:rPr>
          <w:rFonts w:asciiTheme="minorHAnsi" w:hAnsiTheme="minorHAnsi"/>
        </w:rPr>
        <w:t xml:space="preserve"> Indeed, results from cellular studies with IVIP have commented on iron-induced increased cell stress that is possibly dose and tissue-dependent; no duration of effect was evaluated </w:t>
      </w:r>
      <w:r w:rsidRPr="00E63806">
        <w:rPr>
          <w:rFonts w:asciiTheme="minorHAnsi" w:hAnsiTheme="minorHAnsi"/>
        </w:rPr>
        <w:fldChar w:fldCharType="begin" w:fldLock="1"/>
      </w:r>
      <w:r w:rsidR="00B337AF">
        <w:rPr>
          <w:rFonts w:asciiTheme="minorHAnsi" w:hAnsiTheme="minorHAnsi"/>
        </w:rPr>
        <w:instrText>ADDIN CSL_CITATION {"citationItems":[{"id":"ITEM-1","itemData":{"DOI":"10.1371/journal.pone.0125272","ISSN":"19326203","abstract":"Background: There is a significant clinical need for effective treatment of iron deficiency. A number of compounds that can be administered intravenously have been developed. This study examines how the compounds are handled by macrophages and their relative potential to provoke oxidative stress. Methods: Human kidney (HK-2) cells, rat peritoneal macrophages and renal cortical homogenates were exposed to pharmaceutical iron preparations. Analyses were performed for indices of oxidative stress and cell integrity. In addition, in macrophages, iron uptake and release and cytokine secretion was monitored. Results: HK-2 cell viability was decreased by iron isomaltoside and ferumoxytol and all compounds induced lipid peroxidation. In the renal cortical homogenates, lipid peroxidation occurred at lowest concentrations with ferric carboxymaltose, iron dextran, iron sucrose and sodium ferric gluconate. In the macrophages, iron sucrose caused loss of cell viability. Iron uptake was highest for ferumoxytol and iron isomaltoside and lowest for iron sucrose and sodium ferric gluconate. Iron was released as secretion of ferritin or as ferrous iron via ferroportin. The latter was blocked by hepcidin. Exposure to ferric carboxymaltose and iron dextran resulted in release of tumor necrosis factor α. Conclusions: Exposure to iron compounds increased cell stress but was tissue and dose dependent. There was a clear difference in the handling of iron from the different compounds by macrophages that suggests in vivo responses may differ.","author":[{"dropping-particle":"","family":"Connor","given":"James R.","non-dropping-particle":"","parse-names":false,"suffix":""},{"dropping-particle":"","family":"Zhang","given":"Xuesheng","non-dropping-particle":"","parse-names":false,"suffix":""},{"dropping-particle":"","family":"Nixon","given":"Anne M.","non-dropping-particle":"","parse-names":false,"suffix":""},{"dropping-particle":"","family":"Webb","given":"Becky","non-dropping-particle":"","parse-names":false,"suffix":""},{"dropping-particle":"","family":"Perno","given":"Joseph R.","non-dropping-particle":"","parse-names":false,"suffix":""}],"container-title":"PLoS ONE","id":"ITEM-1","issue":"5","issued":{"date-parts":[["2015"]]},"title":"Comparative evaluation of nephrotoxicity and management by macrophages of intravenous pharmaceutical iron formulations","type":"article-journal","volume":"10"},"uris":["http://www.mendeley.com/documents/?uuid=7717063c-4607-482c-9c23-d61103bf5033"]}],"mendeley":{"formattedCitation":"[22]","plainTextFormattedCitation":"[22]","previouslyFormattedCitation":"(22)"},"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[22]</w:t>
      </w:r>
      <w:r w:rsidRPr="00E63806">
        <w:rPr>
          <w:rFonts w:asciiTheme="minorHAnsi" w:hAnsiTheme="minorHAnsi"/>
        </w:rPr>
        <w:fldChar w:fldCharType="end"/>
      </w:r>
      <w:r w:rsidRPr="00E63806">
        <w:rPr>
          <w:rFonts w:asciiTheme="minorHAnsi" w:hAnsiTheme="minorHAnsi"/>
        </w:rPr>
        <w:t xml:space="preserve">. </w:t>
      </w:r>
      <w:r w:rsidR="00A241D4" w:rsidRPr="00B046B3">
        <w:rPr>
          <w:rFonts w:asciiTheme="minorHAnsi" w:hAnsiTheme="minorHAnsi"/>
          <w:color w:val="auto"/>
        </w:rPr>
        <w:t xml:space="preserve">The </w:t>
      </w:r>
      <w:r w:rsidRPr="00B046B3">
        <w:rPr>
          <w:rFonts w:asciiTheme="minorHAnsi" w:hAnsiTheme="minorHAnsi"/>
          <w:color w:val="auto"/>
        </w:rPr>
        <w:t xml:space="preserve">dose-dependent rise </w:t>
      </w:r>
      <w:r w:rsidR="00A241D4" w:rsidRPr="00B046B3">
        <w:rPr>
          <w:rFonts w:asciiTheme="minorHAnsi" w:hAnsiTheme="minorHAnsi"/>
          <w:color w:val="auto"/>
        </w:rPr>
        <w:t xml:space="preserve">displayed </w:t>
      </w:r>
      <w:r w:rsidRPr="00B046B3">
        <w:rPr>
          <w:rFonts w:asciiTheme="minorHAnsi" w:hAnsiTheme="minorHAnsi"/>
          <w:color w:val="auto"/>
        </w:rPr>
        <w:t xml:space="preserve">was </w:t>
      </w:r>
      <w:r w:rsidR="00437D55" w:rsidRPr="00B046B3">
        <w:rPr>
          <w:rFonts w:asciiTheme="minorHAnsi" w:hAnsiTheme="minorHAnsi"/>
          <w:color w:val="auto"/>
        </w:rPr>
        <w:t xml:space="preserve">however </w:t>
      </w:r>
      <w:r w:rsidRPr="00B046B3">
        <w:rPr>
          <w:rFonts w:asciiTheme="minorHAnsi" w:hAnsiTheme="minorHAnsi"/>
          <w:color w:val="auto"/>
        </w:rPr>
        <w:t>short-lived</w:t>
      </w:r>
      <w:r w:rsidR="00A241D4" w:rsidRPr="00B046B3">
        <w:rPr>
          <w:rFonts w:asciiTheme="minorHAnsi" w:hAnsiTheme="minorHAnsi"/>
          <w:color w:val="auto"/>
        </w:rPr>
        <w:t>,</w:t>
      </w:r>
      <w:r w:rsidRPr="00B046B3">
        <w:rPr>
          <w:rFonts w:asciiTheme="minorHAnsi" w:hAnsiTheme="minorHAnsi"/>
          <w:color w:val="auto"/>
        </w:rPr>
        <w:t xml:space="preserve"> and did not translate into systemic adverse effects </w:t>
      </w:r>
      <w:r w:rsidR="00437D55" w:rsidRPr="00B046B3">
        <w:rPr>
          <w:rFonts w:asciiTheme="minorHAnsi" w:hAnsiTheme="minorHAnsi"/>
          <w:color w:val="auto"/>
        </w:rPr>
        <w:t>n</w:t>
      </w:r>
      <w:r w:rsidRPr="00B046B3">
        <w:rPr>
          <w:rFonts w:asciiTheme="minorHAnsi" w:hAnsiTheme="minorHAnsi"/>
          <w:color w:val="auto"/>
        </w:rPr>
        <w:t xml:space="preserve">or </w:t>
      </w:r>
      <w:r w:rsidR="00A241D4" w:rsidRPr="00B046B3">
        <w:rPr>
          <w:rFonts w:asciiTheme="minorHAnsi" w:hAnsiTheme="minorHAnsi"/>
          <w:color w:val="auto"/>
        </w:rPr>
        <w:t>a statistically significant increa</w:t>
      </w:r>
      <w:r w:rsidR="00A241D4" w:rsidRPr="00E63806">
        <w:rPr>
          <w:rFonts w:asciiTheme="minorHAnsi" w:hAnsiTheme="minorHAnsi"/>
        </w:rPr>
        <w:t xml:space="preserve">se </w:t>
      </w:r>
      <w:r w:rsidR="00A241D4" w:rsidRPr="00B046B3">
        <w:rPr>
          <w:rFonts w:asciiTheme="minorHAnsi" w:hAnsiTheme="minorHAnsi"/>
          <w:color w:val="auto"/>
        </w:rPr>
        <w:t>in</w:t>
      </w:r>
      <w:r w:rsidRPr="00B046B3">
        <w:rPr>
          <w:rFonts w:asciiTheme="minorHAnsi" w:hAnsiTheme="minorHAnsi"/>
          <w:color w:val="auto"/>
        </w:rPr>
        <w:t xml:space="preserve"> oxidative stress</w:t>
      </w:r>
      <w:r w:rsidR="00437D55" w:rsidRPr="00B046B3">
        <w:rPr>
          <w:rFonts w:asciiTheme="minorHAnsi" w:hAnsiTheme="minorHAnsi"/>
          <w:color w:val="auto"/>
        </w:rPr>
        <w:t xml:space="preserve"> and inflammatory markers</w:t>
      </w:r>
      <w:r w:rsidRPr="00B046B3">
        <w:rPr>
          <w:rFonts w:asciiTheme="minorHAnsi" w:hAnsiTheme="minorHAnsi"/>
          <w:color w:val="auto"/>
        </w:rPr>
        <w:t xml:space="preserve">. </w:t>
      </w:r>
      <w:r w:rsidRPr="00E63806">
        <w:rPr>
          <w:rFonts w:asciiTheme="minorHAnsi" w:hAnsiTheme="minorHAnsi"/>
        </w:rPr>
        <w:t xml:space="preserve">The unchanged LPI from baseline with 200 mg FDI potentially reflects the controlled iron delivery to iron-binding proteins with FDI. This results from the tight binding of iron in the carbohydrate matrix of FDI, which translates into a highly stable compound when compared to second generation iron preparations such as IS </w:t>
      </w:r>
      <w:r w:rsidRPr="00E63806">
        <w:rPr>
          <w:rFonts w:asciiTheme="minorHAnsi" w:hAnsiTheme="minorHAnsi"/>
        </w:rPr>
        <w:fldChar w:fldCharType="begin" w:fldLock="1"/>
      </w:r>
      <w:r w:rsidR="00B337AF">
        <w:rPr>
          <w:rFonts w:asciiTheme="minorHAnsi" w:hAnsiTheme="minorHAnsi"/>
        </w:rPr>
        <w:instrText>ADDIN CSL_CITATION {"citationItems":[{"id":"ITEM-1","itemData":{"DOI":"10.1016/j.jpba.2013.08.005","ISSN":"07317085","abstract":"Drug products containing iron oxide and hydroxide nanoparticles (INPs) are important for the treatment of iron deficiency anaemia. Pharmaceuticals prepared by the complexation of different kinds of INPs and carbohydrates have different physicochemical and biopharmaceutic characteristics. The increasing number of parenteral non-biological complex drugs (NBCD) containing iron requires physicochemical methods for characterization and enabling of cross comparisons. In this context the structure and the level of crystallinity of the iron phases may be connected to the in vitro and in vivo dissolution rates, which etiologically determine the therapeutic and toxic effects.X-ray powder diffraction (XRPD) and electron diffraction (ED) methods were used in order to investigate the nine different parenteral iron formulations Ferumoxytol (Feraheme®), sodium ferric gluconate sucrose (Ferrlecit®), iron sucrose (Venofer®), low molecular weight iron dextran (CosmoFer®), low molecular weight iron dextran (Infed®), high molecular weight iron dextran (Ironate®), high molecular weight iron dextran (Dexferrum®), iron carboxymaltose (Ferinject®) and iron isomaltoside 1000 (Monofer®).The iron phase in CosmoFer®, Ferinject®, Monofer®, Infed®, Ironate® and Dexferrum® was identified as Akaganeite/Akaganeite-like (β-FeOOH), with low amounts of chloride. By combining results of both methods the iron oxide in Feraheme® was identified as Magnetite (Fe3O4) with spinel-like structure. Ferrlecit® and Venofer® were difficult to analyze due to the low degree of crystallinity, but the iron phase seems to fit Lepidocrocite/Lepidocrocite-like (γ-FeOOH) or an amorphous kind of structure. The structural information on the type of iron oxide or hydroxide together with the particle size allows predicting the stability of the different complexes including their labile iron content. The combination of ED and XRPD methods is a very helpful approach especially for structural analysis of nanoscopic or low crystalline materials. © 2013 Elsevier B.V.","author":[{"dropping-particle":"","family":"Fütterer","given":"S.","non-dropping-particle":"","parse-names":false,"suffix":""},{"dropping-particle":"","family":"Andrusenko","given":"I.","non-dropping-particle":"","parse-names":false,"suffix":""},{"dropping-particle":"","family":"Kolb","given":"U.","non-dropping-particle":"","parse-names":false,"suffix":""},{"dropping-particle":"","family":"Hofmeister","given":"W.","non-dropping-particle":"","parse-names":false,"suffix":""},{"dropping-particle":"","family":"Langguth","given":"P.","non-dropping-particle":"","parse-names":false,"suffix":""}],"container-title":"Journal of Pharmaceutical and Biomedical Analysis","id":"ITEM-1","issued":{"date-parts":[["2013"]]},"page":"151-160","title":"Structural characterization of iron oxide/hydroxide nanoparticles in nine different parenteral drugs for the treatment of iron deficiency anaemia by electron diffraction (ED) and X-ray powder diffraction (XRPD)","type":"article-journal","volume":"86"},"uris":["http://www.mendeley.com/documents/?uuid=02a49177-f773-4abe-96ae-3e82bbc32396"]}],"mendeley":{"formattedCitation":"[23]","plainTextFormattedCitation":"[23]","previouslyFormattedCitation":"(23)"},"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[23]</w:t>
      </w:r>
      <w:r w:rsidRPr="00E63806">
        <w:rPr>
          <w:rFonts w:asciiTheme="minorHAnsi" w:hAnsiTheme="minorHAnsi"/>
        </w:rPr>
        <w:fldChar w:fldCharType="end"/>
      </w:r>
      <w:r w:rsidRPr="00E63806">
        <w:rPr>
          <w:rFonts w:asciiTheme="minorHAnsi" w:hAnsiTheme="minorHAnsi"/>
        </w:rPr>
        <w:t xml:space="preserve">. Garbowski and colleagues recently commented on two iron release modes; early (direct delivery of iron to transferrin in blood) and late (indirect release of iron from macrophages) with differences between IV irons dependent on their pharmacokinetic properties </w:t>
      </w:r>
      <w:r w:rsidRPr="00E63806">
        <w:rPr>
          <w:rFonts w:asciiTheme="minorHAnsi" w:hAnsiTheme="minorHAnsi"/>
        </w:rPr>
        <w:fldChar w:fldCharType="begin" w:fldLock="1"/>
      </w:r>
      <w:r w:rsidR="00B337AF">
        <w:rPr>
          <w:rFonts w:asciiTheme="minorHAnsi" w:hAnsiTheme="minorHAnsi"/>
        </w:rPr>
        <w:instrText>ADDIN CSL_CITATION {"citationItems":[{"id":"ITEM-1","itemData":{"DOI":"10.1182/blood-2019-125618","ISSN":"0006-4971","abstract":"BackgroundThe prodrug-like intravenous iron-carbohydrate complex preparations (IVIPs) should not be considered interchangeable but with due regard to their different pharmacodynamics (PD) which is determined by the semi-crystalline iron core and carbohydrate shell structures (Bhandari et al, 2018). The pharmacokinetics (PK) of IVIPs influences PD profiles and thus efficacy and safety. Here we examine the complex PK/PD relationships with 3 IVIPs, for the first time identifying a 2-compartment model of transient NTBI generation following a single dose administration.Patients and Methods28 hypoferremic patients randomized (n=8/arm) to 200mg (iron) of ferric carboxymaltose (FCM), iron sucrose (IS) and iron isomaltoside 1000 (IIM) or placebo (n=4), were followed up for 2 wks on an exploratory PK/PD study. Serum samples (0-312h) were analyzed for total serum iron (Fe), plasma IVIP-iron (IVIP-Fe), transferrin (Tf)-bound iron (TBI) by inductively coupled plasma mass spectrometry, Tf saturation (TSAT) by Tf ELISA and a tripyridyl triazine assay, serum ferritin (SF) by turbidimetry, and non-TBI (NTBI) and hepcidin (hepc) as published (Garbowski et al, Transl Med 2016), (Bansal et al, Rapid Commun Mass Spectrom 2010). A p value &lt;0.05 was statistically significant. The study, sponsored by Vifor Pharma, was conducted according to the Declaration of Helsinki.ResultsPts were hypoferremic but non-anemic at baseline: SF 12.4±7.4µg/L, TSAT 18.6±8.5%, hemoglobin 128±8g/L. IVIP-dependent rises in Fe, IVIP-Fe, TSAT, SF, hepc, and NTBI returned to baseline in 2 wks or sooner, except for SF and TSAT. Large differences in the Fe AUCs on study, explainable by large differences in the IVIP-Fe AUCs, were consistent with the known relative differences of plasma half-lives (t1/2) of the IVIPs compared. IVIP-Fe at 4h was highest for IIM and smallest for IS, as was their AUC. With IIM, TSAT reached 80% at 16h, with IS 100% by 4h, and with FCM 98% at 24h; but AUC differences were small. NTBI was low with IIM (0.13µM at 8h), rapidly increased and high with IS (0.8µM at 2h, 1.25µM at 4h), and delayed for FCM (0.58µM at 24h). NTBI appeared after near- (for IIM) or full saturation of Tf but disappeared when TSAT fell &lt;65% (Fig). NTBI AUC for IS and FCM was 7.84- (p&lt;0.01) and 6.78-fold (p=0.04) higher vs. IIM but similar for IS and FCM. Hepc peak time varied, but not AUC or mean levels. SF varied significantly with IVIPs, rising faster with time for IS and FCM, slower for IIM (rate correla…","author":[{"dropping-particle":"","family":"Garbowski","given":"Maciej W","non-dropping-particle":"","parse-names":false,"suffix":""},{"dropping-particle":"","family":"Bansal","given":"Sukhvinder S","non-dropping-particle":"","parse-names":false,"suffix":""},{"dropping-particle":"","family":"Porter","given":"John B.","non-dropping-particle":"","parse-names":false,"suffix":""},{"dropping-particle":"","family":"Burckhardt","given":"Susanna","non-dropping-particle":"","parse-names":false,"suffix":""},{"dropping-particle":"","family":"Hider","given":"Robert","non-dropping-particle":"","parse-names":false,"suffix":""}],"container-title":"Blood","id":"ITEM-1","issue":"Supplement_1","issued":{"date-parts":[["2019","11"]]},"page":"2234-2234","title":"NTBI Is Transiently Generated from Two Compartments during a Single Dose of Intravenous Iron - a Randomized Controlled Clinical Study","type":"article-journal","volume":"134"},"uris":["http://www.mendeley.com/documents/?uuid=b3536ddf-8509-4b30-8d30-01450908e8fb"]}],"mendeley":{"formattedCitation":"[24]","plainTextFormattedCitation":"[24]","previouslyFormattedCitation":"(24)"},"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[24]</w:t>
      </w:r>
      <w:r w:rsidRPr="00E63806">
        <w:rPr>
          <w:rFonts w:asciiTheme="minorHAnsi" w:hAnsiTheme="minorHAnsi"/>
        </w:rPr>
        <w:fldChar w:fldCharType="end"/>
      </w:r>
      <w:r w:rsidRPr="00E63806">
        <w:rPr>
          <w:rFonts w:asciiTheme="minorHAnsi" w:hAnsiTheme="minorHAnsi"/>
        </w:rPr>
        <w:t xml:space="preserve">. They also concluded that FDI had a lower NTBI level compared to IS </w:t>
      </w:r>
      <w:r w:rsidRPr="00E63806">
        <w:rPr>
          <w:rFonts w:asciiTheme="minorHAnsi" w:hAnsiTheme="minorHAnsi"/>
        </w:rPr>
        <w:fldChar w:fldCharType="begin" w:fldLock="1"/>
      </w:r>
      <w:r w:rsidR="00B337AF">
        <w:rPr>
          <w:rFonts w:asciiTheme="minorHAnsi" w:hAnsiTheme="minorHAnsi"/>
        </w:rPr>
        <w:instrText>ADDIN CSL_CITATION {"citationItems":[{"id":"ITEM-1","itemData":{"DOI":"10.1182/blood-2019-125618","ISSN":"0006-4971","abstract":"BackgroundThe prodrug-like intravenous iron-carbohydrate complex preparations (IVIPs) should not be considered interchangeable but with due regard to their different pharmacodynamics (PD) which is determined by the semi-crystalline iron core and carbohydrate shell structures (Bhandari et al, 2018). The pharmacokinetics (PK) of IVIPs influences PD profiles and thus efficacy and safety. Here we examine the complex PK/PD relationships with 3 IVIPs, for the first time identifying a 2-compartment model of transient NTBI generation following a single dose administration.Patients and Methods28 hypoferremic patients randomized (n=8/arm) to 200mg (iron) of ferric carboxymaltose (FCM), iron sucrose (IS) and iron isomaltoside 1000 (IIM) or placebo (n=4), were followed up for 2 wks on an exploratory PK/PD study. Serum samples (0-312h) were analyzed for total serum iron (Fe), plasma IVIP-iron (IVIP-Fe), transferrin (Tf)-bound iron (TBI) by inductively coupled plasma mass spectrometry, Tf saturation (TSAT) by Tf ELISA and a tripyridyl triazine assay, serum ferritin (SF) by turbidimetry, and non-TBI (NTBI) and hepcidin (hepc) as published (Garbowski et al, Transl Med 2016), (Bansal et al, Rapid Commun Mass Spectrom 2010). A p value &lt;0.05 was statistically significant. The study, sponsored by Vifor Pharma, was conducted according to the Declaration of Helsinki.ResultsPts were hypoferremic but non-anemic at baseline: SF 12.4±7.4µg/L, TSAT 18.6±8.5%, hemoglobin 128±8g/L. IVIP-dependent rises in Fe, IVIP-Fe, TSAT, SF, hepc, and NTBI returned to baseline in 2 wks or sooner, except for SF and TSAT. Large differences in the Fe AUCs on study, explainable by large differences in the IVIP-Fe AUCs, were consistent with the known relative differences of plasma half-lives (t1/2) of the IVIPs compared. IVIP-Fe at 4h was highest for IIM and smallest for IS, as was their AUC. With IIM, TSAT reached 80% at 16h, with IS 100% by 4h, and with FCM 98% at 24h; but AUC differences were small. NTBI was low with IIM (0.13µM at 8h), rapidly increased and high with IS (0.8µM at 2h, 1.25µM at 4h), and delayed for FCM (0.58µM at 24h). NTBI appeared after near- (for IIM) or full saturation of Tf but disappeared when TSAT fell &lt;65% (Fig). NTBI AUC for IS and FCM was 7.84- (p&lt;0.01) and 6.78-fold (p=0.04) higher vs. IIM but similar for IS and FCM. Hepc peak time varied, but not AUC or mean levels. SF varied significantly with IVIPs, rising faster with time for IS and FCM, slower for IIM (rate correla…","author":[{"dropping-particle":"","family":"Garbowski","given":"Maciej W","non-dropping-particle":"","parse-names":false,"suffix":""},{"dropping-particle":"","family":"Bansal","given":"Sukhvinder S","non-dropping-particle":"","parse-names":false,"suffix":""},{"dropping-particle":"","family":"Porter","given":"John B.","non-dropping-particle":"","parse-names":false,"suffix":""},{"dropping-particle":"","family":"Burckhardt","given":"Susanna","non-dropping-particle":"","parse-names":false,"suffix":""},{"dropping-particle":"","family":"Hider","given":"Robert","non-dropping-particle":"","parse-names":false,"suffix":""}],"container-title":"Blood","id":"ITEM-1","issue":"Supplement_1","issued":{"date-parts":[["2019","11"]]},"page":"2234-2234","title":"NTBI Is Transiently Generated from Two Compartments during a Single Dose of Intravenous Iron - a Randomized Controlled Clinical Study","type":"article-journal","volume":"134"},"uris":["http://www.mendeley.com/documents/?uuid=b3536ddf-8509-4b30-8d30-01450908e8fb"]}],"mendeley":{"formattedCitation":"[24]","plainTextFormattedCitation":"[24]","previouslyFormattedCitation":"(24)"},"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[24]</w:t>
      </w:r>
      <w:r w:rsidRPr="00E63806">
        <w:rPr>
          <w:rFonts w:asciiTheme="minorHAnsi" w:hAnsiTheme="minorHAnsi"/>
        </w:rPr>
        <w:fldChar w:fldCharType="end"/>
      </w:r>
      <w:r w:rsidRPr="00E63806">
        <w:rPr>
          <w:rFonts w:asciiTheme="minorHAnsi" w:hAnsiTheme="minorHAnsi"/>
        </w:rPr>
        <w:t xml:space="preserve">, similar to the findings in </w:t>
      </w:r>
      <w:r w:rsidRPr="00E63806">
        <w:rPr>
          <w:rFonts w:asciiTheme="minorHAnsi" w:hAnsiTheme="minorHAnsi"/>
        </w:rPr>
        <w:lastRenderedPageBreak/>
        <w:t xml:space="preserve">the current IRON-CKD study showing lower levels of NTBI with FDI versus IS and ID at equivalent doses. The lack of impact on oxidative stress by FDI could explain the recent findings of the FERWON-Nephro trial where high dose FDI (1000 mg) when compared to IS (5 x 200 mg over 2 weeks) resulted in an improved incidence of cardiovascular events </w:t>
      </w:r>
      <w:r w:rsidRPr="00E63806">
        <w:rPr>
          <w:rFonts w:asciiTheme="minorHAnsi" w:hAnsiTheme="minorHAnsi"/>
        </w:rPr>
        <w:fldChar w:fldCharType="begin" w:fldLock="1"/>
      </w:r>
      <w:r w:rsidR="00B337AF">
        <w:rPr>
          <w:rFonts w:asciiTheme="minorHAnsi" w:hAnsiTheme="minorHAnsi"/>
        </w:rPr>
        <w:instrText>ADDIN CSL_CITATION {"citationItems":[{"id":"ITEM-1","itemData":{"DOI":"10.1093/ndt/gfaa011","ISSN":"0931-0509","abstract":"BACKGROUND: The optimal intravenous (IV) iron would allow safe correction of iron deficiency at a single infusion over a short time. The FERWON-NEPHRO trial evaluated the safety and efficacy of iron isomaltoside 1000/ferric derisomaltose (IIM) in patients with non-dialysis-dependent chronic kidney disease and iron deficiency anaemia. METHOD(S): In this randomized, open-label and multi-centre trial conducted in the USA, patients were randomized 2:1 to a single dose of 1000mg IIM or iron sucrose (IS) administered as 200mg IV injections up to five times within a 2-week period. The co-primary endpoints were serious or severe hypersensitivity reactions and change in haemoglobin (Hb) from baseline to Week 8. Secondary endpoints included incidence of composite cardiovascular adverse events (AEs). RESULT(S): A total of 1538 patients were enrolled (mean estimated glomerular filtration rate 35.5mL/min/1.73m2). The co-primary safety objective was met based on no significant difference in the incidence of serious or severe hypersensitivity reactions in the IIM and IS groups [0.3% versus 0%; risk difference: 0.29% (95% confidence interval: -0.19; 0.77; P&gt;0.05)]. Incidence of composite cardiovascular AEs was significantly lower in the IIM versus IS group (4.1% versus 6.9%; P=0.025). Compared with IS, IIM led to a more pronounced increase in Hb during the first 4weeks (P&lt;=0.021), and change in Hb to Week 8 showed non-inferiority, confirming that the co-primary efficacy objective was met. CONCLUSION(S): Compared with multiple doses of IS, a single dose of IIM induced a non-inferior 8-week haematological response, comparably low rates of hypersensitivity reactions, and a significantly lower incidence of composite cardiovascular AEs.Copyright © The Author(s) 2020. Published by Oxford University Press on behalf of ERA-EDTA.","author":[{"dropping-particle":"","family":"Bhandari","given":"Sunil","non-dropping-particle":"","parse-names":false,"suffix":""},{"dropping-particle":"","family":"Kalra","given":"Philip A","non-dropping-particle":"","parse-names":false,"suffix":""},{"dropping-particle":"","family":"Berkowitz","given":"Mario","non-dropping-particle":"","parse-names":false,"suffix":""},{"dropping-particle":"","family":"Belo","given":"Diogo","non-dropping-particle":"","parse-names":false,"suffix":""},{"dropping-particle":"","family":"Thomsen","given":"Lars L","non-dropping-particle":"","parse-names":false,"suffix":""},{"dropping-particle":"","family":"Wolf","given":"Myles","non-dropping-particle":"","parse-names":false,"suffix":""}],"container-title":"Nephrology Dialysis Transplantation","id":"ITEM-1","issue":"Online ahead of print","issued":{"date-parts":[["2020"]]},"title":"Safety and efficacy of iron isomaltoside 1000/ferric derisomaltose versus iron sucrose in patients with chronic kidney disease: the FERWON-NEPHRO randomized, open-label, comparative trial","type":"article-journal"},"uris":["http://www.mendeley.com/documents/?uuid=cea91885-4720-4a97-aeb6-0d70672cbe26"]}],"mendeley":{"formattedCitation":"[25]","plainTextFormattedCitation":"[25]","previouslyFormattedCitation":"(25)"},"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[25]</w:t>
      </w:r>
      <w:r w:rsidRPr="00E63806">
        <w:rPr>
          <w:rFonts w:asciiTheme="minorHAnsi" w:hAnsiTheme="minorHAnsi"/>
        </w:rPr>
        <w:fldChar w:fldCharType="end"/>
      </w:r>
      <w:r w:rsidRPr="00E63806">
        <w:rPr>
          <w:rFonts w:asciiTheme="minorHAnsi" w:hAnsiTheme="minorHAnsi"/>
        </w:rPr>
        <w:t>.</w:t>
      </w:r>
    </w:p>
    <w:p w14:paraId="271755D5" w14:textId="0ED67A23"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 xml:space="preserve">This can be inferred further through the transient rise in CRP with IS, a compound with weaker iron binding. The brief rise in interleukin-10 (an anti-inflammatory cytokine) caused by IS could represent part of a regulatory process in response to interleukin-12 (a pro-inflammatory cytokine) </w:t>
      </w:r>
      <w:r w:rsidRPr="00E63806">
        <w:rPr>
          <w:rFonts w:asciiTheme="minorHAnsi" w:hAnsiTheme="minorHAnsi"/>
        </w:rPr>
        <w:fldChar w:fldCharType="begin" w:fldLock="1"/>
      </w:r>
      <w:r w:rsidR="00B337AF">
        <w:rPr>
          <w:rFonts w:asciiTheme="minorHAnsi" w:hAnsiTheme="minorHAnsi"/>
        </w:rPr>
        <w:instrText>ADDIN CSL_CITATION {"citationItems":[{"id":"ITEM-1","itemData":{"DOI":"10.12688/f1000research.7010.1","ISSN":"1759796X","abstract":"Interleukin-10 and Interleukin-12 are produced primarily by pathogen-activated antigen-presenting cells, particularly macrophages and dendritic cells. IL-10 and IL-12 play very important immunoregulatory roles in host defense and immune homeostasis. Being anti- and pro-inflammatory in nature, respectively, their functions are antagonistically opposing. A comprehensive and in-depth understanding of their immunological properties and signaling mechanisms will help develop better clinical intervention strategies in therapy for a wide range of human disorders. Here, we provide an update on some emerging concepts, controversies, unanswered questions, and opinions regarding the immune signaling of IL-10 and IL-12.","author":[{"dropping-particle":"","family":"Ma","given":"Xiaojing","non-dropping-particle":"","parse-names":false,"suffix":""},{"dropping-particle":"","family":"Yan","given":"Wenjun","non-dropping-particle":"","parse-names":false,"suffix":""},{"dropping-particle":"","family":"Zheng","given":"Hua","non-dropping-particle":"","parse-names":false,"suffix":""},{"dropping-particle":"","family":"Du","given":"Qinglin","non-dropping-particle":"","parse-names":false,"suffix":""},{"dropping-particle":"","family":"Zhang","given":"Lixing","non-dropping-particle":"","parse-names":false,"suffix":""},{"dropping-particle":"","family":"Ban","given":"Yi","non-dropping-particle":"","parse-names":false,"suffix":""},{"dropping-particle":"","family":"Li","given":"Na","non-dropping-particle":"","parse-names":false,"suffix":""},{"dropping-particle":"","family":"Wei","given":"Fang","non-dropping-particle":"","parse-names":false,"suffix":""}],"container-title":"F1000Research","id":"ITEM-1","issued":{"date-parts":[["2015"]]},"page":"1-13","title":"Regulation of IL-10 and IL-12 production and function in macrophages and dendritic cells","type":"article","volume":"4"},"uris":["http://www.mendeley.com/documents/?uuid=1ea1b698-fefa-4572-8546-235a69a2ae1e"]}],"mendeley":{"formattedCitation":"[26]","plainTextFormattedCitation":"[26]","previouslyFormattedCitation":"(26)"},"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[26]</w:t>
      </w:r>
      <w:r w:rsidRPr="00E63806">
        <w:rPr>
          <w:rFonts w:asciiTheme="minorHAnsi" w:hAnsiTheme="minorHAnsi"/>
        </w:rPr>
        <w:fldChar w:fldCharType="end"/>
      </w:r>
      <w:r w:rsidRPr="00E63806">
        <w:rPr>
          <w:rFonts w:asciiTheme="minorHAnsi" w:hAnsiTheme="minorHAnsi"/>
        </w:rPr>
        <w:t xml:space="preserve">. The lack of significant effect on inflammatory markers with third generation IV iron, even at a high dose (FDI 1000 mg) may indicate that no LPI toxicity occurs with such compounds. </w:t>
      </w:r>
    </w:p>
    <w:p w14:paraId="454485C6" w14:textId="46CE6581"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 xml:space="preserve"> The rise in TSAT within hours in all groups proves that current available iron preparations are efficacious, delivering iron rapidly and providing a source of circulating iron. Serum ferritin achieved maximal rise after one week with FDI 1000 mg, which provided the most significant and lasting elevation. This may reflect a greater iron repletion effect and highlights that a higher dose of IV iron is able to produce substantial and more effective iron repletion. It is important to underline that at maximal SF concentrations, achieved with high-dose FDI, there was no induced oxidative stress. These results reveal greater iron replenishment using high doses in a manner similar to the landmark Proactive IV Iron Therapy in Hemodialysis Patients (PIVOTAL) study </w:t>
      </w:r>
      <w:r w:rsidRPr="00E63806">
        <w:rPr>
          <w:rFonts w:asciiTheme="minorHAnsi" w:hAnsiTheme="minorHAnsi"/>
        </w:rPr>
        <w:fldChar w:fldCharType="begin" w:fldLock="1"/>
      </w:r>
      <w:r w:rsidR="00B337AF">
        <w:rPr>
          <w:rFonts w:asciiTheme="minorHAnsi" w:hAnsiTheme="minorHAnsi"/>
        </w:rPr>
        <w:instrText>ADDIN CSL_CITATION {"citationItems":[{"id":"ITEM-1","itemData":{"DOI":"10.1056/NEJMoa1810742","ISSN":"15334406","PMID":"30365356","abstract":"BACKGROUND Intravenous iron is a standard treatment for patients undergoing hemodialysis, but comparative data regarding clinically effective regimens are limited. METHODS In a multicenter, open-label trial with blinded end-point evaluation, we randomly assigned adults undergoing maintenance hemodialysis to receive either high-dose iron sucrose, administered intravenously in a proactive fashion (400 mg monthly, unless the ferritin concentration was &gt;700 μg per liter or the transferrin saturation was ≥40%), or low-dose iron sucrose, administered intravenously in a reactive fashion (0 to 400 mg monthly, with a ferritin concentration of &lt;200 μg per liter or a transferrin saturation of &lt;20% being a trigger for iron administration). The primary end point was the composite of nonfatal myocardial infarction, nonfatal stroke, hospitalization for heart failure, or death, assessed in a time-to-first-event analysis. These end points were also analyzed as recurrent events. Other secondary end points included death, infection rate, and dose of an erythropoiesis-stimulating agent. Noninferiority of the high-dose group to the low-dose group would be established if the upper boundary of the 95% confidence interval for the hazard ratio for the primary end point did not cross 1.25. RESULTS A total of 2141 patients underwent randomization (1093 patients to the high-dose group and 1048 to the low-dose group). The median follow-up was 2.1 years. Patients in the high-dose group received a median monthly iron dose of 264 mg (interquartile range [25th to 75th percentile], 200 to 336), as compared with 145 mg (interquartile range, 100 to 190) in the low-dose group. The median monthly dose of an erythropoiesis-stimulating agent was 29,757 IU in the high-dose group and 38,805 IU in the low-dose group (median difference, −7539 IU; 95% confidence interval [CI], −9485 to −5582). A total of 320 patients (29.3%) in the high-dose group had a primary end-point event, as compared with 338 (32.3%) in the low-dose group (hazard ratio, 0.85; 95% CI, 0.73 to 1.00; P&lt;0.001 for noninferiority; P=0.04 for superiority). In an analysis that used a recurrent-events approach, there were 429 events in the high-dose group and 507 in the low-dose group (rate ratio, 0.77; 95% CI, 0.66 to 0.92). The infection rate was the same in the two groups. CONCLUSIONS Among patients undergoing hemodialysis, a high-dose intravenous iron regimen administered proactively was superior to a low-dose regimen administere…","author":[{"dropping-particle":"","family":"Macdougall","given":"Iain C.","non-dropping-particle":"","parse-names":false,"suffix":""},{"dropping-particle":"","family":"White","given":"Claire","non-dropping-particle":"","parse-names":false,"suffix":""},{"dropping-particle":"","family":"Anker","given":"Stefan D.","non-dropping-particle":"","parse-names":false,"suffix":""},{"dropping-particle":"","family":"Bhandari","given":"Sunil","non-dropping-particle":"","parse-names":false,"suffix":""},{"dropping-particle":"","family":"Farrington","given":"Kenneth","non-dropping-particle":"","parse-names":false,"suffix":""},{"dropping-particle":"","family":"Kalra","given":"Philip A.","non-dropping-particle":"","parse-names":false,"suffix":""},{"dropping-particle":"","family":"McMurray","given":"John J.V.","non-dropping-particle":"","parse-names":false,"suffix":""},{"dropping-particle":"","family":"Murray","given":"Heather","non-dropping-particle":"","parse-names":false,"suffix":""},{"dropping-particle":"","family":"Tomson","given":"Charles R.V.","non-dropping-particle":"","parse-names":false,"suffix":""},{"dropping-particle":"","family":"Wheeler","given":"David C.","non-dropping-particle":"","parse-names":false,"suffix":""},{"dropping-particle":"","family":"Winearls","given":"Christopher G.","non-dropping-particle":"","parse-names":false,"suffix":""},{"dropping-particle":"","family":"Ford","given":"Ian","non-dropping-particle":"","parse-names":false,"suffix":""}],"container-title":"New England Journal of Medicine","id":"ITEM-1","issue":"5","issued":{"date-parts":[["2019"]]},"page":"447-458","title":"Intravenous iron in patients undergoing maintenance hemodialysis","type":"article-journal","volume":"380"},"uris":["http://www.mendeley.com/documents/?uuid=30a2b0b8-b59e-4ce3-8960-d62909401c2d"]}],"mendeley":{"formattedCitation":"[27]","plainTextFormattedCitation":"[27]","previouslyFormattedCitation":"(27)"},"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[27]</w:t>
      </w:r>
      <w:r w:rsidRPr="00E63806">
        <w:rPr>
          <w:rFonts w:asciiTheme="minorHAnsi" w:hAnsiTheme="minorHAnsi"/>
        </w:rPr>
        <w:fldChar w:fldCharType="end"/>
      </w:r>
      <w:r w:rsidRPr="00E63806">
        <w:rPr>
          <w:rFonts w:asciiTheme="minorHAnsi" w:hAnsiTheme="minorHAnsi"/>
        </w:rPr>
        <w:t xml:space="preserve">. The modest increase in hemoglobin is consistent with previous studies in non-anemic patients demonstrating little change </w:t>
      </w:r>
      <w:r w:rsidRPr="00E63806">
        <w:rPr>
          <w:rFonts w:asciiTheme="minorHAnsi" w:hAnsiTheme="minorHAnsi"/>
        </w:rPr>
        <w:fldChar w:fldCharType="begin" w:fldLock="1"/>
      </w:r>
      <w:r w:rsidR="00B337AF">
        <w:rPr>
          <w:rFonts w:asciiTheme="minorHAnsi" w:hAnsiTheme="minorHAnsi"/>
        </w:rPr>
        <w:instrText>ADDIN CSL_CITATION {"citationItems":[{"id":"ITEM-1","itemData":{"DOI":"10.1002/14651858.CD013084.pub2","ISSN":"1469493X","PMID":"31860749","abstract":"Background: Iron deficiency is one of the most common nutritional deficiencies, and has a number of physiological manifestations. Early, or non-anaemic iron deficiency can result in fatigue and diminished exercise capacity. Oral iron preparations have a high incidence of intolerable side effects, and are ineffective in certain forms of iron deficiency. Consequently, intravenous iron preparations are increasingly used in the treatment of non-anaemic iron deficiency. The newer, more stable iron preparations in particular purport to have a lower incidence of side effects, and are now used across a range of different patient populations. Objectives: To assess the effects of intravenous iron therapy in the treatment of adults with non-anaemic iron deficiency. Search methods: On 18 October 2019 we electronically searched CENTRAL, MEDLINE, Embase, two further databases and two trials registries 2019. We handsearched the references of full-text extracted studies, and contacted relevant study authors for additional data. Selection criteria: We included randomised controlled trials that compared any intravenous iron preparation to placebo in adults. We excluded other forms of comparison such as oral iron versus placebo, intramuscular iron versus placebo, or intravenous iron studies where other iron preparations were used as the comparator. We also excluded studies involving erythropoietin therapy or obstetric populations. Data collection and analysis: Two review authors screened references for eligibility, extracted data and assessed risk of bias. We resolved differences in opinion through discussion and consensus, and where necessary, involved a third review author to adjudicate disputes. We contacted study authors to request additional data where appropriate. The primary outcome measures were haemoglobin concentration at the end of follow-up, and quality-of-life scores at end of follow-up. Secondary outcome measures were serum ferritin, peak oxygen consumption (as measured by cardiopulmonary exercise testing), adverse effects (graded as mild to moderate and severe) and bacterial infection. We pooled data for continuous outcomes, which we then reported as mean differences (MDs) with 95% confidence intervals (CIs). We reported quality-of-life metrics as standardised mean difference (SMD), and then converted them back into a more familiar measure, the Piper Fatigue Scale. We analysed dichotomous outcomes as risk ratios (RRs). Given an expected degree of heterogene…","author":[{"dropping-particle":"","family":"Miles","given":"Lachlan F.","non-dropping-particle":"","parse-names":false,"suffix":""},{"dropping-particle":"","family":"Litton","given":"Edward","non-dropping-particle":"","parse-names":false,"suffix":""},{"dropping-particle":"","family":"Imberger","given":"Georgina","non-dropping-particle":"","parse-names":false,"suffix":""},{"dropping-particle":"","family":"Story","given":"David","non-dropping-particle":"","parse-names":false,"suffix":""}],"container-title":"Cochrane Database of Systematic Reviews","id":"ITEM-1","issue":"12","issued":{"date-parts":[["2019"]]},"title":"Intravenous iron therapy for non-anaemic, iron-deficient adults","type":"article-journal","volume":"2019"},"uris":["http://www.mendeley.com/documents/?uuid=1860c279-34f6-4fca-a305-8d3ea7c42b14"]}],"mendeley":{"formattedCitation":"[28]","plainTextFormattedCitation":"[28]","previouslyFormattedCitation":"(28)"},"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[28]</w:t>
      </w:r>
      <w:r w:rsidRPr="00E63806">
        <w:rPr>
          <w:rFonts w:asciiTheme="minorHAnsi" w:hAnsiTheme="minorHAnsi"/>
        </w:rPr>
        <w:fldChar w:fldCharType="end"/>
      </w:r>
      <w:r w:rsidRPr="00E63806">
        <w:rPr>
          <w:rFonts w:asciiTheme="minorHAnsi" w:hAnsiTheme="minorHAnsi"/>
        </w:rPr>
        <w:t>.</w:t>
      </w:r>
    </w:p>
    <w:p w14:paraId="70CCDC03" w14:textId="2D08CDEC" w:rsidR="00FC4FDF" w:rsidRPr="00E63806" w:rsidRDefault="00DF7604" w:rsidP="00DF7604">
      <w:pPr>
        <w:pStyle w:val="Body"/>
        <w:spacing w:line="480" w:lineRule="auto"/>
        <w:jc w:val="both"/>
        <w:rPr>
          <w:rFonts w:asciiTheme="minorHAnsi" w:hAnsiTheme="minorHAnsi"/>
        </w:rPr>
      </w:pPr>
      <w:r w:rsidRPr="00B046B3">
        <w:rPr>
          <w:rFonts w:asciiTheme="minorHAnsi" w:hAnsiTheme="minorHAnsi"/>
          <w:color w:val="auto"/>
        </w:rPr>
        <w:t>Intravenous</w:t>
      </w:r>
      <w:r>
        <w:rPr>
          <w:rFonts w:asciiTheme="minorHAnsi" w:hAnsiTheme="minorHAnsi"/>
        </w:rPr>
        <w:t xml:space="preserve"> </w:t>
      </w:r>
      <w:r w:rsidR="00FC4FDF" w:rsidRPr="00E63806">
        <w:rPr>
          <w:rFonts w:asciiTheme="minorHAnsi" w:hAnsiTheme="minorHAnsi"/>
        </w:rPr>
        <w:t xml:space="preserve">iron did not aggravate arterial stiffness. This is coherent with other trials in patients receiving dialysis where no change in vascular reactivity was noted </w:t>
      </w:r>
      <w:r w:rsidR="00FC4FDF" w:rsidRPr="00E63806">
        <w:rPr>
          <w:rFonts w:asciiTheme="minorHAnsi" w:hAnsiTheme="minorHAnsi"/>
        </w:rPr>
        <w:fldChar w:fldCharType="begin" w:fldLock="1"/>
      </w:r>
      <w:r w:rsidR="00B337AF">
        <w:rPr>
          <w:rFonts w:asciiTheme="minorHAnsi" w:hAnsiTheme="minorHAnsi"/>
        </w:rPr>
        <w:instrText>ADDIN CSL_CITATION {"citationItems":[{"id":"ITEM-1","itemData":{"DOI":"10.1111/j.1523-1755.2005.00754.x","ISSN":"00852538","abstract":"Background. There are concerns about adverse vascular effects of intravenous iron by inducing oxidative stress. We therefore examined the effect of a single high dose of intravenous iron on endothelial function and biochemical markers of iron homeostasis. Methods. In a randomized, placebo-controlled, double-blind, parallel-group study, forearm blood flow (FBF) was assessed by strain-gauge plethysmography in 38 peritoneal dialysis patients before and after a single intravenous infusion of 300 mg iron sucrose. Results. Iron infusion increased total (Δ 601 μg/100 mL, CI 507, 696) and non-transferrin-bound iron (Δ 237.2 μmol/L, CI 173.6, 300.8) approximately 10-fold, as well as redox-active iron nearly five-fold (Δ 0.76 μmol/L, CI 0.54, 0.98). After iron infusion basal FBF was 59% higher than after placebo. FBF response to acetylcholine before and after iron infusion was 263 ± 32% and 310 ± 33%, corresponding to 304 ± 43% and 373 ± 29% in the placebo group, respectively. Before and after iron or placebo infusion, glyceryl-trinitrate increased resting FBF to 232 ± 22% and 258 ± 21% in the iron group, and to 234 ± 18% and 270 ± 30% in the placebo group. L-N-monomethyl-arginine decreased FBF to 70 ± 4% and 72 ± 3% before and after iron, and to 74 ± 4% and 73 ± 4% before and after placebo infusions, respectively. Despite higher basal FBF after iron infusion, absolute and relative FBF changes in response to vasoactive substances were not significantly different between iron and placebo groups. Conclusion. Our data suggest that 300 mg intravenous iron sucrose has a vasodilatory effect, but does not impair vascular reactivity in dialysis patients, despite a significant increase in non-transferrin-bound and redox-active iron. © 2005 by the International Society of Nephrology.","author":[{"dropping-particle":"","family":"Schaller","given":"Georg","non-dropping-particle":"","parse-names":false,"suffix":""},{"dropping-particle":"","family":"Scheiber-Mojdehkar","given":"Barbara","non-dropping-particle":"","parse-names":false,"suffix":""},{"dropping-particle":"","family":"Wolzt","given":"Michael","non-dropping-particle":"","parse-names":false,"suffix":""},{"dropping-particle":"","family":"Puttinger","given":"Heidi","non-dropping-particle":"","parse-names":false,"suffix":""},{"dropping-particle":"","family":"Mittermayer","given":"Friedrich","non-dropping-particle":"","parse-names":false,"suffix":""},{"dropping-particle":"","family":"Hörl","given":"Walter H.","non-dropping-particle":"","parse-names":false,"suffix":""},{"dropping-particle":"","family":"Födinger","given":"Manuela","non-dropping-particle":"","parse-names":false,"suffix":""},{"dropping-particle":"","family":"Sunder-Plassmann","given":"Gere","non-dropping-particle":"","parse-names":false,"suffix":""},{"dropping-particle":"","family":"Vychytil","given":"Andreas","non-dropping-particle":"","parse-names":false,"suffix":""}],"container-title":"Kidney International","id":"ITEM-1","issue":"6","issued":{"date-parts":[["2005"]]},"page":"2814-2822","title":"Intravenous iron increases labile serum iron but does not impair forearm blood flow reactivity in dialysis patients","type":"article-journal","volume":"68"},"uris":["http://www.mendeley.com/documents/?uuid=1a73bb76-8c87-4dec-a550-b0e259da3939"]}],"mendeley":{"formattedCitation":"[29]","plainTextFormattedCitation":"[29]","previouslyFormattedCitation":"(29)"},"properties":{"noteIndex":0},"schema":"https://github.com/citation-style-language/schema/raw/master/csl-citation.json"}</w:instrText>
      </w:r>
      <w:r w:rsidR="00FC4FDF" w:rsidRPr="00E63806">
        <w:rPr>
          <w:rFonts w:asciiTheme="minorHAnsi" w:hAnsiTheme="minorHAnsi"/>
        </w:rPr>
        <w:fldChar w:fldCharType="separate"/>
      </w:r>
      <w:r w:rsidR="00B337AF" w:rsidRPr="00B337AF">
        <w:rPr>
          <w:rFonts w:asciiTheme="minorHAnsi" w:hAnsiTheme="minorHAnsi"/>
          <w:noProof/>
        </w:rPr>
        <w:t>[29]</w:t>
      </w:r>
      <w:r w:rsidR="00FC4FDF" w:rsidRPr="00E63806">
        <w:rPr>
          <w:rFonts w:asciiTheme="minorHAnsi" w:hAnsiTheme="minorHAnsi"/>
        </w:rPr>
        <w:fldChar w:fldCharType="end"/>
      </w:r>
      <w:r w:rsidR="00FC4FDF" w:rsidRPr="00E63806">
        <w:rPr>
          <w:rFonts w:asciiTheme="minorHAnsi" w:hAnsiTheme="minorHAnsi"/>
        </w:rPr>
        <w:t xml:space="preserve">. Here, treatment with IV iron resulted in a tendency for improvement in PWV and augmentation index. </w:t>
      </w:r>
    </w:p>
    <w:p w14:paraId="7E214C2F" w14:textId="699013F5"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lastRenderedPageBreak/>
        <w:t xml:space="preserve">Upregulation of selectins is associated with atherosclerosis and inflammation </w:t>
      </w:r>
      <w:r w:rsidRPr="00E63806">
        <w:rPr>
          <w:rFonts w:asciiTheme="minorHAnsi" w:hAnsiTheme="minorHAnsi"/>
        </w:rPr>
        <w:fldChar w:fldCharType="begin" w:fldLock="1"/>
      </w:r>
      <w:r w:rsidR="00B337AF">
        <w:rPr>
          <w:rFonts w:asciiTheme="minorHAnsi" w:hAnsiTheme="minorHAnsi"/>
        </w:rPr>
        <w:instrText>ADDIN CSL_CITATION {"citationItems":[{"id":"ITEM-1","itemData":{"DOI":"10.1093/cvr/cvv154","ISSN":"17553245","abstract":"The selectins are transmembrane, Ca&lt;sup&gt;2+&lt;/sup&gt;-dependent lectins that mediate leucocyte rolling on vascular surfaces, the first adhesive step during inflammation and immune surveillance. Leucocytes express L-selectin, activated platelets express P-selectin, and activated endothelial cells express E- And P-selectin. Rolling involves force-regulated, rapidly reversible interactions of selectins with a limited number of glycosylated cell surface ligands. Rolling permits leucocytes to interact with immobilized chemokines that convert β2 integrins to high-Affinity conformations, which mediate arrest, post-Arrest adhesion strengthening, and transendothelial migration. However, rolling leucocytes also transduce signals through selectin ligands, the focus of this review. These signals include serial activation of kinases and recruitment of adaptors that convert integrins to intermediate-Affinity conformations, which decrease rolling velocities. In vitro, selectin signalling enables myeloid cells to respond to suboptimal levels of chemokines and other agonists. This cooperative signalling triggers effector responses such as degranulation, superoxide production, chemokine synthesis, and release of procoagulant/ proinflammatory microparticles. In vivo, selectin-mediated adhesion and signalling likely contributes to atherosclerosis, arterial and deep vein thrombosis, ischaemia-reperfusion injury, and other cardiovascular diseases.","author":[{"dropping-particle":"","family":"McEver","given":"Rodger P.","non-dropping-particle":"","parse-names":false,"suffix":""}],"container-title":"Cardiovascular Research","id":"ITEM-1","issue":"3","issued":{"date-parts":[["2015"]]},"page":"331-339","title":"Selectins: Initiators of leucocyte adhesion and signalling at the vascular wall","type":"article","volume":"107"},"uris":["http://www.mendeley.com/documents/?uuid=d341e9aa-63a1-4e06-bd9a-e0c2b3a0eb79"]}],"mendeley":{"formattedCitation":"[30]","plainTextFormattedCitation":"[30]","previouslyFormattedCitation":"(30)"},"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[30]</w:t>
      </w:r>
      <w:r w:rsidRPr="00E63806">
        <w:rPr>
          <w:rFonts w:asciiTheme="minorHAnsi" w:hAnsiTheme="minorHAnsi"/>
        </w:rPr>
        <w:fldChar w:fldCharType="end"/>
      </w:r>
      <w:r w:rsidRPr="00E63806">
        <w:rPr>
          <w:rFonts w:asciiTheme="minorHAnsi" w:hAnsiTheme="minorHAnsi"/>
        </w:rPr>
        <w:t xml:space="preserve">. Evidence on the impact of iron on cell adhesion molecules such as E-selectin and P-selectin is scarce and conflicting </w:t>
      </w:r>
      <w:r w:rsidRPr="00E63806">
        <w:rPr>
          <w:rFonts w:asciiTheme="minorHAnsi" w:hAnsiTheme="minorHAnsi"/>
        </w:rPr>
        <w:fldChar w:fldCharType="begin" w:fldLock="1"/>
      </w:r>
      <w:r w:rsidR="00B337AF">
        <w:rPr>
          <w:rFonts w:asciiTheme="minorHAnsi" w:hAnsiTheme="minorHAnsi"/>
        </w:rPr>
        <w:instrText>ADDIN CSL_CITATION {"citationItems":[{"id":"ITEM-1","itemData":{"DOI":"10.1161/01.ATV.0000147406.00871.b3","ISSN":"10795642","PMID":"15486315","abstract":"Objective - Elevated iron stores and high plasma iron concentration have been linked to an increased risk of atherosclerosis. Iron may thereby affect the interaction of monocytes to endothelium, an initial event in the formation of atherosclerotic plaques. Methods and Results - Addition of 10 μmol/L non-transferrin-bound iron to the incubation medium caused a 2-fold increase in monocyte adhesion to human umbilical vein endothelial cells (HUVECs). A concordant increase in the expression of the following adhesion molecules was observed: vascular cell adhesion molecule-1, intercellular adhesion molecule-1, and endothelial selectin on HUVECs as well as very late antigen-4, and lymphocyte function-associated antigen-1 on monocytes. The inclusion of either deferiprone or salicylaldehyde isonicotinoylhydrazone counteracted these effects. Intracellular iron chelation by deferoxamine was completed only after 10 hours of incubation, shown by reversal of iron-quenched intracellular calcein signal, and concurrently the effects of iron were blunted. The membrane-impermeable chelator, diethylenetriamine pentaaceticacid, failed to negate iron effects, even after 48 hours of treatment. Furthermore, only membrane-permeable superoxide or hydroxyl radical scavengers were capable of preventing HUVEC activation by iron. Conclusions - Non-transferrin-bound iron increases the level of intracellular labile iron, which promotes monocyte recruitment to endothelium and may thereby contribute to the pathogenesis of atherosclerosis. Iron-induced adhesion molecule expression was observed, and this event may involve the production of oxygen radicals.","author":[{"dropping-particle":"","family":"Kartikasari","given":"Apriliana E.R.","non-dropping-particle":"","parse-names":false,"suffix":""},{"dropping-particle":"","family":"Georgiou","given":"Niki A.","non-dropping-particle":"","parse-names":false,"suffix":""},{"dropping-particle":"","family":"Visseren","given":"Frank L.J.","non-dropping-particle":"","parse-names":false,"suffix":""},{"dropping-particle":"","family":"Kats-Renaud","given":"Henny","non-dropping-particle":"Van","parse-names":false,"suffix":""},{"dropping-particle":"","family":"Asbeck","given":"B. Sweder","non-dropping-particle":"Van","parse-names":false,"suffix":""},{"dropping-particle":"","family":"Marx","given":"Joannes J.M.","non-dropping-particle":"","parse-names":false,"suffix":""}],"container-title":"Arteriosclerosis, Thrombosis, and Vascular Biology","id":"ITEM-1","issue":"12","issued":{"date-parts":[["2004"]]},"page":"2257-2262","title":"Intracellular labile iron modulates adhesion of human monocytes to human endothelial cells","type":"article-journal","volume":"24"},"uris":["http://www.mendeley.com/documents/?uuid=42b87d67-3f50-4f96-b97c-c73a8b16b5f0"]},{"id":"ITEM-2","itemData":{"DOI":"10.1097/MIB.0b013e318281f4db","ISSN":"10780998","abstract":"Background: Secondary thrombocytosis is a common clinical feature. In patients with cancer, it is a risk factor for venous thromboembolic events. In inflammatory bowel disease (IBD), thrombocytosis is so far considered a marker of active disease and may contribute to the increased thromboembolic risk in this population. Observed effects of iron therapy on normalization of platelet counts led us to hypothesize that iron itself may regulate megakaryopoiesis. Here, we want to test the effect of iron replacement on platelet count and activity in IBD-associated thrombocytosis. Methods: We performed a randomized, single-blinded placebo-controlled trial testing the effect of ferric carboxymaltose (FCM) in patients with IBD with secondary thrombocytosis (platelets &gt; 450 G/L). Changes in platelet counts, hemoglobin, iron parameters, disease activity, megakaryopoietic growth factors, erythropoietin, and platelet activity were assessed. Patients received placebo or up to 1500 mg iron as FCM. Endpoints were evaluated at week 6. Results: A total of 26 patients were included in the study, 15 patients were available for the per protocol analysis. A drop in platelets &gt;25% (primary endpoint) was observed in 4 of 8 (50%, iron group) and 1 of 7 patients (14%, placebo group, P = 0.143). Mean platelet counts dropped on FCM but not on placebo (536 G/L to 411 G/L versus 580 G/L to 559 G/L; P = 0.002). Disease activity and megakaryopoietic growth factors remained unchanged and hemoglobin and iron parameters increased on FCM. The normalization of platelet counts was associated with a decrease in platelet aggregation and P-selectin expression. Conclusion: FCM lowers platelet counts and platelet activation in patients with IBD-associated secondary thrombocytosis. Copyright © 2013 Crohn's &amp; Colitis Foundation of America, Inc.","author":[{"dropping-particle":"","family":"Kulnigg-Dabsch","given":"Stefanie","non-dropping-particle":"","parse-names":false,"suffix":""},{"dropping-particle":"","family":"Schmid","given":"Werner","non-dropping-particle":"","parse-names":false,"suffix":""},{"dropping-particle":"","family":"Howaldt","given":"Stefanie","non-dropping-particle":"","parse-names":false,"suffix":""},{"dropping-particle":"","family":"Stein","given":"Jürgen","non-dropping-particle":"","parse-names":false,"suffix":""},{"dropping-particle":"","family":"Mickisch","given":"Oliver","non-dropping-particle":"","parse-names":false,"suffix":""},{"dropping-particle":"","family":"Waldhör","given":"Thomas","non-dropping-particle":"","parse-names":false,"suffix":""},{"dropping-particle":"","family":"Evstatiev","given":"Rayko","non-dropping-particle":"","parse-names":false,"suffix":""},{"dropping-particle":"","family":"Kamali","given":"Houman","non-dropping-particle":"","parse-names":false,"suffix":""},{"dropping-particle":"","family":"Volf","given":"Ivo","non-dropping-particle":"","parse-names":false,"suffix":""},{"dropping-particle":"","family":"Gasche","given":"Christoph","non-dropping-particle":"","parse-names":false,"suffix":""}],"container-title":"Inflammatory Bowel Diseases","id":"ITEM-2","issue":"8","issued":{"date-parts":[["2013"]]},"page":"1609-1616","title":"Iron deficiency generates secondary thrombocytosis and platelet activation in IBD: The randomized, controlled ThromboVIT trial","type":"article-journal","volume":"19"},"uris":["http://www.mendeley.com/documents/?uuid=41de1c55-ded4-41a1-a6ab-f07487e00fc3"]}],"mendeley":{"formattedCitation":"[31,32]","plainTextFormattedCitation":"[31,32]","previouslyFormattedCitation":"(31,32)"},"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[31,32]</w:t>
      </w:r>
      <w:r w:rsidRPr="00E63806">
        <w:rPr>
          <w:rFonts w:asciiTheme="minorHAnsi" w:hAnsiTheme="minorHAnsi"/>
        </w:rPr>
        <w:fldChar w:fldCharType="end"/>
      </w:r>
      <w:r w:rsidRPr="00E63806">
        <w:rPr>
          <w:rFonts w:asciiTheme="minorHAnsi" w:hAnsiTheme="minorHAnsi"/>
        </w:rPr>
        <w:t xml:space="preserve">. In the current study there was no significant change in the expression of either E-selectin or P-selectin with any of the IV iron products or doses, suggesting that IV iron does not affect selectin-driven pathways. </w:t>
      </w:r>
    </w:p>
    <w:p w14:paraId="75B9AAC1" w14:textId="3D965A33" w:rsidR="00DF7604" w:rsidRDefault="00FC4FDF" w:rsidP="00DF7604">
      <w:pPr>
        <w:pStyle w:val="Body"/>
        <w:tabs>
          <w:tab w:val="left" w:pos="720"/>
          <w:tab w:val="left" w:pos="3583"/>
        </w:tabs>
        <w:spacing w:line="480" w:lineRule="auto"/>
        <w:jc w:val="both"/>
        <w:rPr>
          <w:rFonts w:asciiTheme="minorHAnsi" w:hAnsiTheme="minorHAnsi"/>
        </w:rPr>
      </w:pPr>
      <w:r w:rsidRPr="00E63806">
        <w:rPr>
          <w:rFonts w:asciiTheme="minorHAnsi" w:hAnsiTheme="minorHAnsi"/>
        </w:rPr>
        <w:t>This study has s</w:t>
      </w:r>
      <w:r w:rsidR="00DF7604">
        <w:rPr>
          <w:rFonts w:asciiTheme="minorHAnsi" w:hAnsiTheme="minorHAnsi"/>
        </w:rPr>
        <w:t>everal limitations. It was open-</w:t>
      </w:r>
      <w:r w:rsidR="00DF7604" w:rsidRPr="00E63806">
        <w:rPr>
          <w:rFonts w:asciiTheme="minorHAnsi" w:hAnsiTheme="minorHAnsi"/>
        </w:rPr>
        <w:t>label, which</w:t>
      </w:r>
      <w:r w:rsidRPr="00E63806">
        <w:rPr>
          <w:rFonts w:asciiTheme="minorHAnsi" w:hAnsiTheme="minorHAnsi"/>
        </w:rPr>
        <w:t xml:space="preserve"> increases the risk of observer and participant bias. The study focused on non-smokers and may therefore not be representative of potential interactions of smoking </w:t>
      </w:r>
      <w:r w:rsidRPr="00DF7604">
        <w:rPr>
          <w:rFonts w:asciiTheme="minorHAnsi" w:hAnsiTheme="minorHAnsi"/>
          <w:color w:val="000000" w:themeColor="text1"/>
        </w:rPr>
        <w:t>(a powerful pro-oxidant factor)</w:t>
      </w:r>
      <w:r w:rsidRPr="00E63806">
        <w:rPr>
          <w:rFonts w:asciiTheme="minorHAnsi" w:hAnsiTheme="minorHAnsi"/>
        </w:rPr>
        <w:t xml:space="preserve"> with IV iron treatment; however, it does not exclude an external effect of smoking</w:t>
      </w:r>
      <w:r w:rsidRPr="00B046B3">
        <w:rPr>
          <w:rFonts w:asciiTheme="minorHAnsi" w:hAnsiTheme="minorHAnsi"/>
          <w:color w:val="auto"/>
        </w:rPr>
        <w:t xml:space="preserve">. </w:t>
      </w:r>
      <w:r w:rsidR="00AF3947" w:rsidRPr="00B046B3">
        <w:rPr>
          <w:rFonts w:asciiTheme="minorHAnsi" w:hAnsiTheme="minorHAnsi"/>
          <w:color w:val="auto"/>
        </w:rPr>
        <w:t>Moreover, the small number of participants in each of the 4 groups did not allow for stratification according to age and co-morbidities, renal function and medications, which are potentially important factors affecting oxidative stress</w:t>
      </w:r>
      <w:r w:rsidR="00746799" w:rsidRPr="00B046B3">
        <w:rPr>
          <w:rFonts w:asciiTheme="minorHAnsi" w:hAnsiTheme="minorHAnsi"/>
          <w:color w:val="auto"/>
        </w:rPr>
        <w:t>.</w:t>
      </w:r>
      <w:r w:rsidR="00746799" w:rsidRPr="00E63806">
        <w:rPr>
          <w:rFonts w:asciiTheme="minorHAnsi" w:hAnsiTheme="minorHAnsi"/>
        </w:rPr>
        <w:t xml:space="preserve"> </w:t>
      </w:r>
      <w:r w:rsidRPr="00E63806">
        <w:rPr>
          <w:rFonts w:asciiTheme="minorHAnsi" w:hAnsiTheme="minorHAnsi"/>
        </w:rPr>
        <w:t>Additionally, as a pilot study it was not statistically powered</w:t>
      </w:r>
      <w:r w:rsidR="006B3319" w:rsidRPr="00E63806">
        <w:rPr>
          <w:rFonts w:asciiTheme="minorHAnsi" w:hAnsiTheme="minorHAnsi"/>
        </w:rPr>
        <w:t xml:space="preserve"> </w:t>
      </w:r>
      <w:r w:rsidR="006B3319" w:rsidRPr="00B046B3">
        <w:rPr>
          <w:rFonts w:asciiTheme="minorHAnsi" w:hAnsiTheme="minorHAnsi"/>
          <w:color w:val="auto"/>
        </w:rPr>
        <w:t>for definitive conclusions;</w:t>
      </w:r>
      <w:r w:rsidRPr="00E63806">
        <w:rPr>
          <w:rFonts w:asciiTheme="minorHAnsi" w:hAnsiTheme="minorHAnsi"/>
        </w:rPr>
        <w:t xml:space="preserve"> however, it can be used for hypothesis generation</w:t>
      </w:r>
      <w:r w:rsidR="006B3319" w:rsidRPr="00E63806">
        <w:rPr>
          <w:rFonts w:asciiTheme="minorHAnsi" w:hAnsiTheme="minorHAnsi"/>
        </w:rPr>
        <w:t xml:space="preserve"> </w:t>
      </w:r>
      <w:r w:rsidR="006B3319" w:rsidRPr="00B046B3">
        <w:rPr>
          <w:rFonts w:asciiTheme="minorHAnsi" w:hAnsiTheme="minorHAnsi"/>
          <w:color w:val="auto"/>
        </w:rPr>
        <w:t>and for trend observation</w:t>
      </w:r>
      <w:r w:rsidR="00DF7604" w:rsidRPr="00B046B3">
        <w:rPr>
          <w:rFonts w:asciiTheme="minorHAnsi" w:hAnsiTheme="minorHAnsi"/>
          <w:color w:val="auto"/>
        </w:rPr>
        <w:t>.</w:t>
      </w:r>
      <w:r w:rsidR="00DF7604">
        <w:rPr>
          <w:rFonts w:asciiTheme="minorHAnsi" w:hAnsiTheme="minorHAnsi"/>
        </w:rPr>
        <w:t xml:space="preserve"> </w:t>
      </w:r>
    </w:p>
    <w:p w14:paraId="393443B8" w14:textId="2FE4EF78" w:rsidR="00FC4FDF" w:rsidRPr="00E63806" w:rsidRDefault="00FC4FDF" w:rsidP="00DF7604">
      <w:pPr>
        <w:pStyle w:val="Body"/>
        <w:tabs>
          <w:tab w:val="left" w:pos="720"/>
          <w:tab w:val="left" w:pos="3583"/>
        </w:tabs>
        <w:spacing w:line="480" w:lineRule="auto"/>
        <w:jc w:val="both"/>
        <w:rPr>
          <w:rFonts w:asciiTheme="minorHAnsi" w:hAnsiTheme="minorHAnsi"/>
        </w:rPr>
      </w:pPr>
      <w:r w:rsidRPr="00E63806">
        <w:rPr>
          <w:rFonts w:asciiTheme="minorHAnsi" w:hAnsiTheme="minorHAnsi"/>
        </w:rPr>
        <w:t xml:space="preserve">IRON-CKD provided a direct comparative assessment of the relative acute treatment effects of commonly used IV irons. The results indicate that in the short term and following a single IV iron infusion endothelial function and oxidative status are not affected. All studied preparations led to a rise in both storage and circulating iron, with more effective repletion with a higher dose. This translated into a small improvement in quality of life, in line with previous large cohort trials </w:t>
      </w:r>
      <w:r w:rsidRPr="00E63806">
        <w:rPr>
          <w:rFonts w:asciiTheme="minorHAnsi" w:hAnsiTheme="minorHAnsi"/>
        </w:rPr>
        <w:fldChar w:fldCharType="begin" w:fldLock="1"/>
      </w:r>
      <w:r w:rsidR="00B337AF">
        <w:rPr>
          <w:rFonts w:asciiTheme="minorHAnsi" w:hAnsiTheme="minorHAnsi"/>
        </w:rPr>
        <w:instrText>ADDIN CSL_CITATION {"citationItems":[{"id":"ITEM-1","itemData":{"DOI":"10.3390/ph11030082","ISSN":"14248247","abstract":"Iron is an essential trace mineral necessary for life, and iron deficiency anaemia (IDA) is one of the most common haematological problems worldwide, affecting a sixth of the global population. Principally linked to poverty, malnutrition and infection in developing countries, in Western countries the pathophysiology of IDA is primarily linked to blood loss, malabsorption and chronic disease. Oral iron replacement therapy is a simple, inexpensive treatment, but is limited by gastrointestinal side effects that are not inconsequential to some patients and are of minimal efficacy in others. Third generation intravenous (IV) iron therapies allow rapid and complete replacement dosing without the toxicity issues inherent with older iron preparations. Their characteristic, strongly-bound iron-carbohydrate complexes exist as colloidal suspensions of iron oxide nanoparticles with a polynuclear Fe(III)-oxyhydroxide/oxide core surrounded by a carbohydrate ligand. The physicochemical differences between the IV irons include mineral composition, crystalline structure, conformation, size and molecular weight, but the most important difference is the carbohydrate ligand, which influences complex stability, iron release and immunogenicity, and which is a unique feature of each drug. Recent studies have highlighted different adverse event profiles associated with third-generation IV irons that reflect their different structures. The increasing clinical evidence base has allayed safety concerns linked to older IV irons and widened their clinical use. This review considers the properties of the different IV irons, and how differences might impact current and future clinical practice.","author":[{"dropping-particle":"","family":"Bhandari","given":"Sunil","non-dropping-particle":"","parse-names":false,"suffix":""},{"dropping-particle":"","family":"Pereira","given":"Dora I.A.","non-dropping-particle":"","parse-names":false,"suffix":""},{"dropping-particle":"","family":"Chappell","given":"Helen F.","non-dropping-particle":"","parse-names":false,"suffix":""},{"dropping-particle":"","family":"Drakesmith","given":"Hal","non-dropping-particle":"","parse-names":false,"suffix":""}],"container-title":"Pharmaceuticals","id":"ITEM-1","issue":"3","issued":{"date-parts":[["2018","8"]]},"language":"eng","page":"82","publisher":"MDPI","title":"Intravenous irons: From basic science to clinical practice","type":"article-journal","volume":"11"},"uris":["http://www.mendeley.com/documents/?uuid=fbcfbbe0-1eb7-43fe-b3f4-5ba720692b3b"]}],"mendeley":{"formattedCitation":"[4]","plainTextFormattedCitation":"[4]","previouslyFormattedCitation":"(4)"},"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[4]</w:t>
      </w:r>
      <w:r w:rsidRPr="00E63806">
        <w:rPr>
          <w:rFonts w:asciiTheme="minorHAnsi" w:hAnsiTheme="minorHAnsi"/>
        </w:rPr>
        <w:fldChar w:fldCharType="end"/>
      </w:r>
      <w:r w:rsidRPr="00E63806">
        <w:rPr>
          <w:rFonts w:asciiTheme="minorHAnsi" w:hAnsiTheme="minorHAnsi"/>
        </w:rPr>
        <w:t xml:space="preserve"> underlining the impact of iron in non-anemic patients as witnessed in inflammatory bowel disease </w:t>
      </w:r>
      <w:r w:rsidRPr="00E63806">
        <w:rPr>
          <w:rFonts w:asciiTheme="minorHAnsi" w:hAnsiTheme="minorHAnsi"/>
        </w:rPr>
        <w:fldChar w:fldCharType="begin" w:fldLock="1"/>
      </w:r>
      <w:r w:rsidR="00B337AF">
        <w:rPr>
          <w:rFonts w:asciiTheme="minorHAnsi" w:hAnsiTheme="minorHAnsi"/>
        </w:rPr>
        <w:instrText>ADDIN CSL_CITATION {"citationItems":[{"id":"ITEM-1","itemData":{"DOI":"10.1159/000468145","ISSN":"14219875","abstract":"Background: No study has compared changes in quality of life (QoL) following iron therapy between anemic and non-anemic, hypoferritinemic patients. This study compares the impact of parenteral iron replacement on QoL in inflammatory bowel disease (IBD) patients with anemia, or in those with hypoferritinemia alone. Methods: Consecutive IBD patients diagnosed with anemia or hypoferritinemia were enrolled. IBD questionnaire (IBDQ) and 36-Item Short Form Survey (SF36) at diagnosis and 6 weeks post treatment were measured. Results: Ten patients with anemia and 13 with hypoferritinemia were treated with intravenous iron polymaltose. Across all patients, there was a significant improvement in median SF36 mental component score by 8.5 (p = 0.004) and median IBDQ by 12 (p = 0.02). There was a trend towards improved median SF36 physical component score by 3.2 (p = 0.6). These changes were not significantly different when comparing anemic with hypoferritinemic patients. In IBDQ, there was a trend toward greater improvement in hypoferritinemic vs. anemic patients (20 vs. 1.5, p = 0.31). Conclusions: This is the first study to show that improvements in QoL in hypoferritinemic patients are similar to those with anemia. Based on these results, patients with IBD should be offered the option of iron therapy when they are found to be hypoferritinemic, even in the absence of anemia.","author":[{"dropping-particle":"","family":"Eliadou","given":"Elena","non-dropping-particle":"","parse-names":false,"suffix":""},{"dropping-particle":"","family":"Kini","given":"Gregory","non-dropping-particle":"","parse-names":false,"suffix":""},{"dropping-particle":"","family":"Huang","given":"Judy","non-dropping-particle":"","parse-names":false,"suffix":""},{"dropping-particle":"","family":"Champion","given":"Amy","non-dropping-particle":"","parse-names":false,"suffix":""},{"dropping-particle":"","family":"Inns","given":"Stephen James","non-dropping-particle":"","parse-names":false,"suffix":""}],"container-title":"Digestive Diseases","id":"ITEM-1","issue":"5","issued":{"date-parts":[["2017"]]},"page":"444-448","title":"Intravenous Iron Replacement Improves Quality of Life in Hypoferritinemic Inflammatory Bowel Disease Patients with and without Anemia","type":"article-journal","volume":"35"},"uris":["http://www.mendeley.com/documents/?uuid=bb2cb6ca-e8af-4aa6-a134-6674dbff7e99"]}],"mendeley":{"formattedCitation":"[33]","plainTextFormattedCitation":"[33]","previouslyFormattedCitation":"(33)"},"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[33]</w:t>
      </w:r>
      <w:r w:rsidRPr="00E63806">
        <w:rPr>
          <w:rFonts w:asciiTheme="minorHAnsi" w:hAnsiTheme="minorHAnsi"/>
        </w:rPr>
        <w:fldChar w:fldCharType="end"/>
      </w:r>
      <w:r w:rsidRPr="00E63806">
        <w:rPr>
          <w:rFonts w:asciiTheme="minorHAnsi" w:hAnsiTheme="minorHAnsi"/>
        </w:rPr>
        <w:t xml:space="preserve">. There were no infection-related hospital admissions with any of the preparations administered or with either low or high dose IV iron, which supports the good safety profile of high-dose iron and complements the findings </w:t>
      </w:r>
      <w:r w:rsidRPr="00E63806">
        <w:rPr>
          <w:rFonts w:asciiTheme="minorHAnsi" w:hAnsiTheme="minorHAnsi"/>
        </w:rPr>
        <w:lastRenderedPageBreak/>
        <w:t xml:space="preserve">in the PIVOTAL study where infection rates were identical irrespective of high or low dose IV iron treatment </w:t>
      </w:r>
      <w:r w:rsidRPr="00E63806">
        <w:rPr>
          <w:rFonts w:asciiTheme="minorHAnsi" w:hAnsiTheme="minorHAnsi"/>
        </w:rPr>
        <w:fldChar w:fldCharType="begin" w:fldLock="1"/>
      </w:r>
      <w:r w:rsidR="00B337AF">
        <w:rPr>
          <w:rFonts w:asciiTheme="minorHAnsi" w:hAnsiTheme="minorHAnsi"/>
        </w:rPr>
        <w:instrText>ADDIN CSL_CITATION {"citationItems":[{"id":"ITEM-1","itemData":{"DOI":"10.1681/ASN.2019090972","ISSN":"15333450","PMID":"32253271","abstract":"BACKGROUND: Experimental and observational studies have raised concerns that giving intravenous (IV) iron to patients, such as individuals receiving maintenance hemodialysis, might increase the risk of infections. The Proactive IV Iron Therapy in Haemodialysis Patients (PIVOTAL) trial randomized 2141 patients undergoing maintenance hemodialysis for ESKD to a high-dose or a low-dose IV iron regimen, with a primary composite outcome of all-cause death, heart attack, stroke, or hospitalization for heart failure. Comparison of infection rates between the two groups was a prespecified secondary analysis. METHODS: Secondary end points included any infection, hospitalization for infection, and death from infection; we calculated cumulative event rates for these end points. We also interrogated the interaction between iron dose and vascular access (fistula versus catheter). RESULTS: We found no significant difference between the high-dose IV iron group compared with the lose-dose group in event rates for all infections (46.5% versus 45.5%, respectively, which represented incidences of 63.3 versus 69.4 per 100 patient years, respectively); rates of hospitalization for infection (29.6% versus 29.3%, respectively) also did not differ. We did find a significant association between risk of a first cardiovascular event and any infection in the previous 30 days. Compared with patients undergoing dialysis with an arteriovenous fistula, those doing so via a catheter had a higher incidence of having any infection, hospitalization for infection, or fatal infection, but IV iron dosing had no effect on these outcomes. CONCLUSIONS: The high-dose and low-dose IV iron groups exhibited identical infection rates. Risk of a first cardiovascular event strongly associated with a recent infection.","author":[{"dropping-particle":"","family":"Macdougall","given":"Iain C.","non-dropping-particle":"","parse-names":false,"suffix":""},{"dropping-particle":"","family":"Bhandari","given":"Sunil","non-dropping-particle":"","parse-names":false,"suffix":""},{"dropping-particle":"","family":"White","given":"Claire","non-dropping-particle":"","parse-names":false,"suffix":""},{"dropping-particle":"","family":"Anker","given":"Stefan D.","non-dropping-particle":"","parse-names":false,"suffix":""},{"dropping-particle":"","family":"Farrington","given":"Kenneth","non-dropping-particle":"","parse-names":false,"suffix":""},{"dropping-particle":"","family":"Kalra","given":"Philip A.","non-dropping-particle":"","parse-names":false,"suffix":""},{"dropping-particle":"","family":"Mark","given":"Patrick B.","non-dropping-particle":"","parse-names":false,"suffix":""},{"dropping-particle":"","family":"McMurray","given":"John J.V.","non-dropping-particle":"","parse-names":false,"suffix":""},{"dropping-particle":"","family":"Reid","given":"Chante","non-dropping-particle":"","parse-names":false,"suffix":""},{"dropping-particle":"","family":"Robertson","given":"Michele","non-dropping-particle":"","parse-names":false,"suffix":""},{"dropping-particle":"","family":"Tomson","given":"Charles R.V.","non-dropping-particle":"","parse-names":false,"suffix":""},{"dropping-particle":"","family":"Wheeler","given":"David C.","non-dropping-particle":"","parse-names":false,"suffix":""},{"dropping-particle":"","family":"Winearls","given":"Christopher G.","non-dropping-particle":"","parse-names":false,"suffix":""},{"dropping-particle":"","family":"Ford","given":"Ian","non-dropping-particle":"","parse-names":false,"suffix":""}],"container-title":"Journal of the American Society of Nephrology : JASN","id":"ITEM-1","issue":"5","issued":{"date-parts":[["2020"]]},"page":"1118-1127","title":"Intravenous Iron Dosing and Infection Risk in Patients on Hemodialysis: A Prespecified Secondary Analysis of the PIVOTAL Trial","type":"article-journal","volume":"31"},"uris":["http://www.mendeley.com/documents/?uuid=c106f8b8-6242-4d3c-b665-fdb1a13b813a"]}],"mendeley":{"formattedCitation":"[34]","plainTextFormattedCitation":"[34]","previouslyFormattedCitation":"(34)"},"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[34]</w:t>
      </w:r>
      <w:r w:rsidRPr="00E63806">
        <w:rPr>
          <w:rFonts w:asciiTheme="minorHAnsi" w:hAnsiTheme="minorHAnsi"/>
        </w:rPr>
        <w:fldChar w:fldCharType="end"/>
      </w:r>
      <w:r w:rsidRPr="00E63806">
        <w:rPr>
          <w:rFonts w:asciiTheme="minorHAnsi" w:hAnsiTheme="minorHAnsi"/>
        </w:rPr>
        <w:t>.</w:t>
      </w:r>
    </w:p>
    <w:p w14:paraId="2516AC3B" w14:textId="7B992CB1"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 xml:space="preserve">Additionally, IRON-CKD assessed the dose-effect of FDI, supplementing evidence on its efficacy from studies in CKD patients comparing FDI with oral iron and second generation IVIP </w:t>
      </w:r>
      <w:r w:rsidRPr="00E63806">
        <w:rPr>
          <w:rFonts w:asciiTheme="minorHAnsi" w:hAnsiTheme="minorHAnsi"/>
        </w:rPr>
        <w:fldChar w:fldCharType="begin" w:fldLock="1"/>
      </w:r>
      <w:r w:rsidR="00B337AF">
        <w:rPr>
          <w:rFonts w:asciiTheme="minorHAnsi" w:hAnsiTheme="minorHAnsi"/>
        </w:rPr>
        <w:instrText>ADDIN CSL_CITATION {"citationItems":[{"id":"ITEM-1","itemData":{"DOI":"10.1093/ndt/gfv096","ISSN":"14602385","abstract":"Background Iron deficiency anaemia is common in patients with chronic kidney disease, and intravenous iron is the preferred treatment for those on haemodialysis. The aim of this trial was to compare the efficacy and safety of iron isomaltoside 1000 (Monofer®) with iron sucrose (Venofer®) in haemodialysis patients. Methods This was an open-label, randomized, multicentre, non-inferiority trial conducted in 351 haemodialysis subjects randomized 2: 1 to either iron isomaltoside 1000 (Group A) or iron sucrose (Group B). Subjects in Group A were equally divided into A1 (500 mg single bolus injection) and A2 (500 mg split dose). Group B were also treated with 500 mg split dose. The primary end point was the proportion of subjects with haemoglobin (Hb) in the target range 9.5-12.5 g/dL at 6 weeks. Secondary outcome measures included haematology parameters and safety parameters. Results A total of 351 subjects were enrolled. Both treatments showed similar efficacy with &gt;82% of subjects with Hb in the target range (non-inferiority, P = 0.01). Similar results were found when comparing subgroups A1 and A2 with Group B. No statistical significant change in Hb concentration was found between any of the groups. There was a significant increase in ferritin from baseline to Weeks 1, 2 and 4 in Group A compared with Group B (Weeks 1 and 2: P &lt; 0.001; Week 4: P = 0.002). There was a significant higher increase in reticulocyte count in Group A compared with Group B at Week 1 (P &lt; 0.001). The frequency, type and severity of adverse events were similar. Conclusions Iron isomaltoside 1000 and iron sucrose have comparative efficacy in maintaining Hb concentrations in haemodialysis subjects and both preparations were well tolerated with a similar short-term safety profile.","author":[{"dropping-particle":"","family":"Bhandari","given":"Sunil","non-dropping-particle":"","parse-names":false,"suffix":""},{"dropping-particle":"","family":"Kalra","given":"Philip A.","non-dropping-particle":"","parse-names":false,"suffix":""},{"dropping-particle":"","family":"Kothari","given":"Jatin","non-dropping-particle":"","parse-names":false,"suffix":""},{"dropping-particle":"","family":"Ambühl","given":"Patrice M.","non-dropping-particle":"","parse-names":false,"suffix":""},{"dropping-particle":"","family":"Christensen","given":"Jeppe H.","non-dropping-particle":"","parse-names":false,"suffix":""},{"dropping-particle":"","family":"Essaian","given":"Ashot M.","non-dropping-particle":"","parse-names":false,"suffix":""},{"dropping-particle":"","family":"Thomsen","given":"Lars L.","non-dropping-particle":"","parse-names":false,"suffix":""},{"dropping-particle":"","family":"MacDougall","given":"Iain C.","non-dropping-particle":"","parse-names":false,"suffix":""},{"dropping-particle":"","family":"Coyne","given":"Daniel W.","non-dropping-particle":"","parse-names":false,"suffix":""}],"container-title":"Nephrology Dialysis Transplantation","id":"ITEM-1","issue":"9","issued":{"date-parts":[["2015"]]},"page":"1577-1589","title":"A randomized, open-label trial of iron isomaltoside 1000 (Monofer®) compared with iron sucrose (Venofer®) as maintenance therapy in haemodialysis patients","type":"article-journal","volume":"30"},"uris":["http://www.mendeley.com/documents/?uuid=c735cf3e-5eab-4058-be47-e4dd74cbf2e9"]},{"id":"ITEM-2","itemData":{"DOI":"10.1093/ndt/gfv293","ISSN":"14602385","PMID":"26250435","abstract":"BackgroundIron deficiency anaemia is common in patients with non-dialysis-dependent chronic kidney disease (NDD-CKD) and is often treated with oral or intravenous (IV) iron therapy. This trial compared the efficacy and safety of IV iron isomaltoside 1000 (Monofer®) and oral iron in NDD-CKD patients with renal-related anaemia. MethodsThe trial was a Phase III open-label, comparative, multicentre, non-inferiority trial conducted in 351 iron-deficient NDD-CKD patients, randomized 2:1 to either iron isomaltoside 1000 (Group A) or iron sulphate administered as 100 mg elemental oral iron twice daily (200 mg daily) for 8 weeks (Group B). The patients in Group A were randomized into A1 (infusion of max. 1000 mg single doses over 15 min) and A2 (bolus injections of 500 mg over 2 min). A modified Ganzoni formula was used to calculate IV iron need. The primary end point was change in haemoglobin concentrations from baseline to Week 4. ResultsIron isomaltoside 1000 was both non-inferior to oral iron at Week 4 (P &lt; 0.001) and sustained a superior increase in haemoglobin from Week 3 until the end of the study at Week 8 (P = 0.009 at Week 3). The haemoglobin response was more pronounced with iron isomaltoside 1000 doses ≥1000 mg (P &lt; 0.05). Serum-ferritin and transferrin saturation concentrations were also significantly increased with IV iron. Adverse drug reactions were observed in 10.5% in the iron isomaltoside 1000 group and 10.3% in the oral iron group. More patients treated with oral iron sulphate withdrew from the study due to adverse events (4.3 versus 0.9%, P = 0.2). ConclusionsIron isomaltoside 1000 was more efficacious than oral iron for increase in haemoglobin and proved to be well tolerated at the tested dose levels in NDD-CKD patients.","author":[{"dropping-particle":"","family":"Kalra","given":"Philip A.","non-dropping-particle":"","parse-names":false,"suffix":""},{"dropping-particle":"","family":"Bhandari","given":"Sunil","non-dropping-particle":"","parse-names":false,"suffix":""},{"dropping-particle":"","family":"Saxena","given":"Sanjiv","non-dropping-particle":"","parse-names":false,"suffix":""},{"dropping-particle":"","family":"Agarwal","given":"Dhananjai","non-dropping-particle":"","parse-names":false,"suffix":""},{"dropping-particle":"","family":"Wirtz","given":"Georg","non-dropping-particle":"","parse-names":false,"suffix":""},{"dropping-particle":"","family":"Kletzmayr","given":"Josef","non-dropping-particle":"","parse-names":false,"suffix":""},{"dropping-particle":"","family":"Thomsen","given":"Lars L.","non-dropping-particle":"","parse-names":false,"suffix":""},{"dropping-particle":"","family":"Coyne","given":"Daniel W.","non-dropping-particle":"","parse-names":false,"suffix":""}],"container-title":"Nephrology Dialysis Transplantation","id":"ITEM-2","issue":"4","issued":{"date-parts":[["2016"]]},"page":"646-655","title":"A randomized trial of iron isomaltoside 1000 versus oral iron in non-dialysis-dependent chronic kidney disease patients with anaemia","type":"article-journal","volume":"31"},"uris":["http://www.mendeley.com/documents/?uuid=4b62e776-4d90-4a10-8f68-6636befef9fc"]}],"mendeley":{"formattedCitation":"[35,36]","plainTextFormattedCitation":"[35,36]","previouslyFormattedCitation":"(35,36)"},"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[35,36]</w:t>
      </w:r>
      <w:r w:rsidRPr="00E63806">
        <w:rPr>
          <w:rFonts w:asciiTheme="minorHAnsi" w:hAnsiTheme="minorHAnsi"/>
        </w:rPr>
        <w:fldChar w:fldCharType="end"/>
      </w:r>
      <w:r w:rsidRPr="00E63806">
        <w:rPr>
          <w:rFonts w:asciiTheme="minorHAnsi" w:hAnsiTheme="minorHAnsi"/>
        </w:rPr>
        <w:t xml:space="preserve">. As third generation IV iron compounds share different pharmacodynamic properties from their predecessors </w:t>
      </w:r>
      <w:r w:rsidRPr="00E63806">
        <w:rPr>
          <w:rFonts w:asciiTheme="minorHAnsi" w:hAnsiTheme="minorHAnsi"/>
        </w:rPr>
        <w:fldChar w:fldCharType="begin" w:fldLock="1"/>
      </w:r>
      <w:r w:rsidR="00B337AF">
        <w:rPr>
          <w:rFonts w:asciiTheme="minorHAnsi" w:hAnsiTheme="minorHAnsi"/>
        </w:rPr>
        <w:instrText>ADDIN CSL_CITATION {"citationItems":[{"id":"ITEM-1","itemData":{"DOI":"10.1016/j.jpba.2013.08.005","ISSN":"07317085","abstract":"Drug products containing iron oxide and hydroxide nanoparticles (INPs) are important for the treatment of iron deficiency anaemia. Pharmaceuticals prepared by the complexation of different kinds of INPs and carbohydrates have different physicochemical and biopharmaceutic characteristics. The increasing number of parenteral non-biological complex drugs (NBCD) containing iron requires physicochemical methods for characterization and enabling of cross comparisons. In this context the structure and the level of crystallinity of the iron phases may be connected to the in vitro and in vivo dissolution rates, which etiologically determine the therapeutic and toxic effects.X-ray powder diffraction (XRPD) and electron diffraction (ED) methods were used in order to investigate the nine different parenteral iron formulations Ferumoxytol (Feraheme®), sodium ferric gluconate sucrose (Ferrlecit®), iron sucrose (Venofer®), low molecular weight iron dextran (CosmoFer®), low molecular weight iron dextran (Infed®), high molecular weight iron dextran (Ironate®), high molecular weight iron dextran (Dexferrum®), iron carboxymaltose (Ferinject®) and iron isomaltoside 1000 (Monofer®).The iron phase in CosmoFer®, Ferinject®, Monofer®, Infed®, Ironate® and Dexferrum® was identified as Akaganeite/Akaganeite-like (β-FeOOH), with low amounts of chloride. By combining results of both methods the iron oxide in Feraheme® was identified as Magnetite (Fe3O4) with spinel-like structure. Ferrlecit® and Venofer® were difficult to analyze due to the low degree of crystallinity, but the iron phase seems to fit Lepidocrocite/Lepidocrocite-like (γ-FeOOH) or an amorphous kind of structure. The structural information on the type of iron oxide or hydroxide together with the particle size allows predicting the stability of the different complexes including their labile iron content. The combination of ED and XRPD methods is a very helpful approach especially for structural analysis of nanoscopic or low crystalline materials. © 2013 Elsevier B.V.","author":[{"dropping-particle":"","family":"Fütterer","given":"S.","non-dropping-particle":"","parse-names":false,"suffix":""},{"dropping-particle":"","family":"Andrusenko","given":"I.","non-dropping-particle":"","parse-names":false,"suffix":""},{"dropping-particle":"","family":"Kolb","given":"U.","non-dropping-particle":"","parse-names":false,"suffix":""},{"dropping-particle":"","family":"Hofmeister","given":"W.","non-dropping-particle":"","parse-names":false,"suffix":""},{"dropping-particle":"","family":"Langguth","given":"P.","non-dropping-particle":"","parse-names":false,"suffix":""}],"container-title":"Journal of Pharmaceutical and Biomedical Analysis","id":"ITEM-1","issued":{"date-parts":[["2013"]]},"page":"151-160","title":"Structural characterization of iron oxide/hydroxide nanoparticles in nine different parenteral drugs for the treatment of iron deficiency anaemia by electron diffraction (ED) and X-ray powder diffraction (XRPD)","type":"article-journal","volume":"86"},"uris":["http://www.mendeley.com/documents/?uuid=02a49177-f773-4abe-96ae-3e82bbc32396"]}],"mendeley":{"formattedCitation":"[23]","plainTextFormattedCitation":"[23]","previouslyFormattedCitation":"(23)"},"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[23]</w:t>
      </w:r>
      <w:r w:rsidRPr="00E63806">
        <w:rPr>
          <w:rFonts w:asciiTheme="minorHAnsi" w:hAnsiTheme="minorHAnsi"/>
        </w:rPr>
        <w:fldChar w:fldCharType="end"/>
      </w:r>
      <w:r w:rsidRPr="00E63806">
        <w:rPr>
          <w:rFonts w:asciiTheme="minorHAnsi" w:hAnsiTheme="minorHAnsi"/>
        </w:rPr>
        <w:t xml:space="preserve">, previous results on dose-associated toxicity cannot be necessarily extrapolated as indicated by this study. </w:t>
      </w:r>
    </w:p>
    <w:p w14:paraId="71DA2AB9" w14:textId="77A9023F"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 xml:space="preserve">Nuhu and colleagues recently examined the mechanistic links between iron and CKD and concluded that the overall oxidation status in CKD is antioxidant </w:t>
      </w:r>
      <w:r w:rsidRPr="00E63806">
        <w:rPr>
          <w:rFonts w:asciiTheme="minorHAnsi" w:hAnsiTheme="minorHAnsi"/>
        </w:rPr>
        <w:fldChar w:fldCharType="begin" w:fldLock="1"/>
      </w:r>
      <w:r w:rsidR="00B337AF">
        <w:rPr>
          <w:rFonts w:asciiTheme="minorHAnsi" w:hAnsiTheme="minorHAnsi"/>
        </w:rPr>
        <w:instrText>ADDIN CSL_CITATION {"citationItems":[{"id":"ITEM-1","itemData":{"DOI":"10.3390/antiox8100498","ISSN":"20763921","abstract":"Background: Mitochondrial dysfunction is observed in chronic kidney disease (CKD). Iron deficiency anaemia (IDA), a common complication in CKD, is associated with poor clinical outcomes affecting mitochondrial function and exacerbating oxidative stress. Intravenous (iv) iron, that is used to treat anaemia, may lead to acute systemic oxidative stress. This study evaluated the impact of iv iron on mitochondrial function and oxidative stress. Methods: Uraemia was induced surgically in male Sprague-Dawley rats and studies were carried out 12 weeks later in two groups sham operated and uraemic (5/6 nephrectomy) rats not exposed to i.v. iron versus sham operated and uraemic rats with iv iron. Results: Induction of uraemia resulted in reduced iron availability (serum iron: 31.1 ± 1.8 versus 46.4 ± 1.4 µM), low total iron binding capacity (26.4 ± 0.7 versus 29.5 ± 0.8 µM), anaemia (haematocrit: 42.5 ± 3.0 versus 55.0 ± 3.0%), cardiac hypertrophy, reduced systemic glutathione peroxidase activity (1.12 ± 0.11 versus 1.48 ± 0.12 U/mL), tissue oxidative stress (oxidised glutathione: 0.50 ± 0.03 versus 0.36 ± 0.04 nmol/mg of tissue), renal mitochondrial dysfunction (proton/electron leak: 61.8 ± 8.0 versus 22.7 ± 5.77) and complex I respiration (134.6 ± 31.4 versus 267.6 ± 26.4 pmol/min/µg). Iron therapy had no effect on renal function and cardiac hypertrophy but improved anaemia and systemic glutathione peroxidase (GPx) activity. There was increased renal iron content and complex II and complex IV dysfunction. Conclusion: Iron therapy improved iron deficiency anaemia in CKD without significant impact on renal function or oxidant status.","author":[{"dropping-particle":"","family":"Nuhu","given":"Faisal","non-dropping-particle":"","parse-names":false,"suffix":""},{"dropping-particle":"","family":"Seymour","given":"Anne Marie","non-dropping-particle":"","parse-names":false,"suffix":""},{"dropping-particle":"","family":"Bhandari","given":"Sunil","non-dropping-particle":"","parse-names":false,"suffix":""}],"container-title":"Antioxidants","id":"ITEM-1","issue":"10","issued":{"date-parts":[["2019"]]},"page":"498","title":"Impact of intravenous iron on oxidative stress and mitochondrial function in experimental chronic kidney disease","type":"article-journal","volume":"8"},"uris":["http://www.mendeley.com/documents/?uuid=7aee8b0d-105f-46a1-a89b-c38b8ec1273f"]}],"mendeley":{"formattedCitation":"[37]","plainTextFormattedCitation":"[37]","previouslyFormattedCitation":"(37)"},"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[37]</w:t>
      </w:r>
      <w:r w:rsidRPr="00E63806">
        <w:rPr>
          <w:rFonts w:asciiTheme="minorHAnsi" w:hAnsiTheme="minorHAnsi"/>
        </w:rPr>
        <w:fldChar w:fldCharType="end"/>
      </w:r>
      <w:r w:rsidRPr="00E63806">
        <w:rPr>
          <w:rFonts w:asciiTheme="minorHAnsi" w:hAnsiTheme="minorHAnsi"/>
        </w:rPr>
        <w:t xml:space="preserve">.  An interplay exists between iron homeostasis and oxidative stress in CKD which in turn impacts the effects of IV iron treatment </w:t>
      </w:r>
      <w:r w:rsidRPr="00E63806">
        <w:rPr>
          <w:rFonts w:asciiTheme="minorHAnsi" w:hAnsiTheme="minorHAnsi"/>
        </w:rPr>
        <w:fldChar w:fldCharType="begin" w:fldLock="1"/>
      </w:r>
      <w:r w:rsidR="00B337AF">
        <w:rPr>
          <w:rFonts w:asciiTheme="minorHAnsi" w:hAnsiTheme="minorHAnsi"/>
        </w:rPr>
        <w:instrText>ADDIN CSL_CITATION {"citationItems":[{"id":"ITEM-1","itemData":{"DOI":"10.1016/j.freeradbiomed.2013.09.001","ISSN":"18734596","abstract":"Production of minute concentrations of superoxide (O2-) and nitrogen monoxide (nitric oxide, NO) plays important roles in several aspects of cellular signaling and metabolic regulation. However, in an inflammatory environment, the concentrations of these radicals can drastically increase and the antioxidant defenses may become overwhelmed. Thus, biological damage may occur owing to redox imbalance - a condition called oxidative and/or nitrosative stress. A complex interplay exists between iron metabolism, O 2-, hydrogen peroxide (H2O2), and NO. Iron is involved in both the formation and the scavenging of these species. Iron deficiency (anemia) (ID(A)) is associated with oxidative stress, but its role in the induction of nitrosative stress is largely unclear. Moreover, oral as well as intravenous (iv) iron preparations used for the treatment of ID(A) may also induce oxidative and/or nitrosative stress. Oral administration of ferrous salts may lead to high transferrin saturation levels and, thus, formation of non-transferrin-bound iron, a potentially toxic form of iron with a propensity to induce oxidative stress. One of the factors that determine the likelihood of oxidative and nitrosative stress induced upon administration of an iv iron complex is the amount of labile (or weakly-bound) iron present in the complex. Stable dextran-based iron complexes used for iv therapy, although they contain only negligible amounts of labile iron, can induce oxidative and/or nitrosative stress through so far unknown mechanisms. In this review, after summarizing the main features of iron metabolism and its complex interplay with O2-, H2O2, NO, and other more reactive compounds derived from these species, the potential of various iron therapies to induce oxidative and nitrosative stress is discussed and possible underlying mechanisms are proposed. Understanding the mechanisms, by which various iron formulations may induce oxidative and nitrosative stress, will help us develop better tolerated and more efficient therapies for various dysfunctions of iron metabolism. © 2013 Elsevier Inc. All rights reserved.","author":[{"dropping-particle":"","family":"Koskenkorva-Frank","given":"Taija S.","non-dropping-particle":"","parse-names":false,"suffix":""},{"dropping-particle":"","family":"Weiss","given":"Günter","non-dropping-particle":"","parse-names":false,"suffix":""},{"dropping-particle":"","family":"Koppenol","given":"Willem H.","non-dropping-particle":"","parse-names":false,"suffix":""},{"dropping-particle":"","family":"Burckhardt","given":"Susanna","non-dropping-particle":"","parse-names":false,"suffix":""}],"container-title":"Free Radical Biology and Medicine","id":"ITEM-1","issued":{"date-parts":[["2013"]]},"page":"1174-1194","title":"The complex interplay of iron metabolism, reactive oxygen species, and reactive nitrogen species: Insights into the potential of various iron therapies to induce oxidative and nitrosative stress","type":"article","volume":"65"},"uris":["http://www.mendeley.com/documents/?uuid=7aef73d6-2122-4298-b5e5-34e27b281cb8"]}],"mendeley":{"formattedCitation":"[38]","plainTextFormattedCitation":"[38]","previouslyFormattedCitation":"(38)"},"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[38]</w:t>
      </w:r>
      <w:r w:rsidRPr="00E63806">
        <w:rPr>
          <w:rFonts w:asciiTheme="minorHAnsi" w:hAnsiTheme="minorHAnsi"/>
        </w:rPr>
        <w:fldChar w:fldCharType="end"/>
      </w:r>
      <w:r w:rsidRPr="00E63806">
        <w:rPr>
          <w:rFonts w:asciiTheme="minorHAnsi" w:hAnsiTheme="minorHAnsi"/>
        </w:rPr>
        <w:t xml:space="preserve">. It is believed that in CKD the system is primed with activation of both pro- and antioxidant pathways; iron deficiency may aggravate oxidative stress. It is therefore speculated that the resolution of iron deficiency with IV iron (despite a short transient increase in oxidative stress) provides an overall net antioxidant benefit due to mobilization of relevant enzymes </w:t>
      </w:r>
      <w:r w:rsidRPr="00E63806">
        <w:rPr>
          <w:rFonts w:asciiTheme="minorHAnsi" w:hAnsiTheme="minorHAnsi"/>
        </w:rPr>
        <w:fldChar w:fldCharType="begin" w:fldLock="1"/>
      </w:r>
      <w:r w:rsidR="00B337AF">
        <w:rPr>
          <w:rFonts w:asciiTheme="minorHAnsi" w:hAnsiTheme="minorHAnsi"/>
        </w:rPr>
        <w:instrText>ADDIN CSL_CITATION {"citationItems":[{"id":"ITEM-1","itemData":{"DOI":"10.1016/j.clnu.2016.02.003","ISSN":"15321983","PMID":"26926576","abstract":"Background and aims Iron deficiency anemia (IDA) affects around 20–30% of adults worldwide. An association between IDA and cardiovascular disease (CVD) has been reported. Oxidative stress, inflammation and low concentration of high-density lipoproteins (HDL) were implicated on endothelial dysfunction and CVD in IDA. We studied the effects of iron deficiency and of an intravenous iron administration on oxidative stress and HDL characteristics in IDA women. Methods Two studies in IDA women are presented: a case–control study, including 18 patients and 18 age-matched healthy women, and a follow-up study 72hr after the administration of intravenous iron (n = 16). Lipids, malondialdehyde, cholesteryl ester transfer protein (CETP), paraoxonase-1 (PON-1) and HDL chemical composition and functionality (cholesterol efflux and antioxidative activity) were measured. Cell cholesterol efflux from iron-deficient macrophages to a reference HDL was also evaluated. Results IDA patients showed higher triglycerides and CETP activity and lower HDL-C than controls (all p &lt; 0.001). HDL particles from IDA patients showed higher triglyceride content (+30%,p &lt; 0.05) and lower antioxidative capacity (−23%,p &lt; 0.05). Although HDL-mediated cholesterol efflux was similar between the patients and controls, iron deficiency provoked a significant reduction in macrophage cholesterol efflux (−25%,p &lt; 0.05). Arylesterase activity of PON-1 was significantly lower in IDA patients than controls (−16%,p &lt; 0.05). The intravenous administration of iron was associated with a decrease in malondialdehyde levels and an increase in arylesterase activity of PON-1 (−22% and +18%, respectively, p &lt; 0.05). Conclusion IDA is associated with oxidative stress and functionally deficient HDL particles. It remains to be determined if such alterations suffice to impair endothelial function in IDA.","author":[{"dropping-particle":"","family":"Meroño","given":"Tomás","non-dropping-particle":"","parse-names":false,"suffix":""},{"dropping-particle":"","family":"Dauteuille","given":"Carolane","non-dropping-particle":"","parse-names":false,"suffix":""},{"dropping-particle":"","family":"Tetzlaff","given":"Walter","non-dropping-particle":"","parse-names":false,"suffix":""},{"dropping-particle":"","family":"Martín","given":"Maximiliano","non-dropping-particle":"","parse-names":false,"suffix":""},{"dropping-particle":"","family":"Botta","given":"Eliana","non-dropping-particle":"","parse-names":false,"suffix":""},{"dropping-particle":"","family":"Lhomme","given":"Marie","non-dropping-particle":"","parse-names":false,"suffix":""},{"dropping-particle":"","family":"Saez","given":"María Soledad","non-dropping-particle":"","parse-names":false,"suffix":""},{"dropping-particle":"","family":"Sorroche","given":"Patricia","non-dropping-particle":"","parse-names":false,"suffix":""},{"dropping-particle":"","family":"Boero","given":"Laura","non-dropping-particle":"","parse-names":false,"suffix":""},{"dropping-particle":"","family":"Arbelbide","given":"Jorge","non-dropping-particle":"","parse-names":false,"suffix":""},{"dropping-particle":"","family":"Chapman","given":"M. John","non-dropping-particle":"","parse-names":false,"suffix":""},{"dropping-particle":"","family":"Kontush","given":"Anatol","non-dropping-particle":"","parse-names":false,"suffix":""},{"dropping-particle":"","family":"Brites","given":"Fernando","non-dropping-particle":"","parse-names":false,"suffix":""}],"container-title":"Clinical Nutrition","id":"ITEM-1","issue":"2","issued":{"date-parts":[["2017"]]},"page":"552-558","title":"Oxidative stress, HDL functionality and effects of intravenous iron administration in women with iron deficiency anemia","type":"article-journal","volume":"36"},"uris":["http://www.mendeley.com/documents/?uuid=40e82ba8-0b5b-4983-a2d9-b206cb4e53ae"]}],"mendeley":{"formattedCitation":"[39]","plainTextFormattedCitation":"[39]","previouslyFormattedCitation":"(39)"},"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[39]</w:t>
      </w:r>
      <w:r w:rsidRPr="00E63806">
        <w:rPr>
          <w:rFonts w:asciiTheme="minorHAnsi" w:hAnsiTheme="minorHAnsi"/>
        </w:rPr>
        <w:fldChar w:fldCharType="end"/>
      </w:r>
      <w:r w:rsidRPr="00E63806">
        <w:rPr>
          <w:rFonts w:asciiTheme="minorHAnsi" w:hAnsiTheme="minorHAnsi"/>
        </w:rPr>
        <w:t xml:space="preserve">.  </w:t>
      </w:r>
    </w:p>
    <w:p w14:paraId="59A5EC7F" w14:textId="14CD271E" w:rsidR="00FC4FDF" w:rsidRPr="00E63806" w:rsidRDefault="00FC4FDF" w:rsidP="00DF7604">
      <w:pPr>
        <w:pStyle w:val="Body"/>
        <w:spacing w:line="480" w:lineRule="auto"/>
        <w:jc w:val="both"/>
        <w:rPr>
          <w:rFonts w:asciiTheme="minorHAnsi" w:hAnsiTheme="minorHAnsi"/>
        </w:rPr>
      </w:pPr>
      <w:r w:rsidRPr="00E63806">
        <w:rPr>
          <w:rFonts w:asciiTheme="minorHAnsi" w:hAnsiTheme="minorHAnsi"/>
        </w:rPr>
        <w:t xml:space="preserve">The impact of multiple iron infusions and the long-term safety profile of IV iron require further research. Additional exploration of the impact of third generation IVIP at comparative doses is needed, given their pharmacochemical differences and the potential impact on bone metabolism due to hypophosphatemia as reported with ferric carboxymaltose </w:t>
      </w:r>
      <w:r w:rsidRPr="00E63806">
        <w:rPr>
          <w:rFonts w:asciiTheme="minorHAnsi" w:hAnsiTheme="minorHAnsi"/>
        </w:rPr>
        <w:fldChar w:fldCharType="begin" w:fldLock="1"/>
      </w:r>
      <w:r w:rsidR="00B337AF">
        <w:rPr>
          <w:rFonts w:asciiTheme="minorHAnsi" w:hAnsiTheme="minorHAnsi"/>
        </w:rPr>
        <w:instrText>ADDIN CSL_CITATION {"citationItems":[{"id":"ITEM-1","itemData":{"DOI":"10.1001/jama.2019.22450","ISSN":"15383598","PMID":"32016310","abstract":"Importance: Intravenous iron enables rapid correction of iron-deficiency anemia, but certain formulations induce fibroblast growth factor 23-mediated hypophosphatemia. Objective: To compare risks of hypophosphatemia and effects on biomarkers of mineral and bone homeostasis of intravenous iron isomaltoside (now known as ferric derisomaltose) vs ferric carboxymaltose. Design, Setting, and Participants: Between October 2017 and June 2018, 245 patients aged 18 years and older with iron-deficiency anemia (hemoglobin level ≤11 g/dL; serum ferritin level ≤100 ng/mL) and intolerance or unresponsiveness to 1 month or more of oral iron were recruited from 30 outpatient clinic sites in the United States into 2 identically designed, open-label, randomized clinical trials. Patients with reduced kidney function were excluded. Serum phosphate and 12 additional biomarkers of mineral and bone homeostasis were measured on days 0, 1, 7, 8, 14, 21, and 35. The date of final follow-up was June 19, 2018, for trial A and May 29, 2018, for trial B. Interventions: Intravenous administration of iron isomaltoside, 1000 mg, on day 0 or ferric carboxymaltose, 750 mg, infused on days 0 and 7. Main Outcomes and Measures: The primary end point was the incidence of hypophosphatemia (serum phosphate level &lt;2.0 mg/dL) between baseline and day 35. Results: In trial A, 123 patients were randomized (mean [SD] age, 45.1 [11.0] years; 95.9% women), including 62 to iron isomaltoside and 61 to ferric carboxymaltose; 95.1% completed the trial. In trial B, 122 patients were randomized (mean [SD] age, 42.6 [12.2] years; 94.1% women), including 61 to iron isomaltoside and 61 to ferric carboxymaltose; 93.4% completed the trial. The incidence of hypophosphatemia was significantly lower following iron isomaltoside vs ferric carboxymaltose (trial A: 7.9% vs 75.0% [adjusted rate difference,-67.0% {95% CI,-77.4% to-51.5%}], P &lt;.001; trial B: 8.1% vs 73.7% [adjusted rate difference,-65.8% {95% CI,-76.6% to-49.8%}], P &lt;.001). Beyond hypophosphatemia and increased parathyroid hormone, the most common adverse drug reactions (No./total No.) were nausea (iron isomaltoside: 1/125; ferric carboxymaltose: 8/117) and headache (iron isomaltoside: 4/125; ferric carboxymaltose: 5/117). Conclusions and Relevance: In 2 randomized trials of patients with iron-deficiency anemia who were intolerant of or unresponsive to oral iron, iron isomaltoside (now called ferric derisomaltose), compared with ferric carboxymaltose, re…","author":[{"dropping-particle":"","family":"Wolf","given":"Myles","non-dropping-particle":"","parse-names":false,"suffix":""},{"dropping-particle":"","family":"Rubin","given":"Janet","non-dropping-particle":"","parse-names":false,"suffix":""},{"dropping-particle":"","family":"Achebe","given":"Maureen","non-dropping-particle":"","parse-names":false,"suffix":""},{"dropping-particle":"","family":"Econs","given":"Michael J.","non-dropping-particle":"","parse-names":false,"suffix":""},{"dropping-particle":"","family":"Peacock","given":"Munro","non-dropping-particle":"","parse-names":false,"suffix":""},{"dropping-particle":"","family":"Imel","given":"Erik A.","non-dropping-particle":"","parse-names":false,"suffix":""},{"dropping-particle":"","family":"Thomsen","given":"Lars L.","non-dropping-particle":"","parse-names":false,"suffix":""},{"dropping-particle":"","family":"Carpenter","given":"Thomas O.","non-dropping-particle":"","parse-names":false,"suffix":""},{"dropping-particle":"","family":"Weber","given":"Thomas","non-dropping-particle":"","parse-names":false,"suffix":""},{"dropping-particle":"","family":"Brandenburg","given":"Vincent","non-dropping-particle":"","parse-names":false,"suffix":""},{"dropping-particle":"","family":"Zoller","given":"Heinz","non-dropping-particle":"","parse-names":false,"suffix":""}],"container-title":"JAMA - Journal of the American Medical Association","id":"ITEM-1","issue":"5","issued":{"date-parts":[["2020"]]},"page":"432-443","title":"Effects of Iron Isomaltoside vs Ferric Carboxymaltose on Hypophosphatemia in Iron-Deficiency Anemia: Two Randomized Clinical Trials","type":"article-journal","volume":"323"},"uris":["http://www.mendeley.com/documents/?uuid=122fe5ba-eb26-4fd1-a4b6-8e4e8e1ec4ba"]}],"mendeley":{"formattedCitation":"[40]","plainTextFormattedCitation":"[40]","previouslyFormattedCitation":"(40)"},"properties":{"noteIndex":0},"schema":"https://github.com/citation-style-language/schema/raw/master/csl-citation.json"}</w:instrText>
      </w:r>
      <w:r w:rsidRPr="00E63806">
        <w:rPr>
          <w:rFonts w:asciiTheme="minorHAnsi" w:hAnsiTheme="minorHAnsi"/>
        </w:rPr>
        <w:fldChar w:fldCharType="separate"/>
      </w:r>
      <w:r w:rsidR="00B337AF" w:rsidRPr="00B337AF">
        <w:rPr>
          <w:rFonts w:asciiTheme="minorHAnsi" w:hAnsiTheme="minorHAnsi"/>
          <w:noProof/>
        </w:rPr>
        <w:t>[40]</w:t>
      </w:r>
      <w:r w:rsidRPr="00E63806">
        <w:rPr>
          <w:rFonts w:asciiTheme="minorHAnsi" w:hAnsiTheme="minorHAnsi"/>
        </w:rPr>
        <w:fldChar w:fldCharType="end"/>
      </w:r>
      <w:r w:rsidRPr="00E63806">
        <w:rPr>
          <w:rFonts w:asciiTheme="minorHAnsi" w:hAnsiTheme="minorHAnsi"/>
        </w:rPr>
        <w:t xml:space="preserve">. Such mechanistic evidence should be considered when incorporating IV iron therapy into other areas of medicine. </w:t>
      </w:r>
    </w:p>
    <w:p w14:paraId="4D6EB68D" w14:textId="0F8F9841" w:rsidR="00FC4FDF" w:rsidRPr="00E63806" w:rsidRDefault="00746799" w:rsidP="00DF7604">
      <w:pPr>
        <w:pStyle w:val="Body"/>
        <w:spacing w:line="480" w:lineRule="auto"/>
        <w:jc w:val="both"/>
        <w:rPr>
          <w:rFonts w:asciiTheme="minorHAnsi" w:hAnsiTheme="minorHAnsi"/>
          <w:lang w:val="en-GB"/>
        </w:rPr>
      </w:pPr>
      <w:r w:rsidRPr="00B046B3">
        <w:rPr>
          <w:rFonts w:asciiTheme="minorHAnsi" w:hAnsiTheme="minorHAnsi"/>
          <w:color w:val="auto"/>
          <w:lang w:val="en-GB"/>
        </w:rPr>
        <w:t>Whilst the patient sample size is too small to make any firm conclusions, the following observations have be</w:t>
      </w:r>
      <w:r w:rsidR="00997B43" w:rsidRPr="00B046B3">
        <w:rPr>
          <w:rFonts w:asciiTheme="minorHAnsi" w:hAnsiTheme="minorHAnsi"/>
          <w:color w:val="auto"/>
          <w:lang w:val="en-GB"/>
        </w:rPr>
        <w:t>en</w:t>
      </w:r>
      <w:r w:rsidRPr="00B046B3">
        <w:rPr>
          <w:rFonts w:asciiTheme="minorHAnsi" w:hAnsiTheme="minorHAnsi"/>
          <w:color w:val="auto"/>
          <w:lang w:val="en-GB"/>
        </w:rPr>
        <w:t xml:space="preserve"> made: </w:t>
      </w:r>
      <w:r w:rsidR="00FC4FDF" w:rsidRPr="00B046B3">
        <w:rPr>
          <w:rFonts w:asciiTheme="minorHAnsi" w:hAnsiTheme="minorHAnsi"/>
          <w:color w:val="auto"/>
        </w:rPr>
        <w:t xml:space="preserve">current available IV iron therapies are efficacious with a good safety profile. High-dose FDI </w:t>
      </w:r>
      <w:r w:rsidRPr="00B046B3">
        <w:rPr>
          <w:rFonts w:asciiTheme="minorHAnsi" w:hAnsiTheme="minorHAnsi"/>
          <w:color w:val="auto"/>
        </w:rPr>
        <w:t>displays a trend of</w:t>
      </w:r>
      <w:r w:rsidR="00FC4FDF" w:rsidRPr="00E63806">
        <w:rPr>
          <w:rFonts w:asciiTheme="minorHAnsi" w:hAnsiTheme="minorHAnsi"/>
        </w:rPr>
        <w:t xml:space="preserve"> a greater treatment effect, resulting in </w:t>
      </w:r>
      <w:r w:rsidR="00FC4FDF" w:rsidRPr="00E63806">
        <w:rPr>
          <w:rFonts w:asciiTheme="minorHAnsi" w:hAnsiTheme="minorHAnsi"/>
        </w:rPr>
        <w:lastRenderedPageBreak/>
        <w:t>higher SF and TSAT compared to lower dose FDI and other IV iron preparations. This does not negatively affect oxidative stress, endothelial function, or inflammation. The successful IV iron repletion translates to improved quality of life and may positively affect arterial stiffness.</w:t>
      </w:r>
      <w:r w:rsidR="00FC4FDF" w:rsidRPr="00E63806">
        <w:rPr>
          <w:rFonts w:asciiTheme="minorHAnsi" w:hAnsiTheme="minorHAnsi"/>
          <w:color w:val="FF0000"/>
        </w:rPr>
        <w:t xml:space="preserve"> </w:t>
      </w:r>
      <w:r w:rsidRPr="00B046B3">
        <w:rPr>
          <w:rFonts w:asciiTheme="minorHAnsi" w:hAnsiTheme="minorHAnsi"/>
          <w:color w:val="auto"/>
        </w:rPr>
        <w:t>Further larger studies are required to definitively</w:t>
      </w:r>
      <w:r w:rsidR="00A241D4" w:rsidRPr="00B046B3">
        <w:rPr>
          <w:rFonts w:asciiTheme="minorHAnsi" w:hAnsiTheme="minorHAnsi"/>
          <w:color w:val="auto"/>
        </w:rPr>
        <w:t xml:space="preserve"> conclude on the potential </w:t>
      </w:r>
      <w:r w:rsidR="008D1E72">
        <w:rPr>
          <w:rFonts w:asciiTheme="minorHAnsi" w:hAnsiTheme="minorHAnsi"/>
          <w:color w:val="auto"/>
        </w:rPr>
        <w:t>oxidative</w:t>
      </w:r>
      <w:r w:rsidR="00A241D4" w:rsidRPr="00B046B3">
        <w:rPr>
          <w:rFonts w:asciiTheme="minorHAnsi" w:hAnsiTheme="minorHAnsi"/>
          <w:color w:val="auto"/>
        </w:rPr>
        <w:t xml:space="preserve"> effects of IV iron and the impact of multiple doses</w:t>
      </w:r>
      <w:r w:rsidR="000B501D" w:rsidRPr="00B046B3">
        <w:rPr>
          <w:rFonts w:asciiTheme="minorHAnsi" w:hAnsiTheme="minorHAnsi"/>
          <w:color w:val="auto"/>
        </w:rPr>
        <w:t xml:space="preserve"> in this patient group</w:t>
      </w:r>
      <w:r w:rsidR="00A241D4" w:rsidRPr="00B046B3">
        <w:rPr>
          <w:rFonts w:asciiTheme="minorHAnsi" w:hAnsiTheme="minorHAnsi"/>
          <w:color w:val="auto"/>
        </w:rPr>
        <w:t>.</w:t>
      </w:r>
    </w:p>
    <w:p w14:paraId="2B5E2713" w14:textId="77777777" w:rsidR="00FC4FDF" w:rsidRPr="00E75CB2" w:rsidRDefault="00FC4FDF" w:rsidP="00FC4FDF">
      <w:pPr>
        <w:pStyle w:val="Body"/>
        <w:spacing w:line="480" w:lineRule="auto"/>
        <w:rPr>
          <w:b/>
          <w:u w:val="single"/>
        </w:rPr>
      </w:pPr>
    </w:p>
    <w:p w14:paraId="560DD44D" w14:textId="77777777" w:rsidR="00FC4FDF" w:rsidRPr="00E75CB2" w:rsidRDefault="00FC4FDF" w:rsidP="00FC4FDF">
      <w:pPr>
        <w:pStyle w:val="Body"/>
        <w:pageBreakBefore/>
        <w:spacing w:line="480" w:lineRule="auto"/>
        <w:rPr>
          <w:b/>
          <w:u w:val="single"/>
        </w:rPr>
      </w:pPr>
      <w:r w:rsidRPr="00E75CB2">
        <w:rPr>
          <w:b/>
          <w:u w:val="single"/>
        </w:rPr>
        <w:lastRenderedPageBreak/>
        <w:t>Article information:</w:t>
      </w:r>
    </w:p>
    <w:p w14:paraId="6B9663FD" w14:textId="77777777" w:rsidR="00FC4FDF" w:rsidRPr="00E75CB2" w:rsidRDefault="00FC4FDF" w:rsidP="00FC4FDF">
      <w:pPr>
        <w:pStyle w:val="Body"/>
        <w:spacing w:line="480" w:lineRule="auto"/>
        <w:rPr>
          <w:b/>
        </w:rPr>
      </w:pPr>
      <w:r w:rsidRPr="00E75CB2">
        <w:rPr>
          <w:b/>
        </w:rPr>
        <w:t>Acknowledgments</w:t>
      </w:r>
    </w:p>
    <w:p w14:paraId="0386CED5" w14:textId="77777777" w:rsidR="00FC4FDF" w:rsidRPr="00E75CB2" w:rsidRDefault="00FC4FDF" w:rsidP="00FC4FDF">
      <w:pPr>
        <w:pStyle w:val="Body"/>
        <w:spacing w:line="480" w:lineRule="auto"/>
      </w:pPr>
      <w:r w:rsidRPr="00E75CB2">
        <w:t>The team would like to thank Tracy Cathcart, Vikki Jubb, Ahmed Ziedan and the Research and Development team (Leanne Cox and Sarah Moffat) at the Hull University Teaching Hospitals NHS Trust for their support.</w:t>
      </w:r>
    </w:p>
    <w:p w14:paraId="65B986D6" w14:textId="77777777" w:rsidR="00FC4FDF" w:rsidRPr="00E75CB2" w:rsidRDefault="00FC4FDF" w:rsidP="00FC4FDF">
      <w:pPr>
        <w:pStyle w:val="Body"/>
        <w:spacing w:line="480" w:lineRule="auto"/>
        <w:rPr>
          <w:b/>
          <w:bCs/>
        </w:rPr>
      </w:pPr>
      <w:r w:rsidRPr="00E75CB2">
        <w:rPr>
          <w:b/>
          <w:bCs/>
        </w:rPr>
        <w:t>Funding</w:t>
      </w:r>
    </w:p>
    <w:p w14:paraId="1976A832" w14:textId="77777777" w:rsidR="00FC4FDF" w:rsidRPr="00E75CB2" w:rsidRDefault="00FC4FDF" w:rsidP="00FC4FDF">
      <w:pPr>
        <w:pStyle w:val="Body"/>
        <w:spacing w:line="480" w:lineRule="auto"/>
      </w:pPr>
      <w:r w:rsidRPr="00E75CB2">
        <w:t>The IRON-CKD study received an unrestricted grant from Pharmacosmos A/S. The funder had no role in the study design, data collection and analysis, decision to publish, or preparation of the manuscript</w:t>
      </w:r>
    </w:p>
    <w:p w14:paraId="781F4194" w14:textId="77777777" w:rsidR="00FC4FDF" w:rsidRPr="00E75CB2" w:rsidRDefault="00FC4FDF" w:rsidP="00FC4FDF">
      <w:pPr>
        <w:pStyle w:val="Body"/>
        <w:spacing w:line="480" w:lineRule="auto"/>
        <w:rPr>
          <w:b/>
        </w:rPr>
      </w:pPr>
      <w:r w:rsidRPr="00E75CB2">
        <w:rPr>
          <w:b/>
        </w:rPr>
        <w:t>Conflict of Interest</w:t>
      </w:r>
    </w:p>
    <w:p w14:paraId="6223CC8A" w14:textId="77777777" w:rsidR="00FC4FDF" w:rsidRPr="00E75CB2" w:rsidRDefault="00FC4FDF" w:rsidP="00FC4FDF">
      <w:pPr>
        <w:pStyle w:val="Body"/>
        <w:spacing w:line="480" w:lineRule="auto"/>
      </w:pPr>
      <w:r w:rsidRPr="00E75CB2">
        <w:t>The results presented in this paper have not been published previously in whole or part, except in abstract format following the ERA/EDTA-2020 Virtual Conference. S.B. has received honorarium, consultancy fees, membership advisory board and travel funding from Pharmacosmos A/S, Vifor Pharma and Astellas. The rest of the authors have no conflicts of interest.</w:t>
      </w:r>
    </w:p>
    <w:p w14:paraId="126ABB0E" w14:textId="77777777" w:rsidR="00FC4FDF" w:rsidRPr="00E75CB2" w:rsidRDefault="00FC4FDF" w:rsidP="00FC4FDF">
      <w:pPr>
        <w:pStyle w:val="Body"/>
        <w:spacing w:line="480" w:lineRule="auto"/>
        <w:rPr>
          <w:b/>
        </w:rPr>
      </w:pPr>
      <w:r w:rsidRPr="00E75CB2">
        <w:rPr>
          <w:b/>
        </w:rPr>
        <w:t>Data statement</w:t>
      </w:r>
    </w:p>
    <w:p w14:paraId="2396B14C" w14:textId="77777777" w:rsidR="00FC4FDF" w:rsidRPr="00E75CB2" w:rsidRDefault="00FC4FDF" w:rsidP="00FC4FDF">
      <w:pPr>
        <w:pStyle w:val="Body"/>
        <w:spacing w:line="480" w:lineRule="auto"/>
      </w:pPr>
      <w:r w:rsidRPr="00E75CB2">
        <w:t xml:space="preserve">Individual participant data that underlie the results reported in this article, after de-identification (text, tables, figures and appendices) alongside protocol are available on request for 3 years following online publication to researchers with a methodologically sound proposal for the potential inclusion in meta-analysis. Requests should be directed to </w:t>
      </w:r>
      <w:hyperlink r:id="rId9" w:history="1">
        <w:r w:rsidRPr="00E75CB2">
          <w:rPr>
            <w:rStyle w:val="Hyperlink"/>
          </w:rPr>
          <w:t>xenophon.kassianides@hey.nhs.uk</w:t>
        </w:r>
      </w:hyperlink>
      <w:r w:rsidRPr="00E75CB2">
        <w:t>.</w:t>
      </w:r>
    </w:p>
    <w:p w14:paraId="671C86B3" w14:textId="77777777" w:rsidR="00FC4FDF" w:rsidRPr="00F44B07" w:rsidRDefault="00FC4FDF" w:rsidP="00FC4FDF">
      <w:pPr>
        <w:pStyle w:val="Body"/>
        <w:spacing w:line="480" w:lineRule="auto"/>
      </w:pPr>
    </w:p>
    <w:p w14:paraId="4C6875EA" w14:textId="77777777" w:rsidR="00FC4FDF" w:rsidRPr="00F44B07" w:rsidRDefault="00FC4FDF" w:rsidP="00FC4FDF">
      <w:pPr>
        <w:pStyle w:val="Body"/>
        <w:pageBreakBefore/>
        <w:spacing w:line="480" w:lineRule="auto"/>
        <w:rPr>
          <w:rFonts w:eastAsia="Arial"/>
          <w:b/>
          <w:bCs/>
        </w:rPr>
      </w:pPr>
      <w:r w:rsidRPr="00F44B07">
        <w:rPr>
          <w:b/>
          <w:bCs/>
        </w:rPr>
        <w:lastRenderedPageBreak/>
        <w:t>References</w:t>
      </w:r>
    </w:p>
    <w:p w14:paraId="1EAE695E" w14:textId="6BD7B421" w:rsidR="00B337AF" w:rsidRPr="00B337AF" w:rsidRDefault="00FC4FDF" w:rsidP="00B337AF">
      <w:pPr>
        <w:widowControl w:val="0"/>
        <w:autoSpaceDE w:val="0"/>
        <w:autoSpaceDN w:val="0"/>
        <w:adjustRightInd w:val="0"/>
        <w:spacing w:after="0" w:line="360" w:lineRule="auto"/>
        <w:rPr>
          <w:noProof/>
          <w:szCs w:val="24"/>
          <w:lang w:val="en-US"/>
        </w:rPr>
      </w:pPr>
      <w:r>
        <w:rPr>
          <w:rFonts w:cs="Arial"/>
          <w:b/>
          <w:bCs/>
          <w:u w:val="single"/>
        </w:rPr>
        <w:fldChar w:fldCharType="begin" w:fldLock="1"/>
      </w:r>
      <w:r>
        <w:rPr>
          <w:rFonts w:cs="Arial"/>
          <w:b/>
          <w:bCs/>
          <w:u w:val="single"/>
        </w:rPr>
        <w:instrText xml:space="preserve">ADDIN Mendeley Bibliography CSL_BIBLIOGRAPHY </w:instrText>
      </w:r>
      <w:r>
        <w:rPr>
          <w:rFonts w:cs="Arial"/>
          <w:b/>
          <w:bCs/>
          <w:u w:val="single"/>
        </w:rPr>
        <w:fldChar w:fldCharType="separate"/>
      </w:r>
      <w:r w:rsidR="00B337AF" w:rsidRPr="00B337AF">
        <w:rPr>
          <w:noProof/>
          <w:szCs w:val="24"/>
          <w:lang w:val="en-US"/>
        </w:rPr>
        <w:t xml:space="preserve">1. Vos T, Abajobir AA, Abbafati C,  et al. Global, regional, and national incidence, prevalence, and years lived with disability for 328 diseases and injuries for 195 countries, 1990-2016: A systematic analysis for the Global Burden of Disease Study 2016. </w:t>
      </w:r>
      <w:r w:rsidR="00B337AF" w:rsidRPr="00B337AF">
        <w:rPr>
          <w:i/>
          <w:noProof/>
          <w:szCs w:val="24"/>
          <w:lang w:val="en-US"/>
        </w:rPr>
        <w:t>Lancet</w:t>
      </w:r>
      <w:r w:rsidR="00B337AF" w:rsidRPr="00B337AF">
        <w:rPr>
          <w:noProof/>
          <w:szCs w:val="24"/>
          <w:lang w:val="en-US"/>
        </w:rPr>
        <w:t>.</w:t>
      </w:r>
      <w:r w:rsidR="00B337AF">
        <w:rPr>
          <w:noProof/>
          <w:szCs w:val="24"/>
          <w:lang w:val="en-US"/>
        </w:rPr>
        <w:t xml:space="preserve"> </w:t>
      </w:r>
      <w:r w:rsidR="00B337AF" w:rsidRPr="00B337AF">
        <w:rPr>
          <w:noProof/>
          <w:szCs w:val="24"/>
          <w:lang w:val="en-US"/>
        </w:rPr>
        <w:t>2017;390</w:t>
      </w:r>
      <w:r w:rsidR="00B80D0D">
        <w:rPr>
          <w:noProof/>
          <w:szCs w:val="24"/>
          <w:lang w:val="en-US"/>
        </w:rPr>
        <w:t>(10100)</w:t>
      </w:r>
      <w:r w:rsidR="00B337AF" w:rsidRPr="00B337AF">
        <w:rPr>
          <w:noProof/>
          <w:szCs w:val="24"/>
          <w:lang w:val="en-US"/>
        </w:rPr>
        <w:t xml:space="preserve">:1211–59. </w:t>
      </w:r>
    </w:p>
    <w:p w14:paraId="240CFB84" w14:textId="236C42E5"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2. Camaschella C. Iron-deficienc</w:t>
      </w:r>
      <w:r>
        <w:rPr>
          <w:noProof/>
          <w:szCs w:val="24"/>
          <w:lang w:val="en-US"/>
        </w:rPr>
        <w:t xml:space="preserve">y anemia. </w:t>
      </w:r>
      <w:r>
        <w:rPr>
          <w:i/>
          <w:noProof/>
          <w:szCs w:val="24"/>
          <w:lang w:val="en-US"/>
        </w:rPr>
        <w:t>N</w:t>
      </w:r>
      <w:r w:rsidRPr="00B337AF">
        <w:rPr>
          <w:i/>
          <w:noProof/>
          <w:szCs w:val="24"/>
          <w:lang w:val="en-US"/>
        </w:rPr>
        <w:t xml:space="preserve"> Engl</w:t>
      </w:r>
      <w:r>
        <w:rPr>
          <w:i/>
          <w:noProof/>
          <w:szCs w:val="24"/>
          <w:lang w:val="en-US"/>
        </w:rPr>
        <w:t xml:space="preserve"> J</w:t>
      </w:r>
      <w:r w:rsidRPr="00B337AF">
        <w:rPr>
          <w:i/>
          <w:noProof/>
          <w:szCs w:val="24"/>
          <w:lang w:val="en-US"/>
        </w:rPr>
        <w:t xml:space="preserve"> Med</w:t>
      </w:r>
      <w:r>
        <w:rPr>
          <w:noProof/>
          <w:szCs w:val="24"/>
          <w:lang w:val="en-US"/>
        </w:rPr>
        <w:t>. 2015; 372(19)</w:t>
      </w:r>
      <w:r w:rsidR="00B80D0D">
        <w:rPr>
          <w:noProof/>
          <w:szCs w:val="24"/>
          <w:lang w:val="en-US"/>
        </w:rPr>
        <w:t>:</w:t>
      </w:r>
      <w:r>
        <w:rPr>
          <w:noProof/>
          <w:szCs w:val="24"/>
          <w:lang w:val="en-US"/>
        </w:rPr>
        <w:t>1832-43.</w:t>
      </w:r>
    </w:p>
    <w:p w14:paraId="2119AB8E" w14:textId="0B4F008B"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3. Keshav S, Stevens R. New concepts </w:t>
      </w:r>
      <w:r>
        <w:rPr>
          <w:noProof/>
          <w:szCs w:val="24"/>
          <w:lang w:val="en-US"/>
        </w:rPr>
        <w:t xml:space="preserve">in iron deficiency anaemia. </w:t>
      </w:r>
      <w:r w:rsidRPr="00B337AF">
        <w:rPr>
          <w:i/>
          <w:noProof/>
          <w:szCs w:val="24"/>
          <w:lang w:val="en-US"/>
        </w:rPr>
        <w:t>Br J Gen Pract</w:t>
      </w:r>
      <w:r>
        <w:rPr>
          <w:noProof/>
          <w:szCs w:val="24"/>
          <w:lang w:val="en-US"/>
        </w:rPr>
        <w:t>. 2017; 67(654)</w:t>
      </w:r>
      <w:r w:rsidR="00B80D0D">
        <w:rPr>
          <w:noProof/>
          <w:szCs w:val="24"/>
          <w:lang w:val="en-US"/>
        </w:rPr>
        <w:t>:</w:t>
      </w:r>
      <w:r>
        <w:rPr>
          <w:noProof/>
          <w:szCs w:val="24"/>
          <w:lang w:val="en-US"/>
        </w:rPr>
        <w:t>10-11</w:t>
      </w:r>
      <w:r w:rsidRPr="00B337AF">
        <w:rPr>
          <w:noProof/>
          <w:szCs w:val="24"/>
          <w:lang w:val="en-US"/>
        </w:rPr>
        <w:t xml:space="preserve"> </w:t>
      </w:r>
    </w:p>
    <w:p w14:paraId="70D72DB1" w14:textId="5460DF88"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4. Bhandari S, Pereira DIA, Chappell HF, Drakesmith H. Intravenous irons: From basic science to clinical practice. </w:t>
      </w:r>
      <w:r>
        <w:rPr>
          <w:i/>
          <w:noProof/>
          <w:szCs w:val="24"/>
          <w:lang w:val="en-US"/>
        </w:rPr>
        <w:t>Pharmaceuticals</w:t>
      </w:r>
      <w:r w:rsidRPr="00B337AF">
        <w:rPr>
          <w:i/>
          <w:noProof/>
          <w:szCs w:val="24"/>
          <w:lang w:val="en-US"/>
        </w:rPr>
        <w:t xml:space="preserve"> MDPI</w:t>
      </w:r>
      <w:r w:rsidR="00B80D0D">
        <w:rPr>
          <w:noProof/>
          <w:szCs w:val="24"/>
          <w:lang w:val="en-US"/>
        </w:rPr>
        <w:t>; 2018;11(3):</w:t>
      </w:r>
      <w:r w:rsidRPr="00B337AF">
        <w:rPr>
          <w:noProof/>
          <w:szCs w:val="24"/>
          <w:lang w:val="en-US"/>
        </w:rPr>
        <w:t xml:space="preserve">82. </w:t>
      </w:r>
    </w:p>
    <w:p w14:paraId="0A00C79B" w14:textId="77777777"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5. NICE Guideline NG8. Chronic kidney disease: managing anemia. [Internet]. 2015 [cited 2020 Jul 7]. Available from: https://www.nice.org.uk/guidance/ng8</w:t>
      </w:r>
    </w:p>
    <w:p w14:paraId="5AF632CA" w14:textId="77777777"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6. Kidney Disease: Improving Global Outcomes (KDIGO) Anemia Work Group. KDIGO Clinical Practice Guideline for Anemia in Chronic Kidney Disease. Kidney Int Suppl [Internet]. 2012;2:279–335. Available from: http://kdigo.org/home/guidelines/anemia-in-ckd/%5Cnhttp://linkinghub.elsevier.com/retrieve/pii/S2157171615310777</w:t>
      </w:r>
    </w:p>
    <w:p w14:paraId="3207530A" w14:textId="62303F86"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7. Agarwal R, Kusek JW, Pappas MK. A randomized trial of intravenous and oral iron in chronic kidney disease. </w:t>
      </w:r>
      <w:r w:rsidRPr="00B337AF">
        <w:rPr>
          <w:i/>
          <w:noProof/>
          <w:szCs w:val="24"/>
          <w:lang w:val="en-US"/>
        </w:rPr>
        <w:t>Kidney Int</w:t>
      </w:r>
      <w:r w:rsidRPr="00B337AF">
        <w:rPr>
          <w:noProof/>
          <w:szCs w:val="24"/>
          <w:lang w:val="en-US"/>
        </w:rPr>
        <w:t>. 2015;</w:t>
      </w:r>
      <w:r>
        <w:rPr>
          <w:noProof/>
          <w:szCs w:val="24"/>
          <w:lang w:val="en-US"/>
        </w:rPr>
        <w:t xml:space="preserve"> </w:t>
      </w:r>
      <w:r w:rsidRPr="00B337AF">
        <w:rPr>
          <w:noProof/>
          <w:szCs w:val="24"/>
          <w:lang w:val="en-US"/>
        </w:rPr>
        <w:t>88</w:t>
      </w:r>
      <w:r>
        <w:rPr>
          <w:noProof/>
          <w:szCs w:val="24"/>
          <w:lang w:val="en-US"/>
        </w:rPr>
        <w:t>(4)</w:t>
      </w:r>
      <w:r w:rsidR="00B80D0D">
        <w:rPr>
          <w:noProof/>
          <w:szCs w:val="24"/>
          <w:lang w:val="en-US"/>
        </w:rPr>
        <w:t>:</w:t>
      </w:r>
      <w:r w:rsidRPr="00B337AF">
        <w:rPr>
          <w:noProof/>
          <w:szCs w:val="24"/>
          <w:lang w:val="en-US"/>
        </w:rPr>
        <w:t xml:space="preserve">905–14. </w:t>
      </w:r>
    </w:p>
    <w:p w14:paraId="5E097070" w14:textId="1951622E"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8. Zager RA, Johnson ACM, Hanson SY. Parenteral iron nephrotoxicity: Potential mechanisms and consequences. </w:t>
      </w:r>
      <w:r w:rsidRPr="00B337AF">
        <w:rPr>
          <w:i/>
          <w:noProof/>
          <w:szCs w:val="24"/>
          <w:lang w:val="en-US"/>
        </w:rPr>
        <w:t>Kidney Int</w:t>
      </w:r>
      <w:r w:rsidRPr="00B337AF">
        <w:rPr>
          <w:noProof/>
          <w:szCs w:val="24"/>
          <w:lang w:val="en-US"/>
        </w:rPr>
        <w:t>. 2004</w:t>
      </w:r>
      <w:r>
        <w:rPr>
          <w:noProof/>
          <w:szCs w:val="24"/>
          <w:lang w:val="en-US"/>
        </w:rPr>
        <w:t>; 66(1)</w:t>
      </w:r>
      <w:r w:rsidR="00B80D0D">
        <w:rPr>
          <w:noProof/>
          <w:szCs w:val="24"/>
          <w:lang w:val="en-US"/>
        </w:rPr>
        <w:t>:</w:t>
      </w:r>
      <w:r w:rsidRPr="00B337AF">
        <w:rPr>
          <w:noProof/>
          <w:szCs w:val="24"/>
          <w:lang w:val="en-US"/>
        </w:rPr>
        <w:t xml:space="preserve">144–56. </w:t>
      </w:r>
    </w:p>
    <w:p w14:paraId="2B2B4F4E" w14:textId="7FB9E349"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9. Mimić-Oka J, Savić-Radojević A, Plješa-Ercegovac M, et al. Evaluation of oxidative stress after repeated intravenous iron supplementation. </w:t>
      </w:r>
      <w:r w:rsidRPr="00B337AF">
        <w:rPr>
          <w:i/>
          <w:noProof/>
          <w:szCs w:val="24"/>
          <w:lang w:val="en-US"/>
        </w:rPr>
        <w:t>Ren Fail</w:t>
      </w:r>
      <w:r>
        <w:rPr>
          <w:noProof/>
          <w:szCs w:val="24"/>
          <w:lang w:val="en-US"/>
        </w:rPr>
        <w:t>. 2005; 27(3)</w:t>
      </w:r>
      <w:r w:rsidR="00B80D0D">
        <w:rPr>
          <w:noProof/>
          <w:szCs w:val="24"/>
          <w:lang w:val="en-US"/>
        </w:rPr>
        <w:t>:</w:t>
      </w:r>
      <w:r w:rsidRPr="00B337AF">
        <w:rPr>
          <w:noProof/>
          <w:szCs w:val="24"/>
          <w:lang w:val="en-US"/>
        </w:rPr>
        <w:t xml:space="preserve">345–51. </w:t>
      </w:r>
    </w:p>
    <w:p w14:paraId="378E3C47" w14:textId="6BD25954"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10. Shah S V., Baliga R, Rajapurkar M, Fonseca VA. Oxidants in chronic kidney disease. </w:t>
      </w:r>
      <w:r w:rsidRPr="00B337AF">
        <w:rPr>
          <w:i/>
          <w:noProof/>
          <w:szCs w:val="24"/>
          <w:lang w:val="en-US"/>
        </w:rPr>
        <w:t>J Am Soc Nephrol</w:t>
      </w:r>
      <w:r>
        <w:rPr>
          <w:noProof/>
          <w:szCs w:val="24"/>
          <w:lang w:val="en-US"/>
        </w:rPr>
        <w:t>. 2007; 18(1)</w:t>
      </w:r>
      <w:r w:rsidR="00B80D0D">
        <w:rPr>
          <w:noProof/>
          <w:szCs w:val="24"/>
          <w:lang w:val="en-US"/>
        </w:rPr>
        <w:t>:</w:t>
      </w:r>
      <w:r w:rsidRPr="00B337AF">
        <w:rPr>
          <w:noProof/>
          <w:szCs w:val="24"/>
          <w:lang w:val="en-US"/>
        </w:rPr>
        <w:t xml:space="preserve">16–28. </w:t>
      </w:r>
    </w:p>
    <w:p w14:paraId="66AB3A92" w14:textId="1B49976B"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11. Cabantchik ZI. Labile iron in cells and body fluids: Physiology, pathology, and pharmacology. </w:t>
      </w:r>
      <w:r w:rsidRPr="00B337AF">
        <w:rPr>
          <w:i/>
          <w:noProof/>
          <w:szCs w:val="24"/>
          <w:lang w:val="en-US"/>
        </w:rPr>
        <w:t>Front Pharmacol</w:t>
      </w:r>
      <w:r w:rsidRPr="00B337AF">
        <w:rPr>
          <w:noProof/>
          <w:szCs w:val="24"/>
          <w:lang w:val="en-US"/>
        </w:rPr>
        <w:t>. 2014;</w:t>
      </w:r>
      <w:r>
        <w:rPr>
          <w:noProof/>
          <w:szCs w:val="24"/>
          <w:lang w:val="en-US"/>
        </w:rPr>
        <w:t xml:space="preserve"> </w:t>
      </w:r>
      <w:r w:rsidRPr="00B337AF">
        <w:rPr>
          <w:noProof/>
          <w:szCs w:val="24"/>
          <w:lang w:val="en-US"/>
        </w:rPr>
        <w:t xml:space="preserve">13:45. </w:t>
      </w:r>
    </w:p>
    <w:p w14:paraId="51F2D784" w14:textId="76B055B1"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12. Bresgen N, Eckl PM. Oxidative stress and the homeodynamics of iron m</w:t>
      </w:r>
      <w:r>
        <w:rPr>
          <w:noProof/>
          <w:szCs w:val="24"/>
          <w:lang w:val="en-US"/>
        </w:rPr>
        <w:t xml:space="preserve">etabolism. </w:t>
      </w:r>
      <w:r w:rsidRPr="00B337AF">
        <w:rPr>
          <w:i/>
          <w:noProof/>
          <w:szCs w:val="24"/>
          <w:lang w:val="en-US"/>
        </w:rPr>
        <w:t>Biomolecules</w:t>
      </w:r>
      <w:r>
        <w:rPr>
          <w:noProof/>
          <w:szCs w:val="24"/>
          <w:lang w:val="en-US"/>
        </w:rPr>
        <w:t xml:space="preserve">. 2015; </w:t>
      </w:r>
      <w:r w:rsidRPr="00B337AF">
        <w:rPr>
          <w:noProof/>
          <w:szCs w:val="24"/>
          <w:lang w:val="en-US"/>
        </w:rPr>
        <w:t xml:space="preserve"> </w:t>
      </w:r>
      <w:r>
        <w:rPr>
          <w:noProof/>
          <w:szCs w:val="24"/>
          <w:lang w:val="en-US"/>
        </w:rPr>
        <w:t>5(2):808-847.</w:t>
      </w:r>
    </w:p>
    <w:p w14:paraId="6C42D30B" w14:textId="21E8F5C4"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13. Zager RA, Johnson ACM, Hanson SY, Wasse H. Parenteral iron formulations: A comparative toxicologic analysis and mechanisms of cell injury. </w:t>
      </w:r>
      <w:r w:rsidRPr="00B337AF">
        <w:rPr>
          <w:i/>
          <w:noProof/>
          <w:szCs w:val="24"/>
          <w:lang w:val="en-US"/>
        </w:rPr>
        <w:t>Am J Kidney Dis</w:t>
      </w:r>
      <w:r>
        <w:rPr>
          <w:noProof/>
          <w:szCs w:val="24"/>
          <w:lang w:val="en-US"/>
        </w:rPr>
        <w:t>. 2002; 40(1)</w:t>
      </w:r>
      <w:r w:rsidR="00B80D0D">
        <w:rPr>
          <w:noProof/>
          <w:szCs w:val="24"/>
          <w:lang w:val="en-US"/>
        </w:rPr>
        <w:t>:</w:t>
      </w:r>
      <w:r w:rsidRPr="00B337AF">
        <w:rPr>
          <w:noProof/>
          <w:szCs w:val="24"/>
          <w:lang w:val="en-US"/>
        </w:rPr>
        <w:t xml:space="preserve">90–103. </w:t>
      </w:r>
    </w:p>
    <w:p w14:paraId="5AA74302" w14:textId="18B75866"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14. Johnson ACM, Becker K, Zager RA. Parenteral iron formulations differentially affect MCP-1, HO-1, and NGAL gene expression and renal responses to injury. </w:t>
      </w:r>
      <w:r w:rsidRPr="00B337AF">
        <w:rPr>
          <w:i/>
          <w:noProof/>
          <w:szCs w:val="24"/>
          <w:lang w:val="en-US"/>
        </w:rPr>
        <w:t>Am J Physiol - Ren Physio</w:t>
      </w:r>
      <w:r w:rsidRPr="00B337AF">
        <w:rPr>
          <w:noProof/>
          <w:szCs w:val="24"/>
          <w:lang w:val="en-US"/>
        </w:rPr>
        <w:t>l. 2010;299</w:t>
      </w:r>
      <w:r>
        <w:rPr>
          <w:noProof/>
          <w:szCs w:val="24"/>
          <w:lang w:val="en-US"/>
        </w:rPr>
        <w:t>(2)F426-35</w:t>
      </w:r>
      <w:r w:rsidRPr="00B337AF">
        <w:rPr>
          <w:noProof/>
          <w:szCs w:val="24"/>
          <w:lang w:val="en-US"/>
        </w:rPr>
        <w:t xml:space="preserve">. </w:t>
      </w:r>
    </w:p>
    <w:p w14:paraId="5DC280DC" w14:textId="41BA44AA"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15. Jahn</w:t>
      </w:r>
      <w:r>
        <w:rPr>
          <w:noProof/>
          <w:szCs w:val="24"/>
          <w:lang w:val="en-US"/>
        </w:rPr>
        <w:t xml:space="preserve"> MR, Andreasen HB, Fütterer S, </w:t>
      </w:r>
      <w:r w:rsidRPr="00B337AF">
        <w:rPr>
          <w:noProof/>
          <w:szCs w:val="24"/>
          <w:lang w:val="en-US"/>
        </w:rPr>
        <w:t xml:space="preserve">et al. A comparative study of the physicochemical properties of iron isomaltoside 1000 (Monofer®), a new intravenous iron preparation and its clinical implications. </w:t>
      </w:r>
      <w:r w:rsidRPr="00B337AF">
        <w:rPr>
          <w:i/>
          <w:noProof/>
          <w:szCs w:val="24"/>
          <w:lang w:val="en-US"/>
        </w:rPr>
        <w:t>Eur J Pharm Biopharm</w:t>
      </w:r>
      <w:r w:rsidRPr="00B337AF">
        <w:rPr>
          <w:noProof/>
          <w:szCs w:val="24"/>
          <w:lang w:val="en-US"/>
        </w:rPr>
        <w:t>.</w:t>
      </w:r>
      <w:r>
        <w:rPr>
          <w:noProof/>
          <w:szCs w:val="24"/>
          <w:lang w:val="en-US"/>
        </w:rPr>
        <w:t xml:space="preserve"> 2011; 78(3)</w:t>
      </w:r>
      <w:r w:rsidR="00B80D0D">
        <w:rPr>
          <w:noProof/>
          <w:szCs w:val="24"/>
          <w:lang w:val="en-US"/>
        </w:rPr>
        <w:t>:</w:t>
      </w:r>
      <w:r w:rsidRPr="00B337AF">
        <w:rPr>
          <w:noProof/>
          <w:szCs w:val="24"/>
          <w:lang w:val="en-US"/>
        </w:rPr>
        <w:t xml:space="preserve">480–91. </w:t>
      </w:r>
    </w:p>
    <w:p w14:paraId="09D66FA9" w14:textId="4D7FFA83"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16. Zheng H, Huang X, Zhang Q, Katz SD. Iron sucrose augments homocysteine-induced endothelial dysfunction in normal subjects. </w:t>
      </w:r>
      <w:r w:rsidRPr="00B337AF">
        <w:rPr>
          <w:i/>
          <w:noProof/>
          <w:szCs w:val="24"/>
          <w:lang w:val="en-US"/>
        </w:rPr>
        <w:t>Kidney Int</w:t>
      </w:r>
      <w:r>
        <w:rPr>
          <w:noProof/>
          <w:szCs w:val="24"/>
          <w:lang w:val="en-US"/>
        </w:rPr>
        <w:t>. 2006; 69(4)</w:t>
      </w:r>
      <w:r w:rsidR="00B80D0D">
        <w:rPr>
          <w:noProof/>
          <w:szCs w:val="24"/>
          <w:lang w:val="en-US"/>
        </w:rPr>
        <w:t>:</w:t>
      </w:r>
      <w:r w:rsidRPr="00B337AF">
        <w:rPr>
          <w:noProof/>
          <w:szCs w:val="24"/>
          <w:lang w:val="en-US"/>
        </w:rPr>
        <w:t xml:space="preserve">679–84. </w:t>
      </w:r>
    </w:p>
    <w:p w14:paraId="028663EA" w14:textId="0D3F3925"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17. Kuo KL, Hung SC, Lee TS, Tarng DC. Iron sucrose accelerates early atherogenesis by increasing superoxide production and upregulating adhesion molecules in CKD. </w:t>
      </w:r>
      <w:r w:rsidRPr="00B337AF">
        <w:rPr>
          <w:i/>
          <w:noProof/>
          <w:szCs w:val="24"/>
          <w:lang w:val="en-US"/>
        </w:rPr>
        <w:t>J Am Soc Nephrol.</w:t>
      </w:r>
      <w:r>
        <w:rPr>
          <w:noProof/>
          <w:szCs w:val="24"/>
          <w:lang w:val="en-US"/>
        </w:rPr>
        <w:t xml:space="preserve"> 2014; 25(11)</w:t>
      </w:r>
      <w:r w:rsidR="00B80D0D">
        <w:rPr>
          <w:noProof/>
          <w:szCs w:val="24"/>
          <w:lang w:val="en-US"/>
        </w:rPr>
        <w:t>:</w:t>
      </w:r>
      <w:r w:rsidRPr="00B337AF">
        <w:rPr>
          <w:noProof/>
          <w:szCs w:val="24"/>
          <w:lang w:val="en-US"/>
        </w:rPr>
        <w:t xml:space="preserve">2596–606. </w:t>
      </w:r>
    </w:p>
    <w:p w14:paraId="78B3C05A" w14:textId="0F6E1599"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18. Agarwal R, Rizkala AR, Kaskas MO, Minasian R, Trout JR. Iron sucrose causes greater proteinuria than ferric gluconate in non-dialysis chronic kidney disease. </w:t>
      </w:r>
      <w:r w:rsidRPr="00B337AF">
        <w:rPr>
          <w:i/>
          <w:noProof/>
          <w:szCs w:val="24"/>
          <w:lang w:val="en-US"/>
        </w:rPr>
        <w:t>Kidney Int</w:t>
      </w:r>
      <w:r>
        <w:rPr>
          <w:noProof/>
          <w:szCs w:val="24"/>
          <w:lang w:val="en-US"/>
        </w:rPr>
        <w:t>. 2007; 72(5)</w:t>
      </w:r>
      <w:r w:rsidR="00B80D0D">
        <w:rPr>
          <w:noProof/>
          <w:szCs w:val="24"/>
          <w:lang w:val="en-US"/>
        </w:rPr>
        <w:t>:</w:t>
      </w:r>
      <w:r w:rsidRPr="00B337AF">
        <w:rPr>
          <w:noProof/>
          <w:szCs w:val="24"/>
          <w:lang w:val="en-US"/>
        </w:rPr>
        <w:t xml:space="preserve">638–42. </w:t>
      </w:r>
    </w:p>
    <w:p w14:paraId="22E72D51" w14:textId="09A16360"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19. Ziedan A, Bhandari S. Protocol and baseline data for a prospective open-label explorative randomized single-center comparative study to determine the effects of various intravenous iron preparations on markers of oxidative stress and kidney injury</w:t>
      </w:r>
      <w:r>
        <w:rPr>
          <w:noProof/>
          <w:szCs w:val="24"/>
          <w:lang w:val="en-US"/>
        </w:rPr>
        <w:t xml:space="preserve"> in chronic kidney disease. </w:t>
      </w:r>
      <w:r w:rsidRPr="00B337AF">
        <w:rPr>
          <w:i/>
          <w:noProof/>
          <w:szCs w:val="24"/>
          <w:lang w:val="en-US"/>
        </w:rPr>
        <w:t>Trials</w:t>
      </w:r>
      <w:r w:rsidR="00B80D0D">
        <w:rPr>
          <w:noProof/>
          <w:szCs w:val="24"/>
          <w:lang w:val="en-US"/>
        </w:rPr>
        <w:t>. 2019;20(1):</w:t>
      </w:r>
      <w:r w:rsidRPr="00B337AF">
        <w:rPr>
          <w:noProof/>
          <w:szCs w:val="24"/>
          <w:lang w:val="en-US"/>
        </w:rPr>
        <w:t xml:space="preserve">194. </w:t>
      </w:r>
    </w:p>
    <w:p w14:paraId="19C24722" w14:textId="5BB66ED6"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20. Finkelstein FO, van Nooten F, Wiklund I, Trundell D, Cella D. Measurement properties of the Short Form-36 (SF-36) and the Functional Assessment of Cancer Therapy - Anemia (FACT-An) in patients with anemia associated with chronic kidney disease. </w:t>
      </w:r>
      <w:r w:rsidRPr="00B337AF">
        <w:rPr>
          <w:i/>
          <w:noProof/>
          <w:szCs w:val="24"/>
          <w:lang w:val="en-US"/>
        </w:rPr>
        <w:t>Health Qual Life Outcomes</w:t>
      </w:r>
      <w:r w:rsidRPr="00B337AF">
        <w:rPr>
          <w:noProof/>
          <w:szCs w:val="24"/>
          <w:lang w:val="en-US"/>
        </w:rPr>
        <w:t>. 2018;16</w:t>
      </w:r>
      <w:r>
        <w:rPr>
          <w:noProof/>
          <w:szCs w:val="24"/>
          <w:lang w:val="en-US"/>
        </w:rPr>
        <w:t>:111</w:t>
      </w:r>
      <w:r w:rsidRPr="00B337AF">
        <w:rPr>
          <w:noProof/>
          <w:szCs w:val="24"/>
          <w:lang w:val="en-US"/>
        </w:rPr>
        <w:t xml:space="preserve">. </w:t>
      </w:r>
    </w:p>
    <w:p w14:paraId="4D2F9A80" w14:textId="5291BB4F"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21. Ziedan A, Kassianides X, Bhandari S. Erratum: Protocol and baseline data for a prospective open-label explorative randomized singlecenter comparative study to determine the effects of various intravenous iron preparations on markers of oxidative stress and kidney injury in chronic kidney dis. </w:t>
      </w:r>
      <w:r w:rsidRPr="00B337AF">
        <w:rPr>
          <w:i/>
          <w:noProof/>
          <w:szCs w:val="24"/>
          <w:lang w:val="en-US"/>
        </w:rPr>
        <w:t>Trials</w:t>
      </w:r>
      <w:r w:rsidRPr="00B337AF">
        <w:rPr>
          <w:noProof/>
          <w:szCs w:val="24"/>
          <w:lang w:val="en-US"/>
        </w:rPr>
        <w:t>. 2020;21</w:t>
      </w:r>
      <w:r w:rsidR="00B80D0D">
        <w:rPr>
          <w:noProof/>
          <w:szCs w:val="24"/>
          <w:lang w:val="en-US"/>
        </w:rPr>
        <w:t>(1):273</w:t>
      </w:r>
      <w:r w:rsidRPr="00B337AF">
        <w:rPr>
          <w:noProof/>
          <w:szCs w:val="24"/>
          <w:lang w:val="en-US"/>
        </w:rPr>
        <w:t xml:space="preserve">. </w:t>
      </w:r>
    </w:p>
    <w:p w14:paraId="3646EE5A" w14:textId="3E236C78"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22. Connor JR, Zhang X, Nixon AM, Webb B, Perno JR. Comparative evaluation of nephrotoxicity and management by macrophages of intravenous pharmaceutical iron formulations. </w:t>
      </w:r>
      <w:r w:rsidRPr="00B337AF">
        <w:rPr>
          <w:i/>
          <w:noProof/>
          <w:szCs w:val="24"/>
          <w:lang w:val="en-US"/>
        </w:rPr>
        <w:t>PLoS One</w:t>
      </w:r>
      <w:r w:rsidRPr="00B337AF">
        <w:rPr>
          <w:noProof/>
          <w:szCs w:val="24"/>
          <w:lang w:val="en-US"/>
        </w:rPr>
        <w:t>. 2015;</w:t>
      </w:r>
      <w:r>
        <w:rPr>
          <w:noProof/>
          <w:szCs w:val="24"/>
          <w:lang w:val="en-US"/>
        </w:rPr>
        <w:t xml:space="preserve"> </w:t>
      </w:r>
      <w:r w:rsidRPr="00B337AF">
        <w:rPr>
          <w:noProof/>
          <w:szCs w:val="24"/>
          <w:lang w:val="en-US"/>
        </w:rPr>
        <w:t>10</w:t>
      </w:r>
      <w:r>
        <w:rPr>
          <w:noProof/>
          <w:szCs w:val="24"/>
          <w:lang w:val="en-US"/>
        </w:rPr>
        <w:t>(5)</w:t>
      </w:r>
      <w:r w:rsidR="00B80D0D">
        <w:rPr>
          <w:noProof/>
          <w:szCs w:val="24"/>
          <w:lang w:val="en-US"/>
        </w:rPr>
        <w:t>:</w:t>
      </w:r>
      <w:r>
        <w:rPr>
          <w:noProof/>
          <w:szCs w:val="24"/>
          <w:lang w:val="en-US"/>
        </w:rPr>
        <w:t>e0125272</w:t>
      </w:r>
      <w:r w:rsidRPr="00B337AF">
        <w:rPr>
          <w:noProof/>
          <w:szCs w:val="24"/>
          <w:lang w:val="en-US"/>
        </w:rPr>
        <w:t xml:space="preserve">. </w:t>
      </w:r>
    </w:p>
    <w:p w14:paraId="5A32C1F8" w14:textId="77777777"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23. Fütterer S, Andrusenko I, Kolb U, Hofmeister W, Langguth P. Structural characterization of iron oxide/hydroxide nanoparticles in nine different parenteral drugs for the treatment of iron deficiency anaemia by electron diffraction (ED) and X-ray powder diffraction (XRPD). </w:t>
      </w:r>
      <w:r w:rsidRPr="00B337AF">
        <w:rPr>
          <w:i/>
          <w:noProof/>
          <w:szCs w:val="24"/>
          <w:lang w:val="en-US"/>
        </w:rPr>
        <w:t>J Pharm Biomed Anal</w:t>
      </w:r>
      <w:r w:rsidRPr="00B337AF">
        <w:rPr>
          <w:noProof/>
          <w:szCs w:val="24"/>
          <w:lang w:val="en-US"/>
        </w:rPr>
        <w:t xml:space="preserve">. 2013;86:151–60. </w:t>
      </w:r>
    </w:p>
    <w:p w14:paraId="684827AD" w14:textId="77777777"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24. Garbowski MW, Bansal SS, Porter JB, Burckhardt S, Hider R. NTBI Is Transiently Generated from Two Compartments during a Single Dose of Intravenous Iron - a Randomized Controlled Clinical Study. </w:t>
      </w:r>
      <w:r w:rsidRPr="00B337AF">
        <w:rPr>
          <w:i/>
          <w:noProof/>
          <w:szCs w:val="24"/>
          <w:lang w:val="en-US"/>
        </w:rPr>
        <w:t>Blood</w:t>
      </w:r>
      <w:r w:rsidRPr="00B337AF">
        <w:rPr>
          <w:noProof/>
          <w:szCs w:val="24"/>
          <w:lang w:val="en-US"/>
        </w:rPr>
        <w:t xml:space="preserve">. 2019;134:2234–2234. </w:t>
      </w:r>
    </w:p>
    <w:p w14:paraId="3326F6DC" w14:textId="3A3CBB90"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25. Bhandari S, Kalra PA, Berkowitz M, Belo D, Thomsen LL, Wolf M. Safety and efficacy of iron isomaltoside 1000/ferric derisomaltose versus iron sucrose in patients with chronic kidney disease: the FERWON-NEPHRO randomized, open-label, comparative trial. </w:t>
      </w:r>
      <w:r w:rsidRPr="00B337AF">
        <w:rPr>
          <w:i/>
          <w:noProof/>
          <w:szCs w:val="24"/>
          <w:lang w:val="en-US"/>
        </w:rPr>
        <w:t>Nephrol Dial Transplant</w:t>
      </w:r>
      <w:r w:rsidRPr="00B337AF">
        <w:rPr>
          <w:noProof/>
          <w:szCs w:val="24"/>
          <w:lang w:val="en-US"/>
        </w:rPr>
        <w:t>. 2020;</w:t>
      </w:r>
      <w:r>
        <w:rPr>
          <w:noProof/>
          <w:szCs w:val="24"/>
          <w:lang w:val="en-US"/>
        </w:rPr>
        <w:t>[Online ahead of print]</w:t>
      </w:r>
      <w:r w:rsidRPr="00B337AF">
        <w:rPr>
          <w:noProof/>
          <w:szCs w:val="24"/>
          <w:lang w:val="en-US"/>
        </w:rPr>
        <w:t xml:space="preserve"> </w:t>
      </w:r>
    </w:p>
    <w:p w14:paraId="78D915AF" w14:textId="608F7205"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26. Ma X</w:t>
      </w:r>
      <w:r>
        <w:rPr>
          <w:noProof/>
          <w:szCs w:val="24"/>
          <w:lang w:val="en-US"/>
        </w:rPr>
        <w:t>, Yan W, Zheng H</w:t>
      </w:r>
      <w:r w:rsidRPr="00B337AF">
        <w:rPr>
          <w:noProof/>
          <w:szCs w:val="24"/>
          <w:lang w:val="en-US"/>
        </w:rPr>
        <w:t xml:space="preserve">, et al. Regulation of IL-10 and IL-12 production and function in macrophages and dendritic cells. </w:t>
      </w:r>
      <w:r w:rsidRPr="00B337AF">
        <w:rPr>
          <w:i/>
          <w:noProof/>
          <w:szCs w:val="24"/>
          <w:lang w:val="en-US"/>
        </w:rPr>
        <w:t>F1000Research</w:t>
      </w:r>
      <w:r>
        <w:rPr>
          <w:noProof/>
          <w:szCs w:val="24"/>
          <w:lang w:val="en-US"/>
        </w:rPr>
        <w:t>. 2015; 4,F1000 Faculty Rev-1465.</w:t>
      </w:r>
    </w:p>
    <w:p w14:paraId="3B21CA85" w14:textId="0A3F3B0F"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27. Macdou</w:t>
      </w:r>
      <w:r>
        <w:rPr>
          <w:noProof/>
          <w:szCs w:val="24"/>
          <w:lang w:val="en-US"/>
        </w:rPr>
        <w:t xml:space="preserve">gall IC, White C, Anker SD, </w:t>
      </w:r>
      <w:r w:rsidRPr="00B337AF">
        <w:rPr>
          <w:noProof/>
          <w:szCs w:val="24"/>
          <w:lang w:val="en-US"/>
        </w:rPr>
        <w:t xml:space="preserve">et al. Intravenous iron in patients undergoing maintenance hemodialysis. </w:t>
      </w:r>
      <w:r w:rsidRPr="00B337AF">
        <w:rPr>
          <w:i/>
          <w:noProof/>
          <w:szCs w:val="24"/>
          <w:lang w:val="en-US"/>
        </w:rPr>
        <w:t>N Engl J Med</w:t>
      </w:r>
      <w:r>
        <w:rPr>
          <w:noProof/>
          <w:szCs w:val="24"/>
          <w:lang w:val="en-US"/>
        </w:rPr>
        <w:t>. 2019; 380(5)</w:t>
      </w:r>
      <w:r w:rsidR="00B80D0D">
        <w:rPr>
          <w:noProof/>
          <w:szCs w:val="24"/>
          <w:lang w:val="en-US"/>
        </w:rPr>
        <w:t>:</w:t>
      </w:r>
      <w:r w:rsidRPr="00B337AF">
        <w:rPr>
          <w:noProof/>
          <w:szCs w:val="24"/>
          <w:lang w:val="en-US"/>
        </w:rPr>
        <w:t xml:space="preserve">447–58. </w:t>
      </w:r>
    </w:p>
    <w:p w14:paraId="1A63122E" w14:textId="209D28F9"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28. Miles LF, Litton E, Imberger G, Story D. Intravenous iron therapy for non-anaemic, iron-deficient adults.</w:t>
      </w:r>
      <w:r w:rsidRPr="00B337AF">
        <w:rPr>
          <w:i/>
          <w:noProof/>
          <w:szCs w:val="24"/>
          <w:lang w:val="en-US"/>
        </w:rPr>
        <w:t xml:space="preserve"> Cochrane Database Syst Rev</w:t>
      </w:r>
      <w:r w:rsidRPr="00B337AF">
        <w:rPr>
          <w:noProof/>
          <w:szCs w:val="24"/>
          <w:lang w:val="en-US"/>
        </w:rPr>
        <w:t>. 2019;</w:t>
      </w:r>
      <w:r>
        <w:rPr>
          <w:noProof/>
          <w:szCs w:val="24"/>
          <w:lang w:val="en-US"/>
        </w:rPr>
        <w:t xml:space="preserve"> 12(12):CD013084</w:t>
      </w:r>
      <w:r w:rsidRPr="00B337AF">
        <w:rPr>
          <w:noProof/>
          <w:szCs w:val="24"/>
          <w:lang w:val="en-US"/>
        </w:rPr>
        <w:t xml:space="preserve">. </w:t>
      </w:r>
    </w:p>
    <w:p w14:paraId="65BD3B96" w14:textId="3515392D"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29. Schaller G,</w:t>
      </w:r>
      <w:r>
        <w:rPr>
          <w:noProof/>
          <w:szCs w:val="24"/>
          <w:lang w:val="en-US"/>
        </w:rPr>
        <w:t xml:space="preserve"> Scheiber-Mojdehkar B, Wolzt M</w:t>
      </w:r>
      <w:r w:rsidRPr="00B337AF">
        <w:rPr>
          <w:noProof/>
          <w:szCs w:val="24"/>
          <w:lang w:val="en-US"/>
        </w:rPr>
        <w:t xml:space="preserve">, et al. Intravenous iron increases labile serum iron but does not impair forearm blood flow reactivity in dialysis patients. </w:t>
      </w:r>
      <w:r w:rsidRPr="00B337AF">
        <w:rPr>
          <w:i/>
          <w:noProof/>
          <w:szCs w:val="24"/>
          <w:lang w:val="en-US"/>
        </w:rPr>
        <w:t>Kidney Int</w:t>
      </w:r>
      <w:r>
        <w:rPr>
          <w:noProof/>
          <w:szCs w:val="24"/>
          <w:lang w:val="en-US"/>
        </w:rPr>
        <w:t>. 2005; 68(6)</w:t>
      </w:r>
      <w:r w:rsidR="00B80D0D">
        <w:rPr>
          <w:noProof/>
          <w:szCs w:val="24"/>
          <w:lang w:val="en-US"/>
        </w:rPr>
        <w:t>:</w:t>
      </w:r>
      <w:r w:rsidRPr="00B337AF">
        <w:rPr>
          <w:noProof/>
          <w:szCs w:val="24"/>
          <w:lang w:val="en-US"/>
        </w:rPr>
        <w:t xml:space="preserve">2814–22. </w:t>
      </w:r>
    </w:p>
    <w:p w14:paraId="27A3D145" w14:textId="0C1C4F27"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30. McEver RP. Selectins: Initiators of leucocyte adhesion and signalling at the vascular wall. </w:t>
      </w:r>
      <w:r>
        <w:rPr>
          <w:i/>
          <w:noProof/>
          <w:szCs w:val="24"/>
          <w:lang w:val="en-US"/>
        </w:rPr>
        <w:t>Cardiovasc</w:t>
      </w:r>
      <w:r w:rsidRPr="00B337AF">
        <w:rPr>
          <w:i/>
          <w:noProof/>
          <w:szCs w:val="24"/>
          <w:lang w:val="en-US"/>
        </w:rPr>
        <w:t xml:space="preserve"> Res</w:t>
      </w:r>
      <w:r>
        <w:rPr>
          <w:noProof/>
          <w:szCs w:val="24"/>
          <w:lang w:val="en-US"/>
        </w:rPr>
        <w:t>. 2015; 107(3)</w:t>
      </w:r>
      <w:r w:rsidR="00B80D0D">
        <w:rPr>
          <w:noProof/>
          <w:szCs w:val="24"/>
          <w:lang w:val="en-US"/>
        </w:rPr>
        <w:t>:</w:t>
      </w:r>
      <w:r w:rsidRPr="00B337AF">
        <w:rPr>
          <w:noProof/>
          <w:szCs w:val="24"/>
          <w:lang w:val="en-US"/>
        </w:rPr>
        <w:t xml:space="preserve">331–9. </w:t>
      </w:r>
    </w:p>
    <w:p w14:paraId="52A00D7F" w14:textId="35655936"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31. Kartikasari AER, Georgiou NA, Visseren FLJ, Van Kats-Renaud H, Van Asbeck BS, Marx JJM. Intracellular labile iron modulates adhesion of human monocytes to human endothelial cells. </w:t>
      </w:r>
      <w:r w:rsidRPr="00B337AF">
        <w:rPr>
          <w:i/>
          <w:noProof/>
          <w:szCs w:val="24"/>
          <w:lang w:val="en-US"/>
        </w:rPr>
        <w:t>Arterioscler Thromb Vasc Biol</w:t>
      </w:r>
      <w:r>
        <w:rPr>
          <w:noProof/>
          <w:szCs w:val="24"/>
          <w:lang w:val="en-US"/>
        </w:rPr>
        <w:t>. 2004;24(12)</w:t>
      </w:r>
      <w:r w:rsidR="00B80D0D">
        <w:rPr>
          <w:noProof/>
          <w:szCs w:val="24"/>
          <w:lang w:val="en-US"/>
        </w:rPr>
        <w:t>:</w:t>
      </w:r>
      <w:r w:rsidRPr="00B337AF">
        <w:rPr>
          <w:noProof/>
          <w:szCs w:val="24"/>
          <w:lang w:val="en-US"/>
        </w:rPr>
        <w:t xml:space="preserve">2257–62. </w:t>
      </w:r>
    </w:p>
    <w:p w14:paraId="61329B46" w14:textId="7DAEC916"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32. Kulnigg-Dabsch S, Schmid W, Howaldt S, et al. Iron deficiency generates secondary thrombocytosis and platelet activation in IBD: The randomized, controlled ThromboVIT trial. </w:t>
      </w:r>
      <w:r w:rsidR="00B80D0D" w:rsidRPr="00B80D0D">
        <w:rPr>
          <w:i/>
          <w:noProof/>
          <w:szCs w:val="24"/>
          <w:lang w:val="en-US"/>
        </w:rPr>
        <w:t>Inflamm Bowel Dis</w:t>
      </w:r>
      <w:r w:rsidR="00B80D0D" w:rsidRPr="00B337AF">
        <w:rPr>
          <w:noProof/>
          <w:szCs w:val="24"/>
          <w:lang w:val="en-US"/>
        </w:rPr>
        <w:t>.</w:t>
      </w:r>
      <w:r w:rsidR="00B80D0D">
        <w:rPr>
          <w:noProof/>
          <w:szCs w:val="24"/>
          <w:lang w:val="en-US"/>
        </w:rPr>
        <w:t xml:space="preserve"> 2013;19(8):</w:t>
      </w:r>
      <w:r w:rsidRPr="00B337AF">
        <w:rPr>
          <w:noProof/>
          <w:szCs w:val="24"/>
          <w:lang w:val="en-US"/>
        </w:rPr>
        <w:t xml:space="preserve">1609–16. </w:t>
      </w:r>
    </w:p>
    <w:p w14:paraId="6D7BB9F9" w14:textId="77777777"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33. Eliadou E, Kini G, Huang J, Champion A, Inns SJ. Intravenous Iron Replacement Improves Quality of Life in Hypoferritinemic Inflammatory Bowel Disease Patients with and without Anemia. </w:t>
      </w:r>
      <w:r w:rsidRPr="00B80D0D">
        <w:rPr>
          <w:i/>
          <w:noProof/>
          <w:szCs w:val="24"/>
          <w:lang w:val="en-US"/>
        </w:rPr>
        <w:t>Dig Dis</w:t>
      </w:r>
      <w:r w:rsidRPr="00B337AF">
        <w:rPr>
          <w:noProof/>
          <w:szCs w:val="24"/>
          <w:lang w:val="en-US"/>
        </w:rPr>
        <w:t xml:space="preserve">. 2017;35:444–8. </w:t>
      </w:r>
    </w:p>
    <w:p w14:paraId="3E9A74BA" w14:textId="632781E3"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34. Macdougall IC, Bhandari S, White C, et al. Intravenous Iron Dosing and Infection Risk in Patients on Hemodialysis: A Prespecified Secondary Analysis of the PIVOTAL Trial. </w:t>
      </w:r>
      <w:r w:rsidRPr="00B80D0D">
        <w:rPr>
          <w:i/>
          <w:noProof/>
          <w:szCs w:val="24"/>
          <w:lang w:val="en-US"/>
        </w:rPr>
        <w:t>J Am Soc Nephrol</w:t>
      </w:r>
      <w:r w:rsidR="00B80D0D">
        <w:rPr>
          <w:noProof/>
          <w:szCs w:val="24"/>
          <w:lang w:val="en-US"/>
        </w:rPr>
        <w:t>. 2020; 31(5):</w:t>
      </w:r>
      <w:r w:rsidRPr="00B337AF">
        <w:rPr>
          <w:noProof/>
          <w:szCs w:val="24"/>
          <w:lang w:val="en-US"/>
        </w:rPr>
        <w:t xml:space="preserve">1118–27. </w:t>
      </w:r>
    </w:p>
    <w:p w14:paraId="467CD35E" w14:textId="5A21F100"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35. Bhandari S, Kalra PA, Kothari J, et al. A randomized, open-label trial of iron isomaltoside 1000 (Monofer®) compared with iron sucrose (Venofer®) as maintenance therapy in haemodialysis patients. </w:t>
      </w:r>
      <w:r w:rsidRPr="00B80D0D">
        <w:rPr>
          <w:i/>
          <w:noProof/>
          <w:szCs w:val="24"/>
          <w:lang w:val="en-US"/>
        </w:rPr>
        <w:t>Nephrol Dial Transplant</w:t>
      </w:r>
      <w:r w:rsidR="00B80D0D">
        <w:rPr>
          <w:noProof/>
          <w:szCs w:val="24"/>
          <w:lang w:val="en-US"/>
        </w:rPr>
        <w:t>. 2015; 30(9):</w:t>
      </w:r>
      <w:r w:rsidRPr="00B337AF">
        <w:rPr>
          <w:noProof/>
          <w:szCs w:val="24"/>
          <w:lang w:val="en-US"/>
        </w:rPr>
        <w:t xml:space="preserve">1577–89. </w:t>
      </w:r>
    </w:p>
    <w:p w14:paraId="3DC5A826" w14:textId="4525E729"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36. Kalra PA, Bhandari S, Saxena S, et al. A randomized trial of iron isomaltoside 1000 versus oral iron in non-dialysis-dependent chronic kidney disease patients with anaemia. </w:t>
      </w:r>
      <w:r w:rsidRPr="00B80D0D">
        <w:rPr>
          <w:i/>
          <w:noProof/>
          <w:szCs w:val="24"/>
          <w:lang w:val="en-US"/>
        </w:rPr>
        <w:t>Nephrol Dial Transplant</w:t>
      </w:r>
      <w:r w:rsidRPr="00B337AF">
        <w:rPr>
          <w:noProof/>
          <w:szCs w:val="24"/>
          <w:lang w:val="en-US"/>
        </w:rPr>
        <w:t>. 2016;</w:t>
      </w:r>
      <w:r w:rsidR="00B80D0D">
        <w:rPr>
          <w:noProof/>
          <w:szCs w:val="24"/>
          <w:lang w:val="en-US"/>
        </w:rPr>
        <w:t xml:space="preserve"> 31(4):</w:t>
      </w:r>
      <w:r w:rsidRPr="00B337AF">
        <w:rPr>
          <w:noProof/>
          <w:szCs w:val="24"/>
          <w:lang w:val="en-US"/>
        </w:rPr>
        <w:t xml:space="preserve">646–55. </w:t>
      </w:r>
    </w:p>
    <w:p w14:paraId="62D07BF7" w14:textId="014B69C9"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 xml:space="preserve">37. Nuhu F, Seymour AM, Bhandari S. Impact of intravenous iron on oxidative stress and mitochondrial function in experimental chronic kidney disease. </w:t>
      </w:r>
      <w:r w:rsidRPr="00B80D0D">
        <w:rPr>
          <w:i/>
          <w:noProof/>
          <w:szCs w:val="24"/>
          <w:lang w:val="en-US"/>
        </w:rPr>
        <w:t>Antioxidants</w:t>
      </w:r>
      <w:r w:rsidR="00B80D0D">
        <w:rPr>
          <w:noProof/>
          <w:szCs w:val="24"/>
          <w:lang w:val="en-US"/>
        </w:rPr>
        <w:t>. 2019;8(10):</w:t>
      </w:r>
      <w:r w:rsidRPr="00B337AF">
        <w:rPr>
          <w:noProof/>
          <w:szCs w:val="24"/>
          <w:lang w:val="en-US"/>
        </w:rPr>
        <w:t xml:space="preserve">498. </w:t>
      </w:r>
    </w:p>
    <w:p w14:paraId="73309B7A" w14:textId="3ABC1834"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38. Koskenkorva-Frank TS, Weiss G, Koppenol WH, Burckhardt S. The complex interplay of iron metabolism, reactive oxygen species, and reactive nitrogen species: Insights into the potential of various iron therapies to induce oxidative and</w:t>
      </w:r>
      <w:r w:rsidR="00B80D0D">
        <w:rPr>
          <w:noProof/>
          <w:szCs w:val="24"/>
          <w:lang w:val="en-US"/>
        </w:rPr>
        <w:t xml:space="preserve"> nitrosative stress. </w:t>
      </w:r>
      <w:r w:rsidR="00B80D0D" w:rsidRPr="00B80D0D">
        <w:rPr>
          <w:i/>
          <w:noProof/>
          <w:szCs w:val="24"/>
          <w:lang w:val="en-US"/>
        </w:rPr>
        <w:t>Free Radic Biol Med</w:t>
      </w:r>
      <w:r w:rsidR="00B80D0D">
        <w:rPr>
          <w:noProof/>
          <w:szCs w:val="24"/>
          <w:lang w:val="en-US"/>
        </w:rPr>
        <w:t>. 2013.65:</w:t>
      </w:r>
      <w:r w:rsidRPr="00B337AF">
        <w:rPr>
          <w:noProof/>
          <w:szCs w:val="24"/>
          <w:lang w:val="en-US"/>
        </w:rPr>
        <w:t xml:space="preserve">1174–94. </w:t>
      </w:r>
    </w:p>
    <w:p w14:paraId="2AC994FA" w14:textId="4C751C96" w:rsidR="00B337AF" w:rsidRPr="00B337AF" w:rsidRDefault="00B337AF" w:rsidP="00B337AF">
      <w:pPr>
        <w:widowControl w:val="0"/>
        <w:autoSpaceDE w:val="0"/>
        <w:autoSpaceDN w:val="0"/>
        <w:adjustRightInd w:val="0"/>
        <w:spacing w:after="0" w:line="360" w:lineRule="auto"/>
        <w:rPr>
          <w:noProof/>
          <w:szCs w:val="24"/>
          <w:lang w:val="en-US"/>
        </w:rPr>
      </w:pPr>
      <w:r w:rsidRPr="00B337AF">
        <w:rPr>
          <w:noProof/>
          <w:szCs w:val="24"/>
          <w:lang w:val="en-US"/>
        </w:rPr>
        <w:t>39. Meroño T, Dauteuille C, Tetzlaff W, et al. Oxidative stress, HDL functionality and effects of intravenous iron administration in women with iron defici</w:t>
      </w:r>
      <w:r w:rsidR="00B80D0D">
        <w:rPr>
          <w:noProof/>
          <w:szCs w:val="24"/>
          <w:lang w:val="en-US"/>
        </w:rPr>
        <w:t xml:space="preserve">ency anemia. </w:t>
      </w:r>
      <w:r w:rsidR="00B80D0D" w:rsidRPr="00B80D0D">
        <w:rPr>
          <w:i/>
          <w:noProof/>
          <w:szCs w:val="24"/>
          <w:lang w:val="en-US"/>
        </w:rPr>
        <w:t>Clin Nutr</w:t>
      </w:r>
      <w:r w:rsidR="00B80D0D">
        <w:rPr>
          <w:noProof/>
          <w:szCs w:val="24"/>
          <w:lang w:val="en-US"/>
        </w:rPr>
        <w:t>. 2017; 36(2):</w:t>
      </w:r>
      <w:r w:rsidRPr="00B337AF">
        <w:rPr>
          <w:noProof/>
          <w:szCs w:val="24"/>
          <w:lang w:val="en-US"/>
        </w:rPr>
        <w:t xml:space="preserve">552–8. </w:t>
      </w:r>
    </w:p>
    <w:p w14:paraId="126505D4" w14:textId="091838E5" w:rsidR="00B337AF" w:rsidRPr="00B337AF" w:rsidRDefault="00B337AF" w:rsidP="00B337AF">
      <w:pPr>
        <w:widowControl w:val="0"/>
        <w:autoSpaceDE w:val="0"/>
        <w:autoSpaceDN w:val="0"/>
        <w:adjustRightInd w:val="0"/>
        <w:spacing w:after="0" w:line="360" w:lineRule="auto"/>
        <w:rPr>
          <w:noProof/>
        </w:rPr>
      </w:pPr>
      <w:r w:rsidRPr="00B337AF">
        <w:rPr>
          <w:noProof/>
          <w:szCs w:val="24"/>
          <w:lang w:val="en-US"/>
        </w:rPr>
        <w:t>40. Wolf M, Rubin J</w:t>
      </w:r>
      <w:r w:rsidR="00B80D0D">
        <w:rPr>
          <w:noProof/>
          <w:szCs w:val="24"/>
          <w:lang w:val="en-US"/>
        </w:rPr>
        <w:t>, Achebe M</w:t>
      </w:r>
      <w:r w:rsidRPr="00B337AF">
        <w:rPr>
          <w:noProof/>
          <w:szCs w:val="24"/>
          <w:lang w:val="en-US"/>
        </w:rPr>
        <w:t xml:space="preserve"> et al. Effects of Iron Isomaltoside vs Ferric Carboxymaltose on Hypophosphatemia in Iron-Deficiency Anemia: Two Randomized Clinical Trials. </w:t>
      </w:r>
      <w:r w:rsidRPr="00B80D0D">
        <w:rPr>
          <w:i/>
          <w:noProof/>
          <w:szCs w:val="24"/>
          <w:lang w:val="en-US"/>
        </w:rPr>
        <w:t>JAMA - J Am Med</w:t>
      </w:r>
      <w:r w:rsidRPr="00B337AF">
        <w:rPr>
          <w:noProof/>
          <w:szCs w:val="24"/>
          <w:lang w:val="en-US"/>
        </w:rPr>
        <w:t xml:space="preserve"> </w:t>
      </w:r>
      <w:r w:rsidRPr="00B80D0D">
        <w:rPr>
          <w:i/>
          <w:noProof/>
          <w:szCs w:val="24"/>
          <w:lang w:val="en-US"/>
        </w:rPr>
        <w:t>Assoc</w:t>
      </w:r>
      <w:r w:rsidR="00B80D0D">
        <w:rPr>
          <w:noProof/>
          <w:szCs w:val="24"/>
          <w:lang w:val="en-US"/>
        </w:rPr>
        <w:t>. 2020;323(5):</w:t>
      </w:r>
      <w:r w:rsidRPr="00B337AF">
        <w:rPr>
          <w:noProof/>
          <w:szCs w:val="24"/>
          <w:lang w:val="en-US"/>
        </w:rPr>
        <w:t xml:space="preserve">432–43. </w:t>
      </w:r>
    </w:p>
    <w:p w14:paraId="03F31CF0" w14:textId="1D6270C8" w:rsidR="00FC4FDF" w:rsidRPr="00311BEA" w:rsidRDefault="00FC4FDF" w:rsidP="00B337AF">
      <w:pPr>
        <w:widowControl w:val="0"/>
        <w:autoSpaceDE w:val="0"/>
        <w:autoSpaceDN w:val="0"/>
        <w:adjustRightInd w:val="0"/>
        <w:spacing w:after="0" w:line="360" w:lineRule="auto"/>
        <w:ind w:left="640" w:hanging="640"/>
        <w:rPr>
          <w:rFonts w:cs="Arial"/>
          <w:b/>
          <w:bCs/>
          <w:u w:val="single"/>
        </w:rPr>
      </w:pPr>
      <w:r>
        <w:rPr>
          <w:rFonts w:cs="Arial"/>
          <w:b/>
          <w:bCs/>
          <w:u w:val="single"/>
        </w:rPr>
        <w:fldChar w:fldCharType="end"/>
      </w:r>
    </w:p>
    <w:p w14:paraId="20A9D218" w14:textId="77777777" w:rsidR="00FC4FDF" w:rsidRPr="00311BEA" w:rsidRDefault="00FC4FDF" w:rsidP="00FC4FDF">
      <w:pPr>
        <w:pStyle w:val="ListParagraph"/>
        <w:spacing w:line="360" w:lineRule="auto"/>
        <w:ind w:left="0"/>
        <w:rPr>
          <w:rFonts w:cs="Arial"/>
        </w:rPr>
      </w:pPr>
    </w:p>
    <w:p w14:paraId="2DEDB152" w14:textId="77777777" w:rsidR="00FC4FDF" w:rsidRPr="003F1D15" w:rsidRDefault="00FC4FDF" w:rsidP="00FC4FDF">
      <w:pPr>
        <w:pageBreakBefore/>
        <w:tabs>
          <w:tab w:val="left" w:pos="1920"/>
        </w:tabs>
        <w:spacing w:line="360" w:lineRule="auto"/>
        <w:rPr>
          <w:rFonts w:cs="Arial"/>
          <w:b/>
          <w:noProof/>
          <w:color w:val="000000"/>
          <w:sz w:val="24"/>
          <w:szCs w:val="24"/>
          <w:lang w:val="en-US" w:eastAsia="en-GB"/>
        </w:rPr>
      </w:pPr>
      <w:r w:rsidRPr="003F1D15">
        <w:rPr>
          <w:rFonts w:cs="Arial"/>
          <w:b/>
          <w:noProof/>
          <w:color w:val="000000"/>
          <w:sz w:val="24"/>
          <w:szCs w:val="24"/>
          <w:lang w:val="en-US" w:eastAsia="en-GB"/>
        </w:rPr>
        <w:t>Tables: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5"/>
        <w:gridCol w:w="1500"/>
        <w:gridCol w:w="1501"/>
        <w:gridCol w:w="1625"/>
        <w:gridCol w:w="1625"/>
        <w:gridCol w:w="1486"/>
      </w:tblGrid>
      <w:tr w:rsidR="00FC4FDF" w:rsidRPr="003F1D15" w14:paraId="4622208D" w14:textId="77777777" w:rsidTr="00746799">
        <w:tc>
          <w:tcPr>
            <w:tcW w:w="9242" w:type="dxa"/>
            <w:gridSpan w:val="6"/>
            <w:shd w:val="clear" w:color="auto" w:fill="auto"/>
          </w:tcPr>
          <w:p w14:paraId="12B85F06"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 xml:space="preserve">Table 1: Hemoglobin concentration (g/L) </w:t>
            </w:r>
          </w:p>
        </w:tc>
      </w:tr>
      <w:tr w:rsidR="00FC4FDF" w:rsidRPr="003F1D15" w14:paraId="1CC37F31" w14:textId="77777777" w:rsidTr="00746799">
        <w:trPr>
          <w:trHeight w:val="1187"/>
        </w:trPr>
        <w:tc>
          <w:tcPr>
            <w:tcW w:w="1540" w:type="dxa"/>
            <w:shd w:val="clear" w:color="auto" w:fill="auto"/>
          </w:tcPr>
          <w:p w14:paraId="2647A3FB" w14:textId="77777777" w:rsidR="00FC4FDF" w:rsidRPr="003F1D15" w:rsidRDefault="00FC4FDF" w:rsidP="00746799">
            <w:pPr>
              <w:spacing w:line="360" w:lineRule="auto"/>
              <w:rPr>
                <w:rFonts w:cs="Arial"/>
                <w:color w:val="000000"/>
                <w:sz w:val="24"/>
                <w:szCs w:val="24"/>
                <w:lang w:val="en-US"/>
              </w:rPr>
            </w:pPr>
          </w:p>
        </w:tc>
        <w:tc>
          <w:tcPr>
            <w:tcW w:w="1540" w:type="dxa"/>
            <w:shd w:val="clear" w:color="auto" w:fill="auto"/>
          </w:tcPr>
          <w:p w14:paraId="256A9719"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Iron Sucrose 200</w:t>
            </w:r>
          </w:p>
        </w:tc>
        <w:tc>
          <w:tcPr>
            <w:tcW w:w="1540" w:type="dxa"/>
            <w:shd w:val="clear" w:color="auto" w:fill="auto"/>
          </w:tcPr>
          <w:p w14:paraId="0533556E"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Iron Dextran 200</w:t>
            </w:r>
          </w:p>
        </w:tc>
        <w:tc>
          <w:tcPr>
            <w:tcW w:w="1540" w:type="dxa"/>
            <w:shd w:val="clear" w:color="auto" w:fill="auto"/>
          </w:tcPr>
          <w:p w14:paraId="1D610B0B"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Ferric Derisomaltose 1000</w:t>
            </w:r>
          </w:p>
        </w:tc>
        <w:tc>
          <w:tcPr>
            <w:tcW w:w="1541" w:type="dxa"/>
            <w:shd w:val="clear" w:color="auto" w:fill="auto"/>
          </w:tcPr>
          <w:p w14:paraId="2EF173AC"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Ferric Derisomaltose 200</w:t>
            </w:r>
          </w:p>
        </w:tc>
        <w:tc>
          <w:tcPr>
            <w:tcW w:w="1541" w:type="dxa"/>
            <w:shd w:val="clear" w:color="auto" w:fill="auto"/>
          </w:tcPr>
          <w:p w14:paraId="7FEF5CAE"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Total</w:t>
            </w:r>
          </w:p>
        </w:tc>
      </w:tr>
      <w:tr w:rsidR="00FC4FDF" w:rsidRPr="003F1D15" w14:paraId="581C5055" w14:textId="77777777" w:rsidTr="00746799">
        <w:tc>
          <w:tcPr>
            <w:tcW w:w="1540" w:type="dxa"/>
            <w:shd w:val="clear" w:color="auto" w:fill="auto"/>
          </w:tcPr>
          <w:p w14:paraId="12F33792"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Baseline</w:t>
            </w:r>
          </w:p>
        </w:tc>
        <w:tc>
          <w:tcPr>
            <w:tcW w:w="1540" w:type="dxa"/>
            <w:shd w:val="clear" w:color="auto" w:fill="auto"/>
          </w:tcPr>
          <w:p w14:paraId="17A79B6E"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122.1 (4.6)</w:t>
            </w:r>
          </w:p>
        </w:tc>
        <w:tc>
          <w:tcPr>
            <w:tcW w:w="1540" w:type="dxa"/>
            <w:shd w:val="clear" w:color="auto" w:fill="auto"/>
          </w:tcPr>
          <w:p w14:paraId="14029811"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129.6 (7.5)</w:t>
            </w:r>
          </w:p>
        </w:tc>
        <w:tc>
          <w:tcPr>
            <w:tcW w:w="1540" w:type="dxa"/>
            <w:shd w:val="clear" w:color="auto" w:fill="auto"/>
          </w:tcPr>
          <w:p w14:paraId="42907421"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115.5 (4.5)</w:t>
            </w:r>
          </w:p>
        </w:tc>
        <w:tc>
          <w:tcPr>
            <w:tcW w:w="1541" w:type="dxa"/>
            <w:shd w:val="clear" w:color="auto" w:fill="auto"/>
          </w:tcPr>
          <w:p w14:paraId="3AC3F96B"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123.0 (5.5)</w:t>
            </w:r>
          </w:p>
        </w:tc>
        <w:tc>
          <w:tcPr>
            <w:tcW w:w="1541" w:type="dxa"/>
            <w:shd w:val="clear" w:color="auto" w:fill="auto"/>
            <w:vAlign w:val="bottom"/>
          </w:tcPr>
          <w:p w14:paraId="0B445923"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122.6 (2.8)</w:t>
            </w:r>
          </w:p>
        </w:tc>
      </w:tr>
      <w:tr w:rsidR="00FC4FDF" w:rsidRPr="003F1D15" w14:paraId="05328C0C" w14:textId="77777777" w:rsidTr="00746799">
        <w:tc>
          <w:tcPr>
            <w:tcW w:w="1540" w:type="dxa"/>
            <w:shd w:val="clear" w:color="auto" w:fill="auto"/>
          </w:tcPr>
          <w:p w14:paraId="5142A4B2"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2 hours</w:t>
            </w:r>
          </w:p>
        </w:tc>
        <w:tc>
          <w:tcPr>
            <w:tcW w:w="1540" w:type="dxa"/>
            <w:shd w:val="clear" w:color="auto" w:fill="auto"/>
          </w:tcPr>
          <w:p w14:paraId="04B51603"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125.6 (5.3)</w:t>
            </w:r>
          </w:p>
        </w:tc>
        <w:tc>
          <w:tcPr>
            <w:tcW w:w="1540" w:type="dxa"/>
            <w:shd w:val="clear" w:color="auto" w:fill="auto"/>
          </w:tcPr>
          <w:p w14:paraId="321A204C"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127.0 (7.5)</w:t>
            </w:r>
          </w:p>
        </w:tc>
        <w:tc>
          <w:tcPr>
            <w:tcW w:w="1540" w:type="dxa"/>
            <w:shd w:val="clear" w:color="auto" w:fill="auto"/>
          </w:tcPr>
          <w:p w14:paraId="2F55C7B8"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117.8 (4.7)</w:t>
            </w:r>
          </w:p>
        </w:tc>
        <w:tc>
          <w:tcPr>
            <w:tcW w:w="1541" w:type="dxa"/>
            <w:shd w:val="clear" w:color="auto" w:fill="auto"/>
          </w:tcPr>
          <w:p w14:paraId="08DBBBF5"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125.9 (5.8)</w:t>
            </w:r>
          </w:p>
        </w:tc>
        <w:tc>
          <w:tcPr>
            <w:tcW w:w="1541" w:type="dxa"/>
            <w:shd w:val="clear" w:color="auto" w:fill="auto"/>
            <w:vAlign w:val="bottom"/>
          </w:tcPr>
          <w:p w14:paraId="70C65EDF"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123.7 (2.9)</w:t>
            </w:r>
          </w:p>
        </w:tc>
      </w:tr>
      <w:tr w:rsidR="00FC4FDF" w:rsidRPr="003F1D15" w14:paraId="17E3F37A" w14:textId="77777777" w:rsidTr="00746799">
        <w:tc>
          <w:tcPr>
            <w:tcW w:w="1540" w:type="dxa"/>
            <w:shd w:val="clear" w:color="auto" w:fill="auto"/>
          </w:tcPr>
          <w:p w14:paraId="7F3365B9"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 day</w:t>
            </w:r>
          </w:p>
        </w:tc>
        <w:tc>
          <w:tcPr>
            <w:tcW w:w="1540" w:type="dxa"/>
            <w:shd w:val="clear" w:color="auto" w:fill="auto"/>
          </w:tcPr>
          <w:p w14:paraId="71D26157"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120.1 (4.6)</w:t>
            </w:r>
          </w:p>
        </w:tc>
        <w:tc>
          <w:tcPr>
            <w:tcW w:w="1540" w:type="dxa"/>
            <w:shd w:val="clear" w:color="auto" w:fill="auto"/>
          </w:tcPr>
          <w:p w14:paraId="2EED3F9E"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124.9 (8.1)</w:t>
            </w:r>
          </w:p>
        </w:tc>
        <w:tc>
          <w:tcPr>
            <w:tcW w:w="1540" w:type="dxa"/>
            <w:shd w:val="clear" w:color="auto" w:fill="auto"/>
          </w:tcPr>
          <w:p w14:paraId="5EAE515C"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116.5 (4.5)</w:t>
            </w:r>
          </w:p>
        </w:tc>
        <w:tc>
          <w:tcPr>
            <w:tcW w:w="1541" w:type="dxa"/>
            <w:shd w:val="clear" w:color="auto" w:fill="auto"/>
          </w:tcPr>
          <w:p w14:paraId="607422C4"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122.3 (6.1)</w:t>
            </w:r>
          </w:p>
        </w:tc>
        <w:tc>
          <w:tcPr>
            <w:tcW w:w="1541" w:type="dxa"/>
            <w:shd w:val="clear" w:color="auto" w:fill="auto"/>
            <w:vAlign w:val="bottom"/>
          </w:tcPr>
          <w:p w14:paraId="6266AC11"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120.7 (2.9)</w:t>
            </w:r>
          </w:p>
        </w:tc>
      </w:tr>
      <w:tr w:rsidR="00FC4FDF" w:rsidRPr="003F1D15" w14:paraId="19A836B1" w14:textId="77777777" w:rsidTr="00746799">
        <w:tc>
          <w:tcPr>
            <w:tcW w:w="1540" w:type="dxa"/>
            <w:shd w:val="clear" w:color="auto" w:fill="auto"/>
          </w:tcPr>
          <w:p w14:paraId="1F0046FF"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 week</w:t>
            </w:r>
          </w:p>
        </w:tc>
        <w:tc>
          <w:tcPr>
            <w:tcW w:w="1540" w:type="dxa"/>
            <w:shd w:val="clear" w:color="auto" w:fill="auto"/>
          </w:tcPr>
          <w:p w14:paraId="68B05689"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125.4 (5.3)</w:t>
            </w:r>
          </w:p>
        </w:tc>
        <w:tc>
          <w:tcPr>
            <w:tcW w:w="1540" w:type="dxa"/>
            <w:shd w:val="clear" w:color="auto" w:fill="auto"/>
          </w:tcPr>
          <w:p w14:paraId="4FF4C4EC"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126.4 (7.4)</w:t>
            </w:r>
          </w:p>
        </w:tc>
        <w:tc>
          <w:tcPr>
            <w:tcW w:w="1540" w:type="dxa"/>
            <w:shd w:val="clear" w:color="auto" w:fill="auto"/>
          </w:tcPr>
          <w:p w14:paraId="7C3374F0"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114.8 (5.8)</w:t>
            </w:r>
          </w:p>
        </w:tc>
        <w:tc>
          <w:tcPr>
            <w:tcW w:w="1541" w:type="dxa"/>
            <w:shd w:val="clear" w:color="auto" w:fill="auto"/>
          </w:tcPr>
          <w:p w14:paraId="5D1A07E8"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123.1 (6.2)</w:t>
            </w:r>
          </w:p>
        </w:tc>
        <w:tc>
          <w:tcPr>
            <w:tcW w:w="1541" w:type="dxa"/>
            <w:shd w:val="clear" w:color="auto" w:fill="auto"/>
            <w:vAlign w:val="bottom"/>
          </w:tcPr>
          <w:p w14:paraId="4AAE3EB3"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122.7 (3.1)</w:t>
            </w:r>
          </w:p>
        </w:tc>
      </w:tr>
      <w:tr w:rsidR="00FC4FDF" w:rsidRPr="003F1D15" w14:paraId="4D8E4EB2" w14:textId="77777777" w:rsidTr="00746799">
        <w:tc>
          <w:tcPr>
            <w:tcW w:w="1540" w:type="dxa"/>
            <w:shd w:val="clear" w:color="auto" w:fill="auto"/>
          </w:tcPr>
          <w:p w14:paraId="6546D9B9"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 month</w:t>
            </w:r>
          </w:p>
        </w:tc>
        <w:tc>
          <w:tcPr>
            <w:tcW w:w="1540" w:type="dxa"/>
            <w:shd w:val="clear" w:color="auto" w:fill="auto"/>
          </w:tcPr>
          <w:p w14:paraId="6A1B7B9A"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130.7 (5.9)</w:t>
            </w:r>
          </w:p>
        </w:tc>
        <w:tc>
          <w:tcPr>
            <w:tcW w:w="1540" w:type="dxa"/>
            <w:shd w:val="clear" w:color="auto" w:fill="auto"/>
          </w:tcPr>
          <w:p w14:paraId="3B61A447"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127.8 (6.2)</w:t>
            </w:r>
          </w:p>
        </w:tc>
        <w:tc>
          <w:tcPr>
            <w:tcW w:w="1540" w:type="dxa"/>
            <w:shd w:val="clear" w:color="auto" w:fill="auto"/>
          </w:tcPr>
          <w:p w14:paraId="2BE80FC3"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113.6 (5.5)</w:t>
            </w:r>
          </w:p>
        </w:tc>
        <w:tc>
          <w:tcPr>
            <w:tcW w:w="1541" w:type="dxa"/>
            <w:shd w:val="clear" w:color="auto" w:fill="auto"/>
          </w:tcPr>
          <w:p w14:paraId="00B168C3"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126.0 (5.8)</w:t>
            </w:r>
          </w:p>
        </w:tc>
        <w:tc>
          <w:tcPr>
            <w:tcW w:w="1541" w:type="dxa"/>
            <w:shd w:val="clear" w:color="auto" w:fill="auto"/>
            <w:vAlign w:val="bottom"/>
          </w:tcPr>
          <w:p w14:paraId="310CA7CE"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124.6 (3.0)</w:t>
            </w:r>
          </w:p>
        </w:tc>
      </w:tr>
      <w:tr w:rsidR="00FC4FDF" w:rsidRPr="003F1D15" w14:paraId="45C61897" w14:textId="77777777" w:rsidTr="00746799">
        <w:tc>
          <w:tcPr>
            <w:tcW w:w="1540" w:type="dxa"/>
            <w:shd w:val="clear" w:color="auto" w:fill="auto"/>
          </w:tcPr>
          <w:p w14:paraId="676DE53B"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3 months</w:t>
            </w:r>
          </w:p>
        </w:tc>
        <w:tc>
          <w:tcPr>
            <w:tcW w:w="1540" w:type="dxa"/>
            <w:shd w:val="clear" w:color="auto" w:fill="auto"/>
          </w:tcPr>
          <w:p w14:paraId="7DFFF36E"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129.0 (7.3)</w:t>
            </w:r>
          </w:p>
        </w:tc>
        <w:tc>
          <w:tcPr>
            <w:tcW w:w="1540" w:type="dxa"/>
            <w:shd w:val="clear" w:color="auto" w:fill="auto"/>
          </w:tcPr>
          <w:p w14:paraId="5F2AAB7C"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130.9 (7.4)</w:t>
            </w:r>
          </w:p>
        </w:tc>
        <w:tc>
          <w:tcPr>
            <w:tcW w:w="1540" w:type="dxa"/>
            <w:shd w:val="clear" w:color="auto" w:fill="auto"/>
          </w:tcPr>
          <w:p w14:paraId="03019CE0"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120.0 (8.8)</w:t>
            </w:r>
          </w:p>
        </w:tc>
        <w:tc>
          <w:tcPr>
            <w:tcW w:w="1541" w:type="dxa"/>
            <w:shd w:val="clear" w:color="auto" w:fill="auto"/>
          </w:tcPr>
          <w:p w14:paraId="6FEBF545"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126.0 (6.1)</w:t>
            </w:r>
          </w:p>
        </w:tc>
        <w:tc>
          <w:tcPr>
            <w:tcW w:w="1541" w:type="dxa"/>
            <w:shd w:val="clear" w:color="auto" w:fill="auto"/>
            <w:vAlign w:val="bottom"/>
          </w:tcPr>
          <w:p w14:paraId="4A2D453D"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127.2 (3.6)</w:t>
            </w:r>
          </w:p>
        </w:tc>
      </w:tr>
      <w:tr w:rsidR="00FC4FDF" w:rsidRPr="003F1D15" w14:paraId="2B9E45E1" w14:textId="77777777" w:rsidTr="00746799">
        <w:tc>
          <w:tcPr>
            <w:tcW w:w="9242" w:type="dxa"/>
            <w:gridSpan w:val="6"/>
            <w:shd w:val="clear" w:color="auto" w:fill="auto"/>
          </w:tcPr>
          <w:p w14:paraId="5BAA341E" w14:textId="77777777" w:rsidR="00FC4FDF" w:rsidRPr="003F1D15" w:rsidRDefault="00FC4FDF" w:rsidP="00746799">
            <w:pPr>
              <w:spacing w:line="360" w:lineRule="auto"/>
              <w:rPr>
                <w:rFonts w:cs="Arial"/>
                <w:color w:val="000000"/>
                <w:sz w:val="24"/>
                <w:szCs w:val="24"/>
                <w:lang w:val="en-US"/>
              </w:rPr>
            </w:pPr>
            <w:r w:rsidRPr="003F1D15">
              <w:rPr>
                <w:rFonts w:cs="Arial"/>
                <w:color w:val="000000"/>
                <w:sz w:val="24"/>
                <w:szCs w:val="24"/>
                <w:lang w:val="en-US"/>
              </w:rPr>
              <w:t>Analysis of hemoglobin concentration. Data presented as mean and SEM. Samples obtained on baseline, 2 hours post infusion, 1 day, 1 week, 1 month and 3 months.</w:t>
            </w:r>
          </w:p>
        </w:tc>
      </w:tr>
    </w:tbl>
    <w:p w14:paraId="71EBA08D" w14:textId="77777777" w:rsidR="00FC4FDF" w:rsidRPr="003F1D15" w:rsidRDefault="00FC4FDF" w:rsidP="00FC4FDF">
      <w:pPr>
        <w:spacing w:line="360" w:lineRule="auto"/>
        <w:rPr>
          <w:rFonts w:cs="Arial"/>
          <w:color w:val="000000"/>
          <w:sz w:val="24"/>
          <w:szCs w:val="24"/>
          <w:lang w:val="en-US"/>
        </w:rPr>
      </w:pPr>
    </w:p>
    <w:p w14:paraId="777B3CED" w14:textId="77777777" w:rsidR="00FC4FDF" w:rsidRPr="003F1D15" w:rsidRDefault="00FC4FDF" w:rsidP="00FC4FDF">
      <w:pPr>
        <w:pageBreakBefore/>
        <w:spacing w:line="360" w:lineRule="auto"/>
        <w:rPr>
          <w:rFonts w:cs="Arial"/>
          <w:b/>
          <w:color w:val="000000"/>
          <w:sz w:val="24"/>
          <w:szCs w:val="24"/>
          <w:lang w:val="en-US"/>
        </w:rPr>
      </w:pPr>
      <w:r w:rsidRPr="003F1D15">
        <w:rPr>
          <w:rFonts w:cs="Arial"/>
          <w:b/>
          <w:color w:val="000000"/>
          <w:sz w:val="24"/>
          <w:szCs w:val="24"/>
          <w:lang w:val="en-US"/>
        </w:rPr>
        <w:t>Legends to Figures:</w:t>
      </w:r>
    </w:p>
    <w:p w14:paraId="4DDD4C1A" w14:textId="77777777" w:rsidR="00FC4FDF" w:rsidRPr="003F1D15" w:rsidRDefault="00FC4FDF" w:rsidP="00FC4FDF">
      <w:pPr>
        <w:spacing w:line="360" w:lineRule="auto"/>
        <w:rPr>
          <w:rFonts w:cs="Arial"/>
          <w:color w:val="000000"/>
          <w:sz w:val="24"/>
          <w:szCs w:val="24"/>
          <w:lang w:val="en-US"/>
        </w:rPr>
      </w:pPr>
      <w:r w:rsidRPr="003F1D15">
        <w:rPr>
          <w:rFonts w:cs="Arial"/>
          <w:color w:val="000000"/>
          <w:sz w:val="24"/>
          <w:szCs w:val="24"/>
          <w:lang w:val="en-US"/>
        </w:rPr>
        <w:t xml:space="preserve">Figure 1:  Title: Consort diagram. Legend: Diagram indicating the flow of patients from point of identification to enrolment in the trial. The diagram also displays the patients who were included in the statistical analysis. </w:t>
      </w:r>
    </w:p>
    <w:p w14:paraId="3DBD72F6" w14:textId="77777777" w:rsidR="00FC4FDF" w:rsidRPr="003F1D15" w:rsidRDefault="00FC4FDF" w:rsidP="00FC4FDF">
      <w:pPr>
        <w:spacing w:line="360" w:lineRule="auto"/>
        <w:rPr>
          <w:rFonts w:cs="Arial"/>
          <w:noProof/>
          <w:color w:val="000000"/>
          <w:sz w:val="24"/>
          <w:szCs w:val="24"/>
          <w:lang w:val="en-US"/>
        </w:rPr>
      </w:pPr>
      <w:r w:rsidRPr="003F1D15">
        <w:rPr>
          <w:rFonts w:cs="Arial"/>
          <w:noProof/>
          <w:color w:val="000000"/>
          <w:sz w:val="24"/>
          <w:szCs w:val="24"/>
          <w:lang w:val="en-US"/>
        </w:rPr>
        <w:t xml:space="preserve">Figure 2: Title: Comparative effect on </w:t>
      </w:r>
      <w:r w:rsidRPr="003F1D15">
        <w:rPr>
          <w:rFonts w:cs="Arial"/>
          <w:color w:val="000000"/>
          <w:sz w:val="24"/>
          <w:szCs w:val="24"/>
          <w:lang w:val="en-US"/>
        </w:rPr>
        <w:t xml:space="preserve">oxidative stress </w:t>
      </w:r>
      <w:r w:rsidRPr="003F1D15">
        <w:rPr>
          <w:rFonts w:cs="Arial"/>
          <w:noProof/>
          <w:color w:val="000000"/>
          <w:sz w:val="24"/>
          <w:szCs w:val="24"/>
          <w:lang w:val="en-US"/>
        </w:rPr>
        <w:t>(TBARS): Legend: TBARS measurements plotted as means with error bars representing SEM for all individual groups and for a total combined group. 2h: 2hours post infusion, 1d: 1 day post infusion, 1w: 1 week post infusion, 1m: 1 month post infusion, 3m: 3 months post infusion, FDI: ferric derisomaltose, IS: iron sucrose, ID: iron dextran.</w:t>
      </w:r>
    </w:p>
    <w:p w14:paraId="27F02854" w14:textId="77777777" w:rsidR="00FC4FDF" w:rsidRPr="003F1D15" w:rsidRDefault="00FC4FDF" w:rsidP="00FC4FDF">
      <w:pPr>
        <w:spacing w:line="360" w:lineRule="auto"/>
        <w:rPr>
          <w:rFonts w:cs="Arial"/>
          <w:noProof/>
          <w:color w:val="000000"/>
          <w:sz w:val="24"/>
          <w:szCs w:val="24"/>
          <w:lang w:val="en-US"/>
        </w:rPr>
      </w:pPr>
      <w:r w:rsidRPr="003F1D15">
        <w:rPr>
          <w:rFonts w:cs="Arial"/>
          <w:noProof/>
          <w:color w:val="000000"/>
          <w:sz w:val="24"/>
          <w:szCs w:val="24"/>
          <w:lang w:val="en-US" w:eastAsia="en-GB"/>
        </w:rPr>
        <w:t xml:space="preserve">Figure 3: Title:Comparative effect on labile plasma iron. Legend: Labile plasma iron measurements plotted as mean values for all groups individually and for a total combined group. Mean values plotted and error bars represent SEM. 2h: 2hours post infusion, 1d: 1 day post infusion, 1w: 1 week post infusion, 1m: 1 month post infusion, 3m: 3 months post infusion, </w:t>
      </w:r>
      <w:r w:rsidRPr="003F1D15">
        <w:rPr>
          <w:rFonts w:cs="Arial"/>
          <w:noProof/>
          <w:color w:val="000000"/>
          <w:sz w:val="24"/>
          <w:szCs w:val="24"/>
          <w:lang w:val="en-US"/>
        </w:rPr>
        <w:t>FDI: ferric derisomaltose, IS: iron sucrose, ID: iron dextran.</w:t>
      </w:r>
    </w:p>
    <w:p w14:paraId="4347D3A4" w14:textId="77777777" w:rsidR="00FC4FDF" w:rsidRPr="003F1D15" w:rsidRDefault="00FC4FDF" w:rsidP="00FC4FDF">
      <w:pPr>
        <w:spacing w:line="360" w:lineRule="auto"/>
        <w:rPr>
          <w:rFonts w:cs="Arial"/>
          <w:noProof/>
          <w:color w:val="000000"/>
          <w:sz w:val="24"/>
          <w:szCs w:val="24"/>
          <w:lang w:val="en-US"/>
        </w:rPr>
      </w:pPr>
      <w:r w:rsidRPr="003F1D15">
        <w:rPr>
          <w:rFonts w:cs="Arial"/>
          <w:noProof/>
          <w:color w:val="000000"/>
          <w:sz w:val="24"/>
          <w:szCs w:val="24"/>
          <w:lang w:val="en-US" w:eastAsia="en-GB"/>
        </w:rPr>
        <w:t xml:space="preserve">Figure 4:Title: Comparative effect on CRP. Legend: CRP measurements plotted as means with error bars representing SEM </w:t>
      </w:r>
      <w:r w:rsidRPr="003F1D15">
        <w:rPr>
          <w:rFonts w:cs="Arial"/>
          <w:noProof/>
          <w:color w:val="000000"/>
          <w:sz w:val="24"/>
          <w:szCs w:val="24"/>
          <w:lang w:val="en-US"/>
        </w:rPr>
        <w:t>for all individual groups and for a total combined group</w:t>
      </w:r>
      <w:r w:rsidRPr="003F1D15">
        <w:rPr>
          <w:rFonts w:cs="Arial"/>
          <w:noProof/>
          <w:color w:val="000000"/>
          <w:sz w:val="24"/>
          <w:szCs w:val="24"/>
          <w:lang w:val="en-US" w:eastAsia="en-GB"/>
        </w:rPr>
        <w:t xml:space="preserve">. </w:t>
      </w:r>
      <w:r w:rsidRPr="003F1D15">
        <w:rPr>
          <w:rFonts w:cs="Arial"/>
          <w:noProof/>
          <w:color w:val="000000"/>
          <w:sz w:val="24"/>
          <w:szCs w:val="24"/>
          <w:lang w:val="en-US"/>
        </w:rPr>
        <w:t>2h: 2hours post infusion, 1d: 1 day post infusion, 1w: 1 week post infusion, 1m: 1 month post infusion, 3m: 3 months post infusion, FDI: ferric derisomaltose, IS: iron sucrose, ID: iron dextran.</w:t>
      </w:r>
    </w:p>
    <w:p w14:paraId="358F0C1A" w14:textId="77777777" w:rsidR="00FC4FDF" w:rsidRPr="003F1D15" w:rsidRDefault="00FC4FDF" w:rsidP="00FC4FDF">
      <w:pPr>
        <w:spacing w:line="360" w:lineRule="auto"/>
        <w:rPr>
          <w:rFonts w:cs="Arial"/>
          <w:noProof/>
          <w:color w:val="000000"/>
          <w:sz w:val="24"/>
          <w:szCs w:val="24"/>
          <w:lang w:val="en-US"/>
        </w:rPr>
      </w:pPr>
      <w:r w:rsidRPr="003F1D15">
        <w:rPr>
          <w:rFonts w:cs="Arial"/>
          <w:noProof/>
          <w:color w:val="000000"/>
          <w:sz w:val="24"/>
          <w:szCs w:val="24"/>
          <w:lang w:val="en-US"/>
        </w:rPr>
        <w:t>Figure 5: Title: Comparative effect on transferrin saturation. Legend: TSAT measurements plotted as mean percentage for all individual groups and for a total combined group. Mean values plotted and error bars represent SEM.  2h: 2hours post infusion, 1d: 1 day post infusion, 1w: 1 week post infusion, 1m: 1 month post infusion, 3m: 3 months post infusion, FDI: ferric derisomaltose, IS: iron sucrose, ID: iron dextran.</w:t>
      </w:r>
    </w:p>
    <w:p w14:paraId="4BD00CE6" w14:textId="77777777" w:rsidR="00FC4FDF" w:rsidRPr="006A47B6" w:rsidRDefault="00FC4FDF" w:rsidP="00FC4FDF">
      <w:pPr>
        <w:spacing w:line="360" w:lineRule="auto"/>
        <w:rPr>
          <w:rFonts w:ascii="Arial" w:hAnsi="Arial" w:cs="Arial"/>
          <w:sz w:val="24"/>
          <w:szCs w:val="24"/>
        </w:rPr>
      </w:pPr>
      <w:r w:rsidRPr="003F1D15">
        <w:rPr>
          <w:rFonts w:cs="Arial"/>
          <w:noProof/>
          <w:color w:val="000000"/>
          <w:sz w:val="24"/>
          <w:szCs w:val="24"/>
          <w:lang w:val="en-US" w:eastAsia="en-GB"/>
        </w:rPr>
        <w:t xml:space="preserve">Figure 6: Title: Comparative effect on serum ferritin. Legend: Serum ferritin measurements plotted as means with error bars representing SEM </w:t>
      </w:r>
      <w:r w:rsidRPr="003F1D15">
        <w:rPr>
          <w:rFonts w:cs="Arial"/>
          <w:noProof/>
          <w:color w:val="000000"/>
          <w:sz w:val="24"/>
          <w:szCs w:val="24"/>
          <w:lang w:val="en-US"/>
        </w:rPr>
        <w:t>for all individual groups and for a total combined group</w:t>
      </w:r>
      <w:r w:rsidRPr="003F1D15">
        <w:rPr>
          <w:rFonts w:cs="Arial"/>
          <w:noProof/>
          <w:color w:val="000000"/>
          <w:sz w:val="24"/>
          <w:szCs w:val="24"/>
          <w:lang w:val="en-US" w:eastAsia="en-GB"/>
        </w:rPr>
        <w:t xml:space="preserve">. </w:t>
      </w:r>
      <w:r w:rsidRPr="003F1D15">
        <w:rPr>
          <w:rFonts w:cs="Arial"/>
          <w:noProof/>
          <w:color w:val="000000"/>
          <w:sz w:val="24"/>
          <w:szCs w:val="24"/>
          <w:lang w:val="en-US"/>
        </w:rPr>
        <w:t>2h: 2hours post infusion, 1d: 1 day post infusion, 1w: 1 week post infusion, 1m: 1 month post infusion, 3m: 3 months post infusion, FDI: ferric derisomaltose, IS: iron sucrose, ID: iron dextra</w:t>
      </w:r>
      <w:r>
        <w:rPr>
          <w:rFonts w:cs="Arial"/>
          <w:noProof/>
          <w:color w:val="000000"/>
          <w:sz w:val="24"/>
          <w:szCs w:val="24"/>
          <w:lang w:val="en-US"/>
        </w:rPr>
        <w:t>n</w:t>
      </w:r>
    </w:p>
    <w:p w14:paraId="078BAA07" w14:textId="77777777" w:rsidR="00BE0875" w:rsidRDefault="00BE0875"/>
    <w:sectPr w:rsidR="00BE0875" w:rsidSect="00746799">
      <w:footerReference w:type="even" r:id="rId10"/>
      <w:footerReference w:type="default" r:id="rId1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ADE4B8" w14:textId="77777777" w:rsidR="00D00099" w:rsidRDefault="00D00099">
      <w:pPr>
        <w:spacing w:after="0" w:line="240" w:lineRule="auto"/>
      </w:pPr>
      <w:r>
        <w:separator/>
      </w:r>
    </w:p>
  </w:endnote>
  <w:endnote w:type="continuationSeparator" w:id="0">
    <w:p w14:paraId="40A62C27" w14:textId="77777777" w:rsidR="00D00099" w:rsidRDefault="00D00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10002FF" w:usb1="4000ACFF" w:usb2="00000009" w:usb3="00000000" w:csb0="0000019F" w:csb1="00000000"/>
  </w:font>
  <w:font w:name="Palatino Linotype">
    <w:panose1 w:val="02040502050505030304"/>
    <w:charset w:val="00"/>
    <w:family w:val="auto"/>
    <w:pitch w:val="variable"/>
    <w:sig w:usb0="E0000287" w:usb1="40000013" w:usb2="00000000" w:usb3="00000000" w:csb0="0000019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Lucida Sans Unicode">
    <w:panose1 w:val="020B0602030504020204"/>
    <w:charset w:val="00"/>
    <w:family w:val="auto"/>
    <w:pitch w:val="variable"/>
    <w:sig w:usb0="00000003" w:usb1="00000000" w:usb2="00000000" w:usb3="00000000" w:csb0="00000001" w:csb1="00000000"/>
  </w:font>
  <w:font w:name="Monaco">
    <w:panose1 w:val="02000500000000000000"/>
    <w:charset w:val="00"/>
    <w:family w:val="auto"/>
    <w:pitch w:val="variable"/>
    <w:sig w:usb0="A00002FF" w:usb1="500039FB" w:usb2="00000000" w:usb3="00000000" w:csb0="00000197"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BA0598" w14:textId="77777777" w:rsidR="00D00099" w:rsidRDefault="00D00099" w:rsidP="007467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4D75A2FC" w14:textId="77777777" w:rsidR="00D00099" w:rsidRDefault="00D00099" w:rsidP="0074679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0D4842" w14:textId="77777777" w:rsidR="00D00099" w:rsidRDefault="00D00099" w:rsidP="007467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80D0D">
      <w:rPr>
        <w:rStyle w:val="PageNumber"/>
        <w:noProof/>
      </w:rPr>
      <w:t>1</w:t>
    </w:r>
    <w:r>
      <w:rPr>
        <w:rStyle w:val="PageNumber"/>
      </w:rPr>
      <w:fldChar w:fldCharType="end"/>
    </w:r>
  </w:p>
  <w:p w14:paraId="3A99C24D" w14:textId="77777777" w:rsidR="00D00099" w:rsidRDefault="00D00099" w:rsidP="0074679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067330" w14:textId="77777777" w:rsidR="00D00099" w:rsidRDefault="00D00099">
      <w:pPr>
        <w:spacing w:after="0" w:line="240" w:lineRule="auto"/>
      </w:pPr>
      <w:r>
        <w:separator/>
      </w:r>
    </w:p>
  </w:footnote>
  <w:footnote w:type="continuationSeparator" w:id="0">
    <w:p w14:paraId="2D336D73" w14:textId="77777777" w:rsidR="00D00099" w:rsidRDefault="00D0009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C26C1"/>
    <w:multiLevelType w:val="hybridMultilevel"/>
    <w:tmpl w:val="D39236E6"/>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
    <w:nsid w:val="1FFE06B9"/>
    <w:multiLevelType w:val="hybridMultilevel"/>
    <w:tmpl w:val="2A22BBFC"/>
    <w:numStyleLink w:val="ImportedStyle1"/>
  </w:abstractNum>
  <w:abstractNum w:abstractNumId="2">
    <w:nsid w:val="205809C7"/>
    <w:multiLevelType w:val="hybridMultilevel"/>
    <w:tmpl w:val="8DC41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9E51A41"/>
    <w:multiLevelType w:val="hybridMultilevel"/>
    <w:tmpl w:val="FBA81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CDF569E"/>
    <w:multiLevelType w:val="hybridMultilevel"/>
    <w:tmpl w:val="6DC24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71C72BD"/>
    <w:multiLevelType w:val="hybridMultilevel"/>
    <w:tmpl w:val="2A22BBFC"/>
    <w:styleLink w:val="ImportedStyle1"/>
    <w:lvl w:ilvl="0" w:tplc="692C511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A2ABA0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0840AD8">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52E45CF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F6AC11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7768F82">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E0CEE57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796F92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30E1BD0">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nsid w:val="79520DDC"/>
    <w:multiLevelType w:val="hybridMultilevel"/>
    <w:tmpl w:val="629ECB22"/>
    <w:lvl w:ilvl="0" w:tplc="A4665E20">
      <w:start w:val="1"/>
      <w:numFmt w:val="lowerLetter"/>
      <w:lvlText w:val="%1)"/>
      <w:lvlJc w:val="left"/>
      <w:pPr>
        <w:ind w:left="408" w:hanging="360"/>
      </w:pPr>
      <w:rPr>
        <w:rFonts w:hint="default"/>
      </w:rPr>
    </w:lvl>
    <w:lvl w:ilvl="1" w:tplc="04060019" w:tentative="1">
      <w:start w:val="1"/>
      <w:numFmt w:val="lowerLetter"/>
      <w:lvlText w:val="%2."/>
      <w:lvlJc w:val="left"/>
      <w:pPr>
        <w:ind w:left="1128" w:hanging="360"/>
      </w:pPr>
    </w:lvl>
    <w:lvl w:ilvl="2" w:tplc="0406001B" w:tentative="1">
      <w:start w:val="1"/>
      <w:numFmt w:val="lowerRoman"/>
      <w:lvlText w:val="%3."/>
      <w:lvlJc w:val="right"/>
      <w:pPr>
        <w:ind w:left="1848" w:hanging="180"/>
      </w:pPr>
    </w:lvl>
    <w:lvl w:ilvl="3" w:tplc="0406000F" w:tentative="1">
      <w:start w:val="1"/>
      <w:numFmt w:val="decimal"/>
      <w:lvlText w:val="%4."/>
      <w:lvlJc w:val="left"/>
      <w:pPr>
        <w:ind w:left="2568" w:hanging="360"/>
      </w:pPr>
    </w:lvl>
    <w:lvl w:ilvl="4" w:tplc="04060019" w:tentative="1">
      <w:start w:val="1"/>
      <w:numFmt w:val="lowerLetter"/>
      <w:lvlText w:val="%5."/>
      <w:lvlJc w:val="left"/>
      <w:pPr>
        <w:ind w:left="3288" w:hanging="360"/>
      </w:pPr>
    </w:lvl>
    <w:lvl w:ilvl="5" w:tplc="0406001B" w:tentative="1">
      <w:start w:val="1"/>
      <w:numFmt w:val="lowerRoman"/>
      <w:lvlText w:val="%6."/>
      <w:lvlJc w:val="right"/>
      <w:pPr>
        <w:ind w:left="4008" w:hanging="180"/>
      </w:pPr>
    </w:lvl>
    <w:lvl w:ilvl="6" w:tplc="0406000F" w:tentative="1">
      <w:start w:val="1"/>
      <w:numFmt w:val="decimal"/>
      <w:lvlText w:val="%7."/>
      <w:lvlJc w:val="left"/>
      <w:pPr>
        <w:ind w:left="4728" w:hanging="360"/>
      </w:pPr>
    </w:lvl>
    <w:lvl w:ilvl="7" w:tplc="04060019" w:tentative="1">
      <w:start w:val="1"/>
      <w:numFmt w:val="lowerLetter"/>
      <w:lvlText w:val="%8."/>
      <w:lvlJc w:val="left"/>
      <w:pPr>
        <w:ind w:left="5448" w:hanging="360"/>
      </w:pPr>
    </w:lvl>
    <w:lvl w:ilvl="8" w:tplc="0406001B" w:tentative="1">
      <w:start w:val="1"/>
      <w:numFmt w:val="lowerRoman"/>
      <w:lvlText w:val="%9."/>
      <w:lvlJc w:val="right"/>
      <w:pPr>
        <w:ind w:left="6168" w:hanging="180"/>
      </w:pPr>
    </w:lvl>
  </w:abstractNum>
  <w:num w:numId="1">
    <w:abstractNumId w:val="5"/>
  </w:num>
  <w:num w:numId="2">
    <w:abstractNumId w:val="1"/>
  </w:num>
  <w:num w:numId="3">
    <w:abstractNumId w:val="6"/>
  </w:num>
  <w:num w:numId="4">
    <w:abstractNumId w:val="3"/>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FDF"/>
    <w:rsid w:val="00010D60"/>
    <w:rsid w:val="000B501D"/>
    <w:rsid w:val="000D29AC"/>
    <w:rsid w:val="001060B4"/>
    <w:rsid w:val="00350CB3"/>
    <w:rsid w:val="003A4FC8"/>
    <w:rsid w:val="00437D55"/>
    <w:rsid w:val="004A4E48"/>
    <w:rsid w:val="00614D05"/>
    <w:rsid w:val="00626D27"/>
    <w:rsid w:val="006B3319"/>
    <w:rsid w:val="00746799"/>
    <w:rsid w:val="007C67B1"/>
    <w:rsid w:val="008B2E1B"/>
    <w:rsid w:val="008D1E72"/>
    <w:rsid w:val="009911D2"/>
    <w:rsid w:val="00997B43"/>
    <w:rsid w:val="00A241D4"/>
    <w:rsid w:val="00AF3947"/>
    <w:rsid w:val="00B046B3"/>
    <w:rsid w:val="00B337AF"/>
    <w:rsid w:val="00B80D0D"/>
    <w:rsid w:val="00BE0875"/>
    <w:rsid w:val="00BF4C2A"/>
    <w:rsid w:val="00C917E1"/>
    <w:rsid w:val="00D00099"/>
    <w:rsid w:val="00DF7604"/>
    <w:rsid w:val="00E62B44"/>
    <w:rsid w:val="00E63806"/>
    <w:rsid w:val="00FC4FDF"/>
    <w:rsid w:val="00FC59F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8414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4FDF"/>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FC4FDF"/>
    <w:pPr>
      <w:pBdr>
        <w:top w:val="nil"/>
        <w:left w:val="nil"/>
        <w:bottom w:val="nil"/>
        <w:right w:val="nil"/>
        <w:between w:val="nil"/>
        <w:bar w:val="nil"/>
      </w:pBdr>
    </w:pPr>
    <w:rPr>
      <w:rFonts w:ascii="Calibri" w:eastAsia="Calibri" w:hAnsi="Calibri" w:cs="Calibri"/>
      <w:color w:val="000000"/>
      <w:u w:color="000000"/>
      <w:bdr w:val="nil"/>
      <w:lang w:val="en-US" w:eastAsia="en-GB"/>
    </w:rPr>
  </w:style>
  <w:style w:type="paragraph" w:styleId="ListParagraph">
    <w:name w:val="List Paragraph"/>
    <w:rsid w:val="00FC4FDF"/>
    <w:pPr>
      <w:pBdr>
        <w:top w:val="nil"/>
        <w:left w:val="nil"/>
        <w:bottom w:val="nil"/>
        <w:right w:val="nil"/>
        <w:between w:val="nil"/>
        <w:bar w:val="nil"/>
      </w:pBdr>
      <w:ind w:left="720"/>
    </w:pPr>
    <w:rPr>
      <w:rFonts w:ascii="Calibri" w:eastAsia="Calibri" w:hAnsi="Calibri" w:cs="Calibri"/>
      <w:color w:val="000000"/>
      <w:u w:color="000000"/>
      <w:bdr w:val="nil"/>
      <w:lang w:val="en-US" w:eastAsia="en-GB"/>
    </w:rPr>
  </w:style>
  <w:style w:type="numbering" w:customStyle="1" w:styleId="ImportedStyle1">
    <w:name w:val="Imported Style 1"/>
    <w:rsid w:val="00FC4FDF"/>
    <w:pPr>
      <w:numPr>
        <w:numId w:val="1"/>
      </w:numPr>
    </w:pPr>
  </w:style>
  <w:style w:type="paragraph" w:customStyle="1" w:styleId="MDPI71References">
    <w:name w:val="MDPI_7.1_References"/>
    <w:rsid w:val="00FC4FDF"/>
    <w:pPr>
      <w:pBdr>
        <w:top w:val="nil"/>
        <w:left w:val="nil"/>
        <w:bottom w:val="nil"/>
        <w:right w:val="nil"/>
        <w:between w:val="nil"/>
        <w:bar w:val="nil"/>
      </w:pBdr>
      <w:spacing w:line="260" w:lineRule="atLeast"/>
      <w:jc w:val="both"/>
    </w:pPr>
    <w:rPr>
      <w:rFonts w:ascii="Palatino Linotype" w:eastAsia="Palatino Linotype" w:hAnsi="Palatino Linotype" w:cs="Palatino Linotype"/>
      <w:color w:val="000000"/>
      <w:sz w:val="18"/>
      <w:szCs w:val="18"/>
      <w:u w:color="000000"/>
      <w:bdr w:val="nil"/>
      <w:lang w:val="en-US" w:eastAsia="en-GB"/>
    </w:rPr>
  </w:style>
  <w:style w:type="character" w:styleId="CommentReference">
    <w:name w:val="annotation reference"/>
    <w:uiPriority w:val="99"/>
    <w:semiHidden/>
    <w:unhideWhenUsed/>
    <w:rsid w:val="00FC4FDF"/>
    <w:rPr>
      <w:sz w:val="16"/>
      <w:szCs w:val="16"/>
    </w:rPr>
  </w:style>
  <w:style w:type="paragraph" w:styleId="CommentText">
    <w:name w:val="annotation text"/>
    <w:basedOn w:val="Normal"/>
    <w:link w:val="CommentTextChar"/>
    <w:uiPriority w:val="99"/>
    <w:unhideWhenUsed/>
    <w:rsid w:val="00FC4FDF"/>
    <w:rPr>
      <w:sz w:val="20"/>
      <w:szCs w:val="20"/>
    </w:rPr>
  </w:style>
  <w:style w:type="character" w:customStyle="1" w:styleId="CommentTextChar">
    <w:name w:val="Comment Text Char"/>
    <w:basedOn w:val="DefaultParagraphFont"/>
    <w:link w:val="CommentText"/>
    <w:uiPriority w:val="99"/>
    <w:rsid w:val="00FC4FDF"/>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FC4F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FDF"/>
    <w:rPr>
      <w:rFonts w:ascii="Tahoma" w:eastAsia="Calibri" w:hAnsi="Tahoma" w:cs="Tahoma"/>
      <w:sz w:val="16"/>
      <w:szCs w:val="16"/>
    </w:rPr>
  </w:style>
  <w:style w:type="paragraph" w:styleId="Revision">
    <w:name w:val="Revision"/>
    <w:hidden/>
    <w:uiPriority w:val="99"/>
    <w:semiHidden/>
    <w:rsid w:val="00FC4FDF"/>
    <w:rPr>
      <w:rFonts w:ascii="Calibri" w:eastAsia="Calibri" w:hAnsi="Calibri" w:cs="Times New Roman"/>
      <w:sz w:val="22"/>
      <w:szCs w:val="22"/>
    </w:rPr>
  </w:style>
  <w:style w:type="paragraph" w:styleId="Header">
    <w:name w:val="header"/>
    <w:basedOn w:val="Normal"/>
    <w:link w:val="HeaderChar"/>
    <w:uiPriority w:val="99"/>
    <w:unhideWhenUsed/>
    <w:rsid w:val="00FC4FDF"/>
    <w:pPr>
      <w:tabs>
        <w:tab w:val="center" w:pos="4513"/>
        <w:tab w:val="right" w:pos="9026"/>
      </w:tabs>
    </w:pPr>
  </w:style>
  <w:style w:type="character" w:customStyle="1" w:styleId="HeaderChar">
    <w:name w:val="Header Char"/>
    <w:basedOn w:val="DefaultParagraphFont"/>
    <w:link w:val="Header"/>
    <w:uiPriority w:val="99"/>
    <w:rsid w:val="00FC4FDF"/>
    <w:rPr>
      <w:rFonts w:ascii="Calibri" w:eastAsia="Calibri" w:hAnsi="Calibri" w:cs="Times New Roman"/>
      <w:sz w:val="22"/>
      <w:szCs w:val="22"/>
    </w:rPr>
  </w:style>
  <w:style w:type="paragraph" w:styleId="Footer">
    <w:name w:val="footer"/>
    <w:basedOn w:val="Normal"/>
    <w:link w:val="FooterChar"/>
    <w:uiPriority w:val="99"/>
    <w:unhideWhenUsed/>
    <w:rsid w:val="00FC4FDF"/>
    <w:pPr>
      <w:tabs>
        <w:tab w:val="center" w:pos="4513"/>
        <w:tab w:val="right" w:pos="9026"/>
      </w:tabs>
    </w:pPr>
  </w:style>
  <w:style w:type="character" w:customStyle="1" w:styleId="FooterChar">
    <w:name w:val="Footer Char"/>
    <w:basedOn w:val="DefaultParagraphFont"/>
    <w:link w:val="Footer"/>
    <w:uiPriority w:val="99"/>
    <w:rsid w:val="00FC4FDF"/>
    <w:rPr>
      <w:rFonts w:ascii="Calibri" w:eastAsia="Calibri" w:hAnsi="Calibri" w:cs="Times New Roman"/>
      <w:sz w:val="22"/>
      <w:szCs w:val="22"/>
    </w:rPr>
  </w:style>
  <w:style w:type="paragraph" w:styleId="CommentSubject">
    <w:name w:val="annotation subject"/>
    <w:basedOn w:val="CommentText"/>
    <w:next w:val="CommentText"/>
    <w:link w:val="CommentSubjectChar"/>
    <w:uiPriority w:val="99"/>
    <w:semiHidden/>
    <w:unhideWhenUsed/>
    <w:rsid w:val="00FC4FDF"/>
    <w:rPr>
      <w:b/>
      <w:bCs/>
    </w:rPr>
  </w:style>
  <w:style w:type="character" w:customStyle="1" w:styleId="CommentSubjectChar">
    <w:name w:val="Comment Subject Char"/>
    <w:basedOn w:val="CommentTextChar"/>
    <w:link w:val="CommentSubject"/>
    <w:uiPriority w:val="99"/>
    <w:semiHidden/>
    <w:rsid w:val="00FC4FDF"/>
    <w:rPr>
      <w:rFonts w:ascii="Calibri" w:eastAsia="Calibri" w:hAnsi="Calibri" w:cs="Times New Roman"/>
      <w:b/>
      <w:bCs/>
      <w:sz w:val="20"/>
      <w:szCs w:val="20"/>
    </w:rPr>
  </w:style>
  <w:style w:type="character" w:styleId="PageNumber">
    <w:name w:val="page number"/>
    <w:uiPriority w:val="99"/>
    <w:semiHidden/>
    <w:unhideWhenUsed/>
    <w:rsid w:val="00FC4FDF"/>
  </w:style>
  <w:style w:type="character" w:styleId="LineNumber">
    <w:name w:val="line number"/>
    <w:uiPriority w:val="99"/>
    <w:semiHidden/>
    <w:unhideWhenUsed/>
    <w:rsid w:val="00FC4FDF"/>
  </w:style>
  <w:style w:type="paragraph" w:styleId="Title">
    <w:name w:val="Title"/>
    <w:basedOn w:val="Normal"/>
    <w:next w:val="Normal"/>
    <w:link w:val="TitleChar"/>
    <w:uiPriority w:val="10"/>
    <w:qFormat/>
    <w:rsid w:val="00FC4FDF"/>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10"/>
    <w:rsid w:val="00FC4FDF"/>
    <w:rPr>
      <w:rFonts w:ascii="Cambria" w:eastAsia="Times New Roman" w:hAnsi="Cambria" w:cs="Times New Roman"/>
      <w:b/>
      <w:bCs/>
      <w:kern w:val="28"/>
      <w:sz w:val="32"/>
      <w:szCs w:val="32"/>
    </w:rPr>
  </w:style>
  <w:style w:type="character" w:styleId="Hyperlink">
    <w:name w:val="Hyperlink"/>
    <w:uiPriority w:val="99"/>
    <w:unhideWhenUsed/>
    <w:rsid w:val="00FC4FDF"/>
    <w:rPr>
      <w:color w:val="0563C1"/>
      <w:u w:val="single"/>
    </w:rPr>
  </w:style>
  <w:style w:type="character" w:customStyle="1" w:styleId="UnresolvedMention">
    <w:name w:val="Unresolved Mention"/>
    <w:uiPriority w:val="99"/>
    <w:semiHidden/>
    <w:unhideWhenUsed/>
    <w:rsid w:val="00FC4FDF"/>
    <w:rPr>
      <w:color w:val="605E5C"/>
      <w:shd w:val="clear" w:color="auto" w:fill="E1DFDD"/>
    </w:rPr>
  </w:style>
  <w:style w:type="character" w:styleId="FollowedHyperlink">
    <w:name w:val="FollowedHyperlink"/>
    <w:uiPriority w:val="99"/>
    <w:semiHidden/>
    <w:unhideWhenUsed/>
    <w:rsid w:val="00FC4FDF"/>
    <w:rPr>
      <w:color w:val="954F72"/>
      <w:u w:val="single"/>
    </w:rPr>
  </w:style>
  <w:style w:type="character" w:customStyle="1" w:styleId="tlid-translation">
    <w:name w:val="tlid-translation"/>
    <w:rsid w:val="00FC4FDF"/>
  </w:style>
  <w:style w:type="paragraph" w:styleId="NormalWeb">
    <w:name w:val="Normal (Web)"/>
    <w:basedOn w:val="Normal"/>
    <w:uiPriority w:val="99"/>
    <w:semiHidden/>
    <w:unhideWhenUsed/>
    <w:rsid w:val="00FC4FDF"/>
    <w:pPr>
      <w:spacing w:before="100" w:beforeAutospacing="1" w:after="100" w:afterAutospacing="1" w:line="240" w:lineRule="auto"/>
    </w:pPr>
    <w:rPr>
      <w:rFonts w:ascii="Times New Roman" w:eastAsia="Times New Roman" w:hAnsi="Times New Roman"/>
      <w:sz w:val="24"/>
      <w:szCs w:val="24"/>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4FDF"/>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FC4FDF"/>
    <w:pPr>
      <w:pBdr>
        <w:top w:val="nil"/>
        <w:left w:val="nil"/>
        <w:bottom w:val="nil"/>
        <w:right w:val="nil"/>
        <w:between w:val="nil"/>
        <w:bar w:val="nil"/>
      </w:pBdr>
    </w:pPr>
    <w:rPr>
      <w:rFonts w:ascii="Calibri" w:eastAsia="Calibri" w:hAnsi="Calibri" w:cs="Calibri"/>
      <w:color w:val="000000"/>
      <w:u w:color="000000"/>
      <w:bdr w:val="nil"/>
      <w:lang w:val="en-US" w:eastAsia="en-GB"/>
    </w:rPr>
  </w:style>
  <w:style w:type="paragraph" w:styleId="ListParagraph">
    <w:name w:val="List Paragraph"/>
    <w:rsid w:val="00FC4FDF"/>
    <w:pPr>
      <w:pBdr>
        <w:top w:val="nil"/>
        <w:left w:val="nil"/>
        <w:bottom w:val="nil"/>
        <w:right w:val="nil"/>
        <w:between w:val="nil"/>
        <w:bar w:val="nil"/>
      </w:pBdr>
      <w:ind w:left="720"/>
    </w:pPr>
    <w:rPr>
      <w:rFonts w:ascii="Calibri" w:eastAsia="Calibri" w:hAnsi="Calibri" w:cs="Calibri"/>
      <w:color w:val="000000"/>
      <w:u w:color="000000"/>
      <w:bdr w:val="nil"/>
      <w:lang w:val="en-US" w:eastAsia="en-GB"/>
    </w:rPr>
  </w:style>
  <w:style w:type="numbering" w:customStyle="1" w:styleId="ImportedStyle1">
    <w:name w:val="Imported Style 1"/>
    <w:rsid w:val="00FC4FDF"/>
    <w:pPr>
      <w:numPr>
        <w:numId w:val="1"/>
      </w:numPr>
    </w:pPr>
  </w:style>
  <w:style w:type="paragraph" w:customStyle="1" w:styleId="MDPI71References">
    <w:name w:val="MDPI_7.1_References"/>
    <w:rsid w:val="00FC4FDF"/>
    <w:pPr>
      <w:pBdr>
        <w:top w:val="nil"/>
        <w:left w:val="nil"/>
        <w:bottom w:val="nil"/>
        <w:right w:val="nil"/>
        <w:between w:val="nil"/>
        <w:bar w:val="nil"/>
      </w:pBdr>
      <w:spacing w:line="260" w:lineRule="atLeast"/>
      <w:jc w:val="both"/>
    </w:pPr>
    <w:rPr>
      <w:rFonts w:ascii="Palatino Linotype" w:eastAsia="Palatino Linotype" w:hAnsi="Palatino Linotype" w:cs="Palatino Linotype"/>
      <w:color w:val="000000"/>
      <w:sz w:val="18"/>
      <w:szCs w:val="18"/>
      <w:u w:color="000000"/>
      <w:bdr w:val="nil"/>
      <w:lang w:val="en-US" w:eastAsia="en-GB"/>
    </w:rPr>
  </w:style>
  <w:style w:type="character" w:styleId="CommentReference">
    <w:name w:val="annotation reference"/>
    <w:uiPriority w:val="99"/>
    <w:semiHidden/>
    <w:unhideWhenUsed/>
    <w:rsid w:val="00FC4FDF"/>
    <w:rPr>
      <w:sz w:val="16"/>
      <w:szCs w:val="16"/>
    </w:rPr>
  </w:style>
  <w:style w:type="paragraph" w:styleId="CommentText">
    <w:name w:val="annotation text"/>
    <w:basedOn w:val="Normal"/>
    <w:link w:val="CommentTextChar"/>
    <w:uiPriority w:val="99"/>
    <w:unhideWhenUsed/>
    <w:rsid w:val="00FC4FDF"/>
    <w:rPr>
      <w:sz w:val="20"/>
      <w:szCs w:val="20"/>
    </w:rPr>
  </w:style>
  <w:style w:type="character" w:customStyle="1" w:styleId="CommentTextChar">
    <w:name w:val="Comment Text Char"/>
    <w:basedOn w:val="DefaultParagraphFont"/>
    <w:link w:val="CommentText"/>
    <w:uiPriority w:val="99"/>
    <w:rsid w:val="00FC4FDF"/>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FC4F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FDF"/>
    <w:rPr>
      <w:rFonts w:ascii="Tahoma" w:eastAsia="Calibri" w:hAnsi="Tahoma" w:cs="Tahoma"/>
      <w:sz w:val="16"/>
      <w:szCs w:val="16"/>
    </w:rPr>
  </w:style>
  <w:style w:type="paragraph" w:styleId="Revision">
    <w:name w:val="Revision"/>
    <w:hidden/>
    <w:uiPriority w:val="99"/>
    <w:semiHidden/>
    <w:rsid w:val="00FC4FDF"/>
    <w:rPr>
      <w:rFonts w:ascii="Calibri" w:eastAsia="Calibri" w:hAnsi="Calibri" w:cs="Times New Roman"/>
      <w:sz w:val="22"/>
      <w:szCs w:val="22"/>
    </w:rPr>
  </w:style>
  <w:style w:type="paragraph" w:styleId="Header">
    <w:name w:val="header"/>
    <w:basedOn w:val="Normal"/>
    <w:link w:val="HeaderChar"/>
    <w:uiPriority w:val="99"/>
    <w:unhideWhenUsed/>
    <w:rsid w:val="00FC4FDF"/>
    <w:pPr>
      <w:tabs>
        <w:tab w:val="center" w:pos="4513"/>
        <w:tab w:val="right" w:pos="9026"/>
      </w:tabs>
    </w:pPr>
  </w:style>
  <w:style w:type="character" w:customStyle="1" w:styleId="HeaderChar">
    <w:name w:val="Header Char"/>
    <w:basedOn w:val="DefaultParagraphFont"/>
    <w:link w:val="Header"/>
    <w:uiPriority w:val="99"/>
    <w:rsid w:val="00FC4FDF"/>
    <w:rPr>
      <w:rFonts w:ascii="Calibri" w:eastAsia="Calibri" w:hAnsi="Calibri" w:cs="Times New Roman"/>
      <w:sz w:val="22"/>
      <w:szCs w:val="22"/>
    </w:rPr>
  </w:style>
  <w:style w:type="paragraph" w:styleId="Footer">
    <w:name w:val="footer"/>
    <w:basedOn w:val="Normal"/>
    <w:link w:val="FooterChar"/>
    <w:uiPriority w:val="99"/>
    <w:unhideWhenUsed/>
    <w:rsid w:val="00FC4FDF"/>
    <w:pPr>
      <w:tabs>
        <w:tab w:val="center" w:pos="4513"/>
        <w:tab w:val="right" w:pos="9026"/>
      </w:tabs>
    </w:pPr>
  </w:style>
  <w:style w:type="character" w:customStyle="1" w:styleId="FooterChar">
    <w:name w:val="Footer Char"/>
    <w:basedOn w:val="DefaultParagraphFont"/>
    <w:link w:val="Footer"/>
    <w:uiPriority w:val="99"/>
    <w:rsid w:val="00FC4FDF"/>
    <w:rPr>
      <w:rFonts w:ascii="Calibri" w:eastAsia="Calibri" w:hAnsi="Calibri" w:cs="Times New Roman"/>
      <w:sz w:val="22"/>
      <w:szCs w:val="22"/>
    </w:rPr>
  </w:style>
  <w:style w:type="paragraph" w:styleId="CommentSubject">
    <w:name w:val="annotation subject"/>
    <w:basedOn w:val="CommentText"/>
    <w:next w:val="CommentText"/>
    <w:link w:val="CommentSubjectChar"/>
    <w:uiPriority w:val="99"/>
    <w:semiHidden/>
    <w:unhideWhenUsed/>
    <w:rsid w:val="00FC4FDF"/>
    <w:rPr>
      <w:b/>
      <w:bCs/>
    </w:rPr>
  </w:style>
  <w:style w:type="character" w:customStyle="1" w:styleId="CommentSubjectChar">
    <w:name w:val="Comment Subject Char"/>
    <w:basedOn w:val="CommentTextChar"/>
    <w:link w:val="CommentSubject"/>
    <w:uiPriority w:val="99"/>
    <w:semiHidden/>
    <w:rsid w:val="00FC4FDF"/>
    <w:rPr>
      <w:rFonts w:ascii="Calibri" w:eastAsia="Calibri" w:hAnsi="Calibri" w:cs="Times New Roman"/>
      <w:b/>
      <w:bCs/>
      <w:sz w:val="20"/>
      <w:szCs w:val="20"/>
    </w:rPr>
  </w:style>
  <w:style w:type="character" w:styleId="PageNumber">
    <w:name w:val="page number"/>
    <w:uiPriority w:val="99"/>
    <w:semiHidden/>
    <w:unhideWhenUsed/>
    <w:rsid w:val="00FC4FDF"/>
  </w:style>
  <w:style w:type="character" w:styleId="LineNumber">
    <w:name w:val="line number"/>
    <w:uiPriority w:val="99"/>
    <w:semiHidden/>
    <w:unhideWhenUsed/>
    <w:rsid w:val="00FC4FDF"/>
  </w:style>
  <w:style w:type="paragraph" w:styleId="Title">
    <w:name w:val="Title"/>
    <w:basedOn w:val="Normal"/>
    <w:next w:val="Normal"/>
    <w:link w:val="TitleChar"/>
    <w:uiPriority w:val="10"/>
    <w:qFormat/>
    <w:rsid w:val="00FC4FDF"/>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10"/>
    <w:rsid w:val="00FC4FDF"/>
    <w:rPr>
      <w:rFonts w:ascii="Cambria" w:eastAsia="Times New Roman" w:hAnsi="Cambria" w:cs="Times New Roman"/>
      <w:b/>
      <w:bCs/>
      <w:kern w:val="28"/>
      <w:sz w:val="32"/>
      <w:szCs w:val="32"/>
    </w:rPr>
  </w:style>
  <w:style w:type="character" w:styleId="Hyperlink">
    <w:name w:val="Hyperlink"/>
    <w:uiPriority w:val="99"/>
    <w:unhideWhenUsed/>
    <w:rsid w:val="00FC4FDF"/>
    <w:rPr>
      <w:color w:val="0563C1"/>
      <w:u w:val="single"/>
    </w:rPr>
  </w:style>
  <w:style w:type="character" w:customStyle="1" w:styleId="UnresolvedMention">
    <w:name w:val="Unresolved Mention"/>
    <w:uiPriority w:val="99"/>
    <w:semiHidden/>
    <w:unhideWhenUsed/>
    <w:rsid w:val="00FC4FDF"/>
    <w:rPr>
      <w:color w:val="605E5C"/>
      <w:shd w:val="clear" w:color="auto" w:fill="E1DFDD"/>
    </w:rPr>
  </w:style>
  <w:style w:type="character" w:styleId="FollowedHyperlink">
    <w:name w:val="FollowedHyperlink"/>
    <w:uiPriority w:val="99"/>
    <w:semiHidden/>
    <w:unhideWhenUsed/>
    <w:rsid w:val="00FC4FDF"/>
    <w:rPr>
      <w:color w:val="954F72"/>
      <w:u w:val="single"/>
    </w:rPr>
  </w:style>
  <w:style w:type="character" w:customStyle="1" w:styleId="tlid-translation">
    <w:name w:val="tlid-translation"/>
    <w:rsid w:val="00FC4FDF"/>
  </w:style>
  <w:style w:type="paragraph" w:styleId="NormalWeb">
    <w:name w:val="Normal (Web)"/>
    <w:basedOn w:val="Normal"/>
    <w:uiPriority w:val="99"/>
    <w:semiHidden/>
    <w:unhideWhenUsed/>
    <w:rsid w:val="00FC4FDF"/>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291449">
      <w:bodyDiv w:val="1"/>
      <w:marLeft w:val="0"/>
      <w:marRight w:val="0"/>
      <w:marTop w:val="0"/>
      <w:marBottom w:val="0"/>
      <w:divBdr>
        <w:top w:val="none" w:sz="0" w:space="0" w:color="auto"/>
        <w:left w:val="none" w:sz="0" w:space="0" w:color="auto"/>
        <w:bottom w:val="none" w:sz="0" w:space="0" w:color="auto"/>
        <w:right w:val="none" w:sz="0" w:space="0" w:color="auto"/>
      </w:divBdr>
    </w:div>
    <w:div w:id="264920615">
      <w:bodyDiv w:val="1"/>
      <w:marLeft w:val="0"/>
      <w:marRight w:val="0"/>
      <w:marTop w:val="0"/>
      <w:marBottom w:val="0"/>
      <w:divBdr>
        <w:top w:val="none" w:sz="0" w:space="0" w:color="auto"/>
        <w:left w:val="none" w:sz="0" w:space="0" w:color="auto"/>
        <w:bottom w:val="none" w:sz="0" w:space="0" w:color="auto"/>
        <w:right w:val="none" w:sz="0" w:space="0" w:color="auto"/>
      </w:divBdr>
    </w:div>
    <w:div w:id="513691050">
      <w:bodyDiv w:val="1"/>
      <w:marLeft w:val="0"/>
      <w:marRight w:val="0"/>
      <w:marTop w:val="0"/>
      <w:marBottom w:val="0"/>
      <w:divBdr>
        <w:top w:val="none" w:sz="0" w:space="0" w:color="auto"/>
        <w:left w:val="none" w:sz="0" w:space="0" w:color="auto"/>
        <w:bottom w:val="none" w:sz="0" w:space="0" w:color="auto"/>
        <w:right w:val="none" w:sz="0" w:space="0" w:color="auto"/>
      </w:divBdr>
    </w:div>
    <w:div w:id="788207020">
      <w:bodyDiv w:val="1"/>
      <w:marLeft w:val="0"/>
      <w:marRight w:val="0"/>
      <w:marTop w:val="0"/>
      <w:marBottom w:val="0"/>
      <w:divBdr>
        <w:top w:val="none" w:sz="0" w:space="0" w:color="auto"/>
        <w:left w:val="none" w:sz="0" w:space="0" w:color="auto"/>
        <w:bottom w:val="none" w:sz="0" w:space="0" w:color="auto"/>
        <w:right w:val="none" w:sz="0" w:space="0" w:color="auto"/>
      </w:divBdr>
    </w:div>
    <w:div w:id="802189674">
      <w:bodyDiv w:val="1"/>
      <w:marLeft w:val="0"/>
      <w:marRight w:val="0"/>
      <w:marTop w:val="0"/>
      <w:marBottom w:val="0"/>
      <w:divBdr>
        <w:top w:val="none" w:sz="0" w:space="0" w:color="auto"/>
        <w:left w:val="none" w:sz="0" w:space="0" w:color="auto"/>
        <w:bottom w:val="none" w:sz="0" w:space="0" w:color="auto"/>
        <w:right w:val="none" w:sz="0" w:space="0" w:color="auto"/>
      </w:divBdr>
    </w:div>
    <w:div w:id="987325183">
      <w:bodyDiv w:val="1"/>
      <w:marLeft w:val="0"/>
      <w:marRight w:val="0"/>
      <w:marTop w:val="0"/>
      <w:marBottom w:val="0"/>
      <w:divBdr>
        <w:top w:val="none" w:sz="0" w:space="0" w:color="auto"/>
        <w:left w:val="none" w:sz="0" w:space="0" w:color="auto"/>
        <w:bottom w:val="none" w:sz="0" w:space="0" w:color="auto"/>
        <w:right w:val="none" w:sz="0" w:space="0" w:color="auto"/>
      </w:divBdr>
    </w:div>
    <w:div w:id="1298412189">
      <w:bodyDiv w:val="1"/>
      <w:marLeft w:val="0"/>
      <w:marRight w:val="0"/>
      <w:marTop w:val="0"/>
      <w:marBottom w:val="0"/>
      <w:divBdr>
        <w:top w:val="none" w:sz="0" w:space="0" w:color="auto"/>
        <w:left w:val="none" w:sz="0" w:space="0" w:color="auto"/>
        <w:bottom w:val="none" w:sz="0" w:space="0" w:color="auto"/>
        <w:right w:val="none" w:sz="0" w:space="0" w:color="auto"/>
      </w:divBdr>
    </w:div>
    <w:div w:id="1574657340">
      <w:bodyDiv w:val="1"/>
      <w:marLeft w:val="0"/>
      <w:marRight w:val="0"/>
      <w:marTop w:val="0"/>
      <w:marBottom w:val="0"/>
      <w:divBdr>
        <w:top w:val="none" w:sz="0" w:space="0" w:color="auto"/>
        <w:left w:val="none" w:sz="0" w:space="0" w:color="auto"/>
        <w:bottom w:val="none" w:sz="0" w:space="0" w:color="auto"/>
        <w:right w:val="none" w:sz="0" w:space="0" w:color="auto"/>
      </w:divBdr>
    </w:div>
    <w:div w:id="184944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xenophon.kassianides@hey.nhs.uk" TargetMode="External"/><Relationship Id="rId9" Type="http://schemas.openxmlformats.org/officeDocument/2006/relationships/hyperlink" Target="mailto:xenophon.kassianides@hey.nhs.uk"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22</Pages>
  <Words>39764</Words>
  <Characters>226656</Characters>
  <Application>Microsoft Macintosh Word</Application>
  <DocSecurity>0</DocSecurity>
  <Lines>1888</Lines>
  <Paragraphs>531</Paragraphs>
  <ScaleCrop>false</ScaleCrop>
  <Company/>
  <LinksUpToDate>false</LinksUpToDate>
  <CharactersWithSpaces>265889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Pond</dc:creator>
  <cp:keywords/>
  <dc:description/>
  <cp:lastModifiedBy>Elizabeth Pond</cp:lastModifiedBy>
  <cp:revision>3</cp:revision>
  <dcterms:created xsi:type="dcterms:W3CDTF">2020-07-30T19:22:00Z</dcterms:created>
  <dcterms:modified xsi:type="dcterms:W3CDTF">2020-07-30T19:50:00Z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3584b19a-23ee-3911-9f16-98cbfd2a8f7c</vt:lpwstr>
  </property>
  <property fmtid="{D5CDD505-2E9C-101B-9397-08002B2CF9AE}" pid="4" name="Mendeley Citation Style_1">
    <vt:lpwstr>http://www.zotero.org/styles/springer-vancouver-brackets</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7th edition</vt:lpwstr>
  </property>
  <property fmtid="{D5CDD505-2E9C-101B-9397-08002B2CF9AE}" pid="7" name="Mendeley Recent Style Id 1_1">
    <vt:lpwstr>http://www.zotero.org/styles/chicago-author-date</vt:lpwstr>
  </property>
  <property fmtid="{D5CDD505-2E9C-101B-9397-08002B2CF9AE}" pid="8" name="Mendeley Recent Style Name 1_1">
    <vt:lpwstr>Chicago Manual of Style 17th edition (author-date)</vt:lpwstr>
  </property>
  <property fmtid="{D5CDD505-2E9C-101B-9397-08002B2CF9AE}" pid="9" name="Mendeley Recent Style Id 2_1">
    <vt:lpwstr>http://www.zotero.org/styles/harvard-cite-them-right</vt:lpwstr>
  </property>
  <property fmtid="{D5CDD505-2E9C-101B-9397-08002B2CF9AE}" pid="10" name="Mendeley Recent Style Name 2_1">
    <vt:lpwstr>Cite Them Right 10th edition - Harvard</vt:lpwstr>
  </property>
  <property fmtid="{D5CDD505-2E9C-101B-9397-08002B2CF9AE}" pid="11" name="Mendeley Recent Style Id 3_1">
    <vt:lpwstr>http://www.zotero.org/styles/ieee</vt:lpwstr>
  </property>
  <property fmtid="{D5CDD505-2E9C-101B-9397-08002B2CF9AE}" pid="12" name="Mendeley Recent Style Name 3_1">
    <vt:lpwstr>IEEE</vt:lpwstr>
  </property>
  <property fmtid="{D5CDD505-2E9C-101B-9397-08002B2CF9AE}" pid="13" name="Mendeley Recent Style Id 4_1">
    <vt:lpwstr>http://www.zotero.org/styles/modern-humanities-research-association</vt:lpwstr>
  </property>
  <property fmtid="{D5CDD505-2E9C-101B-9397-08002B2CF9AE}" pid="14" name="Mendeley Recent Style Name 4_1">
    <vt:lpwstr>Modern Humanities Research Association 3rd edition (note with bibliography)</vt:lpwstr>
  </property>
  <property fmtid="{D5CDD505-2E9C-101B-9397-08002B2CF9AE}" pid="15" name="Mendeley Recent Style Id 5_1">
    <vt:lpwstr>http://www.zotero.org/styles/modern-language-association</vt:lpwstr>
  </property>
  <property fmtid="{D5CDD505-2E9C-101B-9397-08002B2CF9AE}" pid="16" name="Mendeley Recent Style Name 5_1">
    <vt:lpwstr>Modern Language Association 8th edition</vt:lpwstr>
  </property>
  <property fmtid="{D5CDD505-2E9C-101B-9397-08002B2CF9AE}" pid="17" name="Mendeley Recent Style Id 6_1">
    <vt:lpwstr>http://www.zotero.org/styles/nature</vt:lpwstr>
  </property>
  <property fmtid="{D5CDD505-2E9C-101B-9397-08002B2CF9AE}" pid="18" name="Mendeley Recent Style Name 6_1">
    <vt:lpwstr>Nature</vt:lpwstr>
  </property>
  <property fmtid="{D5CDD505-2E9C-101B-9397-08002B2CF9AE}" pid="19" name="Mendeley Recent Style Id 7_1">
    <vt:lpwstr>http://www.zotero.org/styles/springer-vancouver</vt:lpwstr>
  </property>
  <property fmtid="{D5CDD505-2E9C-101B-9397-08002B2CF9AE}" pid="20" name="Mendeley Recent Style Name 7_1">
    <vt:lpwstr>Springer - Vancouver</vt:lpwstr>
  </property>
  <property fmtid="{D5CDD505-2E9C-101B-9397-08002B2CF9AE}" pid="21" name="Mendeley Recent Style Id 8_1">
    <vt:lpwstr>http://www.zotero.org/styles/springer-vancouver-brackets</vt:lpwstr>
  </property>
  <property fmtid="{D5CDD505-2E9C-101B-9397-08002B2CF9AE}" pid="22" name="Mendeley Recent Style Name 8_1">
    <vt:lpwstr>Springer - Vancouver (brackets)</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