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5082B" w14:textId="77777777" w:rsidR="00605D2C" w:rsidRDefault="00605D2C" w:rsidP="00605D2C">
      <w:pPr>
        <w:rPr>
          <w:sz w:val="10"/>
        </w:rPr>
        <w:sectPr w:rsidR="00605D2C" w:rsidSect="00605D2C">
          <w:headerReference w:type="default" r:id="rId7"/>
          <w:footerReference w:type="default" r:id="rId8"/>
          <w:pgSz w:w="12240" w:h="15840"/>
          <w:pgMar w:top="1340" w:right="1120" w:bottom="940" w:left="1140" w:header="722" w:footer="746" w:gutter="0"/>
          <w:pgNumType w:start="1"/>
          <w:cols w:space="720"/>
        </w:sectPr>
      </w:pPr>
    </w:p>
    <w:p w14:paraId="05691DE0" w14:textId="77777777" w:rsidR="00605D2C" w:rsidRDefault="00605D2C" w:rsidP="00605D2C">
      <w:pPr>
        <w:pStyle w:val="Heading2"/>
        <w:tabs>
          <w:tab w:val="left" w:pos="1020"/>
        </w:tabs>
        <w:spacing w:before="88"/>
        <w:ind w:left="300" w:firstLine="0"/>
      </w:pPr>
      <w:r>
        <w:t xml:space="preserve"> </w:t>
      </w:r>
      <w:r>
        <w:t>SYNOPSIS</w:t>
      </w:r>
    </w:p>
    <w:p w14:paraId="2CABC862" w14:textId="77777777" w:rsidR="00605D2C" w:rsidRDefault="00605D2C" w:rsidP="00605D2C">
      <w:pPr>
        <w:pStyle w:val="BodyText"/>
        <w:spacing w:before="8"/>
        <w:rPr>
          <w:b/>
          <w:sz w:val="10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02988BA9" w14:textId="77777777" w:rsidTr="00BE5BDD">
        <w:trPr>
          <w:trHeight w:val="666"/>
        </w:trPr>
        <w:tc>
          <w:tcPr>
            <w:tcW w:w="3284" w:type="dxa"/>
          </w:tcPr>
          <w:p w14:paraId="55331F4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2544ED05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6045B20E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6CCCA9BC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6A63D96B" w14:textId="77777777" w:rsidTr="00BE5BDD">
        <w:trPr>
          <w:trHeight w:val="664"/>
        </w:trPr>
        <w:tc>
          <w:tcPr>
            <w:tcW w:w="3284" w:type="dxa"/>
          </w:tcPr>
          <w:p w14:paraId="31327756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7818E6C6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6E5A242D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132AC212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17E648F2" w14:textId="77777777" w:rsidTr="00BE5BDD">
        <w:trPr>
          <w:trHeight w:val="666"/>
        </w:trPr>
        <w:tc>
          <w:tcPr>
            <w:tcW w:w="3284" w:type="dxa"/>
          </w:tcPr>
          <w:p w14:paraId="1398D682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6969FDA2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223429D6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4635C57E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195308BC" w14:textId="77777777" w:rsidTr="00BE5BDD">
        <w:trPr>
          <w:trHeight w:val="1125"/>
        </w:trPr>
        <w:tc>
          <w:tcPr>
            <w:tcW w:w="9448" w:type="dxa"/>
            <w:gridSpan w:val="3"/>
          </w:tcPr>
          <w:p w14:paraId="78891B0A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Title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Study:</w:t>
            </w:r>
          </w:p>
          <w:p w14:paraId="3EDF5880" w14:textId="77777777" w:rsidR="00605D2C" w:rsidRDefault="00605D2C" w:rsidP="00BE5BDD">
            <w:pPr>
              <w:pStyle w:val="TableParagraph"/>
              <w:spacing w:before="55"/>
              <w:ind w:left="43" w:right="293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Observational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HEPLISAV™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Engerix</w:t>
            </w:r>
            <w:proofErr w:type="spellEnd"/>
            <w:r>
              <w:rPr>
                <w:spacing w:val="-1"/>
                <w:sz w:val="20"/>
              </w:rPr>
              <w:t>-B</w:t>
            </w:r>
            <w:r>
              <w:rPr>
                <w:spacing w:val="-1"/>
                <w:sz w:val="20"/>
                <w:vertAlign w:val="superscript"/>
              </w:rPr>
              <w:t>®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Adults </w:t>
            </w:r>
            <w:proofErr w:type="gramStart"/>
            <w:r>
              <w:rPr>
                <w:spacing w:val="-1"/>
                <w:sz w:val="20"/>
              </w:rPr>
              <w:t>With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Chronic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Kidney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Disease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Who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Have</w:t>
            </w:r>
            <w:r>
              <w:rPr>
                <w:sz w:val="20"/>
              </w:rPr>
              <w:t xml:space="preserve"> Previously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 Hepatitis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</w:p>
        </w:tc>
      </w:tr>
      <w:tr w:rsidR="00605D2C" w14:paraId="7A284C02" w14:textId="77777777" w:rsidTr="00BE5BDD">
        <w:trPr>
          <w:trHeight w:val="897"/>
        </w:trPr>
        <w:tc>
          <w:tcPr>
            <w:tcW w:w="9448" w:type="dxa"/>
            <w:gridSpan w:val="3"/>
          </w:tcPr>
          <w:p w14:paraId="2182CCCC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Investigator(s)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Center(s):</w:t>
            </w:r>
          </w:p>
          <w:p w14:paraId="31F75FF0" w14:textId="77777777" w:rsidR="00605D2C" w:rsidRDefault="00605D2C" w:rsidP="00BE5BDD">
            <w:pPr>
              <w:pStyle w:val="TableParagraph"/>
              <w:spacing w:before="56"/>
              <w:ind w:left="43" w:right="293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investigators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centers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(US),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centers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Canada,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centers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Germany.</w:t>
            </w:r>
          </w:p>
        </w:tc>
      </w:tr>
      <w:tr w:rsidR="00605D2C" w14:paraId="6F7EB1FC" w14:textId="77777777" w:rsidTr="00BE5BDD">
        <w:trPr>
          <w:trHeight w:val="664"/>
        </w:trPr>
        <w:tc>
          <w:tcPr>
            <w:tcW w:w="9448" w:type="dxa"/>
            <w:gridSpan w:val="3"/>
          </w:tcPr>
          <w:p w14:paraId="76F8D00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Publication(s):</w:t>
            </w:r>
          </w:p>
          <w:p w14:paraId="42526F25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None.</w:t>
            </w:r>
          </w:p>
        </w:tc>
      </w:tr>
      <w:tr w:rsidR="00605D2C" w14:paraId="3FB3E244" w14:textId="77777777" w:rsidTr="00BE5BDD">
        <w:trPr>
          <w:trHeight w:val="606"/>
        </w:trPr>
        <w:tc>
          <w:tcPr>
            <w:tcW w:w="3284" w:type="dxa"/>
          </w:tcPr>
          <w:p w14:paraId="6A7EFEB0" w14:textId="77777777" w:rsidR="00605D2C" w:rsidRDefault="00605D2C" w:rsidP="00BE5BDD">
            <w:pPr>
              <w:pStyle w:val="TableParagraph"/>
              <w:spacing w:before="36"/>
              <w:ind w:left="43"/>
              <w:rPr>
                <w:sz w:val="20"/>
              </w:rPr>
            </w:pPr>
            <w:r>
              <w:rPr>
                <w:b/>
                <w:sz w:val="20"/>
              </w:rPr>
              <w:t>Study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Period:</w:t>
            </w:r>
            <w:r>
              <w:rPr>
                <w:b/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21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November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2011</w:t>
            </w:r>
          </w:p>
          <w:p w14:paraId="24FDA6BE" w14:textId="77777777" w:rsidR="00605D2C" w:rsidRDefault="00605D2C" w:rsidP="00BE5BD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09 October 2013</w:t>
            </w:r>
          </w:p>
        </w:tc>
        <w:tc>
          <w:tcPr>
            <w:tcW w:w="6164" w:type="dxa"/>
            <w:gridSpan w:val="2"/>
          </w:tcPr>
          <w:p w14:paraId="31F283B7" w14:textId="77777777" w:rsidR="00605D2C" w:rsidRDefault="00605D2C" w:rsidP="00BE5BDD">
            <w:pPr>
              <w:pStyle w:val="TableParagraph"/>
              <w:spacing w:before="36"/>
              <w:ind w:left="42"/>
              <w:rPr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Phase:</w:t>
            </w:r>
            <w:r>
              <w:rPr>
                <w:b/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3b</w:t>
            </w:r>
          </w:p>
        </w:tc>
      </w:tr>
      <w:tr w:rsidR="00605D2C" w14:paraId="689222F0" w14:textId="77777777" w:rsidTr="00BE5BDD">
        <w:trPr>
          <w:trHeight w:val="7049"/>
        </w:trPr>
        <w:tc>
          <w:tcPr>
            <w:tcW w:w="9448" w:type="dxa"/>
            <w:gridSpan w:val="3"/>
          </w:tcPr>
          <w:p w14:paraId="72FC1BEC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Objectives:</w:t>
            </w:r>
          </w:p>
          <w:p w14:paraId="4CC8290A" w14:textId="77777777" w:rsidR="00605D2C" w:rsidRDefault="00605D2C" w:rsidP="00BE5BDD">
            <w:pPr>
              <w:pStyle w:val="TableParagraph"/>
              <w:spacing w:before="60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Primary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Objective:</w:t>
            </w:r>
          </w:p>
          <w:p w14:paraId="35DB4BA9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59" w:line="237" w:lineRule="auto"/>
              <w:ind w:right="88"/>
              <w:rPr>
                <w:sz w:val="20"/>
              </w:rPr>
            </w:pPr>
            <w:r>
              <w:rPr>
                <w:sz w:val="20"/>
              </w:rPr>
              <w:t xml:space="preserve">To evaluate the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induced by HEPLISAV™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z w:val="20"/>
                <w:vertAlign w:val="superscript"/>
              </w:rPr>
              <w:t>®</w:t>
            </w:r>
            <w:r>
              <w:rPr>
                <w:sz w:val="20"/>
              </w:rPr>
              <w:t xml:space="preserve"> as measured 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rate (SPR), defined as the percentage of subjects with antibody to hepatitis B surface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antigen (anti-HBsAg) concentration greater than or equal to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at baseline; starting 5 months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after the secondary vaccine series; starting 6 months to 1 year after the first booster dose and 6 months to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 year after each subsequent booster dose; and starting 6 months after baseline for subjects not requiring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 booster</w:t>
            </w:r>
          </w:p>
          <w:p w14:paraId="38F262DE" w14:textId="77777777" w:rsidR="00605D2C" w:rsidRDefault="00605D2C" w:rsidP="00BE5BDD">
            <w:pPr>
              <w:pStyle w:val="TableParagraph"/>
              <w:spacing w:before="65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Secondary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Objectives:</w:t>
            </w:r>
          </w:p>
          <w:p w14:paraId="45C7BBA2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66" w:line="230" w:lineRule="auto"/>
              <w:ind w:left="950" w:right="51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chronic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kidney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disease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(CKD)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hepatitis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</w:p>
          <w:p w14:paraId="1A761FA7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76" w:line="228" w:lineRule="auto"/>
              <w:ind w:left="950" w:right="72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this study</w:t>
            </w:r>
          </w:p>
          <w:p w14:paraId="40A90F6D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73" w:line="230" w:lineRule="auto"/>
              <w:ind w:left="950" w:right="57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incidence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this study</w:t>
            </w:r>
          </w:p>
          <w:p w14:paraId="30C1A68F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3"/>
              </w:tabs>
              <w:spacing w:before="63" w:line="237" w:lineRule="auto"/>
              <w:ind w:left="950" w:right="165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durability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among subjects with diabetes mellitus, at baseline; starting 5 months after the secondary vaccine series;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starting 6 months to 1 year after the first booster dose; 6 months to 1 year after each subsequent booster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dose;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starting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baseline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booster dose</w:t>
            </w:r>
          </w:p>
          <w:p w14:paraId="101F8D40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64" w:line="235" w:lineRule="auto"/>
              <w:ind w:right="281"/>
              <w:rPr>
                <w:sz w:val="20"/>
              </w:rPr>
            </w:pPr>
            <w:r>
              <w:rPr>
                <w:sz w:val="20"/>
              </w:rPr>
              <w:t xml:space="preserve">To evaluate the long-term immunogenicity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 SPR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baseline;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 months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 series;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 months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 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first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booster dose and 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year after each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subsequent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 dose</w:t>
            </w:r>
          </w:p>
          <w:p w14:paraId="257A86CD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67" w:line="235" w:lineRule="auto"/>
              <w:ind w:left="950" w:right="98"/>
              <w:rPr>
                <w:sz w:val="20"/>
              </w:rPr>
            </w:pPr>
            <w:r>
              <w:rPr>
                <w:sz w:val="20"/>
              </w:rPr>
              <w:t xml:space="preserve">To evaluate the long-term immunogenicity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 the percentage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baseline;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secondary vaccine series; starting 6 months to 1 year after the first booster dose; and 6 months to 1 year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after each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subsequent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</w:p>
        </w:tc>
      </w:tr>
    </w:tbl>
    <w:p w14:paraId="4953416E" w14:textId="77777777" w:rsidR="00605D2C" w:rsidRDefault="00605D2C" w:rsidP="00605D2C">
      <w:pPr>
        <w:spacing w:line="235" w:lineRule="auto"/>
        <w:rPr>
          <w:sz w:val="20"/>
        </w:rPr>
        <w:sectPr w:rsidR="00605D2C" w:rsidSect="00605D2C">
          <w:type w:val="continuous"/>
          <w:pgSz w:w="12240" w:h="15840"/>
          <w:pgMar w:top="1340" w:right="1120" w:bottom="940" w:left="1140" w:header="722" w:footer="746" w:gutter="0"/>
          <w:cols w:space="720"/>
        </w:sectPr>
      </w:pPr>
    </w:p>
    <w:p w14:paraId="1A01F68D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17C75A1D" w14:textId="77777777" w:rsidTr="00BE5BDD">
        <w:trPr>
          <w:trHeight w:val="667"/>
        </w:trPr>
        <w:tc>
          <w:tcPr>
            <w:tcW w:w="3284" w:type="dxa"/>
          </w:tcPr>
          <w:p w14:paraId="585C2DA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6351375D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3DC5CBBE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68261382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3DAABA2C" w14:textId="77777777" w:rsidTr="00BE5BDD">
        <w:trPr>
          <w:trHeight w:val="664"/>
        </w:trPr>
        <w:tc>
          <w:tcPr>
            <w:tcW w:w="3284" w:type="dxa"/>
          </w:tcPr>
          <w:p w14:paraId="55D8D5F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7A962160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6C8B513D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37B88A9F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37607F55" w14:textId="77777777" w:rsidTr="00BE5BDD">
        <w:trPr>
          <w:trHeight w:val="666"/>
        </w:trPr>
        <w:tc>
          <w:tcPr>
            <w:tcW w:w="3284" w:type="dxa"/>
          </w:tcPr>
          <w:p w14:paraId="59B4FD9A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0F71F210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215FFF9E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7ADE25E3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3A808B08" w14:textId="77777777" w:rsidTr="00BE5BDD">
        <w:trPr>
          <w:trHeight w:val="1120"/>
        </w:trPr>
        <w:tc>
          <w:tcPr>
            <w:tcW w:w="9448" w:type="dxa"/>
            <w:gridSpan w:val="3"/>
          </w:tcPr>
          <w:p w14:paraId="0C01C21D" w14:textId="77777777" w:rsidR="00605D2C" w:rsidRDefault="00605D2C" w:rsidP="00BE5BDD">
            <w:pPr>
              <w:pStyle w:val="TableParagraph"/>
              <w:numPr>
                <w:ilvl w:val="0"/>
                <w:numId w:val="27"/>
              </w:numPr>
              <w:tabs>
                <w:tab w:val="left" w:pos="942"/>
                <w:tab w:val="left" w:pos="943"/>
              </w:tabs>
              <w:spacing w:before="41" w:line="235" w:lineRule="auto"/>
              <w:ind w:right="246" w:hanging="360"/>
              <w:rPr>
                <w:sz w:val="20"/>
              </w:rPr>
            </w:pPr>
            <w:r>
              <w:rPr>
                <w:sz w:val="20"/>
              </w:rPr>
              <w:t xml:space="preserve">To evaluate the long-term immunogenicity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 anti-HBsAg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geometric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(GMC)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baseline;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series;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starting 6 months to 1 year after the first booster dose; and 6 months to 1 year after each subsequent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</w:p>
        </w:tc>
      </w:tr>
      <w:tr w:rsidR="00605D2C" w14:paraId="7AA49310" w14:textId="77777777" w:rsidTr="00BE5BDD">
        <w:trPr>
          <w:trHeight w:val="9488"/>
        </w:trPr>
        <w:tc>
          <w:tcPr>
            <w:tcW w:w="9448" w:type="dxa"/>
            <w:gridSpan w:val="3"/>
          </w:tcPr>
          <w:p w14:paraId="70628A18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Methods:</w:t>
            </w:r>
          </w:p>
          <w:p w14:paraId="0F58B2E8" w14:textId="77777777" w:rsidR="00605D2C" w:rsidRDefault="00605D2C" w:rsidP="00BE5BDD">
            <w:pPr>
              <w:pStyle w:val="TableParagraph"/>
              <w:spacing w:before="55"/>
              <w:ind w:left="43" w:right="124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months)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revaccination/booster study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adult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older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CKD who previously received a complete series of either HEPLISAV 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in study DV2-HBV-17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(hereafter referred to as HBV-17). Enrollment into the current study (hereafter referred to as HBV-19) was to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offered to everyone who had participated in HBV-17 and completed a full series of hepatitis B vaccine. Eligible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subjects were assigned to one of the following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categories at enrollment </w:t>
            </w:r>
            <w:proofErr w:type="gramStart"/>
            <w:r>
              <w:rPr>
                <w:sz w:val="20"/>
              </w:rPr>
              <w:t>on the basis of</w:t>
            </w:r>
            <w:proofErr w:type="gramEnd"/>
            <w:r>
              <w:rPr>
                <w:sz w:val="20"/>
              </w:rPr>
              <w:t xml:space="preserve">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immunologic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response.</w:t>
            </w:r>
          </w:p>
          <w:p w14:paraId="58D42F3E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Subjects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During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HBV-17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Enrollment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HBV-19</w:t>
            </w:r>
          </w:p>
          <w:p w14:paraId="5F2549DE" w14:textId="77777777" w:rsidR="00605D2C" w:rsidRDefault="00605D2C" w:rsidP="00BE5BDD">
            <w:pPr>
              <w:pStyle w:val="TableParagraph"/>
              <w:spacing w:before="61"/>
              <w:ind w:left="33"/>
              <w:rPr>
                <w:sz w:val="20"/>
              </w:rPr>
            </w:pP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followed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assessment of long-term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. If a subject’s anti-HBsAg level decreased to less than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reassigned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receive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booster.</w:t>
            </w:r>
          </w:p>
          <w:p w14:paraId="348FBC84" w14:textId="77777777" w:rsidR="00605D2C" w:rsidRDefault="00605D2C" w:rsidP="00BE5BDD">
            <w:pPr>
              <w:pStyle w:val="TableParagraph"/>
              <w:spacing w:before="58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Subjects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During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HBV-17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 Not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Enrollment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HBV-19</w:t>
            </w:r>
          </w:p>
          <w:p w14:paraId="093FD8E4" w14:textId="77777777" w:rsidR="00605D2C" w:rsidRDefault="00605D2C" w:rsidP="00BE5BDD">
            <w:pPr>
              <w:pStyle w:val="TableParagraph"/>
              <w:spacing w:before="61"/>
              <w:ind w:left="33" w:right="209"/>
              <w:rPr>
                <w:sz w:val="20"/>
              </w:rPr>
            </w:pPr>
            <w:r>
              <w:rPr>
                <w:sz w:val="20"/>
              </w:rPr>
              <w:t>Subjects who were seroprotected by their primary hepatitis B vaccine series in HBV-17 were to receive a 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injection of the same study treatment they received in HBV-17 if their anti-HBsAg level was less than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</w:t>
            </w:r>
          </w:p>
          <w:p w14:paraId="71705A7F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Subjects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Who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Were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HBV-17</w:t>
            </w:r>
          </w:p>
          <w:p w14:paraId="7E4CB8C3" w14:textId="77777777" w:rsidR="00605D2C" w:rsidRDefault="00605D2C" w:rsidP="00BE5BDD">
            <w:pPr>
              <w:pStyle w:val="TableParagraph"/>
              <w:spacing w:before="60"/>
              <w:ind w:left="52" w:right="368"/>
              <w:rPr>
                <w:sz w:val="20"/>
              </w:rPr>
            </w:pPr>
            <w:r>
              <w:rPr>
                <w:sz w:val="20"/>
              </w:rPr>
              <w:t>Subjects who did not respond to their primary hepatitis B vaccine series (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, their anti-HBsAg level never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reached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/mL) were to receive a second series of the same study treatment they received in HBV-17.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These subjects were to receive either HEPLISAV 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injections at Month 0/Week 0, Month 1/Week 4,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6/Week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24.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achieved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</w:p>
          <w:p w14:paraId="60591024" w14:textId="77777777" w:rsidR="00605D2C" w:rsidRDefault="00605D2C" w:rsidP="00BE5BDD">
            <w:pPr>
              <w:pStyle w:val="TableParagraph"/>
              <w:spacing w:before="2"/>
              <w:ind w:left="52" w:right="124"/>
              <w:rPr>
                <w:sz w:val="20"/>
              </w:rPr>
            </w:pPr>
            <w:r>
              <w:rPr>
                <w:sz w:val="20"/>
              </w:rPr>
              <w:t xml:space="preserve">then followed every 6 months for measurement of anti-HBsAg </w:t>
            </w:r>
            <w:proofErr w:type="gramStart"/>
            <w:r>
              <w:rPr>
                <w:sz w:val="20"/>
              </w:rPr>
              <w:t>levels, and</w:t>
            </w:r>
            <w:proofErr w:type="gramEnd"/>
            <w:r>
              <w:rPr>
                <w:sz w:val="20"/>
              </w:rPr>
              <w:t xml:space="preserve"> were reassigned to receive a booster. If 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subject's anti-HBsAg level was less than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after the secondary vaccine series, the subject was not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receive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additional booster 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followed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for safety 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study.</w:t>
            </w:r>
          </w:p>
          <w:p w14:paraId="53CD264B" w14:textId="77777777" w:rsidR="00605D2C" w:rsidRDefault="00605D2C" w:rsidP="00BE5BDD">
            <w:pPr>
              <w:pStyle w:val="TableParagraph"/>
              <w:spacing w:before="59"/>
              <w:ind w:left="52"/>
              <w:rPr>
                <w:sz w:val="20"/>
              </w:rPr>
            </w:pPr>
            <w:r>
              <w:rPr>
                <w:sz w:val="20"/>
              </w:rPr>
              <w:t>In Germany, investigators were able to use their discretion regarding provision of booster injections following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German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Committee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(STIKO)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recommendations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hemodialysis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booster dose when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 anti-HBsAg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decreases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</w:p>
          <w:p w14:paraId="0042F6B3" w14:textId="77777777" w:rsidR="00605D2C" w:rsidRDefault="00605D2C" w:rsidP="00BE5BDD">
            <w:pPr>
              <w:pStyle w:val="TableParagraph"/>
              <w:spacing w:before="61"/>
              <w:ind w:left="52"/>
              <w:rPr>
                <w:sz w:val="20"/>
              </w:rPr>
            </w:pPr>
            <w:r>
              <w:rPr>
                <w:sz w:val="20"/>
              </w:rPr>
              <w:t>All subjects were to be monitored for safety until study completion. Safety evaluations included assessments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solicited local and systemic post-injection reactions for 7 days following each study injection; adverse events (AEs)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serious adverse events (SAEs) through 4 weeks following a secondary vaccine series or 4 weeks following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 injection; and AEs of special interest (AESIs; including autoimmune AEs) until study completion. (Note: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Germany, the SAE reporting period was through 6 months following a secondary vaccine series or a 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injection).</w:t>
            </w:r>
          </w:p>
          <w:p w14:paraId="23FED046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>Durability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assessed 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0188DD75" w14:textId="77777777" w:rsidR="00605D2C" w:rsidRDefault="00605D2C" w:rsidP="00BE5BDD">
            <w:pPr>
              <w:pStyle w:val="TableParagraph"/>
              <w:ind w:left="43" w:right="318"/>
              <w:rPr>
                <w:sz w:val="20"/>
              </w:rPr>
            </w:pPr>
            <w:r>
              <w:rPr>
                <w:sz w:val="20"/>
              </w:rPr>
              <w:t>Month 0/Week 0 and at scheduled study visits until study completion. Anti-HBsAg serum concentrations 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measured using the Ortho </w:t>
            </w:r>
            <w:proofErr w:type="spellStart"/>
            <w:r>
              <w:rPr>
                <w:sz w:val="20"/>
              </w:rPr>
              <w:t>Vitros</w:t>
            </w:r>
            <w:proofErr w:type="spellEnd"/>
            <w:r>
              <w:rPr>
                <w:sz w:val="20"/>
                <w:vertAlign w:val="superscript"/>
              </w:rPr>
              <w:t>®</w:t>
            </w:r>
            <w:r>
              <w:rPr>
                <w:sz w:val="20"/>
              </w:rPr>
              <w:t xml:space="preserve"> enhanced chemiluminescence immunoassay.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was defined as 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report,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assessing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the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, durability of antibody concentrations greater than or equal to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antibody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</w:tc>
      </w:tr>
    </w:tbl>
    <w:p w14:paraId="16AACA8C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312913EF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0BFFC836" w14:textId="77777777" w:rsidTr="00BE5BDD">
        <w:trPr>
          <w:trHeight w:val="667"/>
        </w:trPr>
        <w:tc>
          <w:tcPr>
            <w:tcW w:w="3284" w:type="dxa"/>
          </w:tcPr>
          <w:p w14:paraId="0FEE7EB6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4B7FB926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7DEEC702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4C55A09F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3E5A08B4" w14:textId="77777777" w:rsidTr="00BE5BDD">
        <w:trPr>
          <w:trHeight w:val="664"/>
        </w:trPr>
        <w:tc>
          <w:tcPr>
            <w:tcW w:w="3284" w:type="dxa"/>
          </w:tcPr>
          <w:p w14:paraId="6EB067E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008FE4AA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2B440116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AEA6CBA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7A08D2AC" w14:textId="77777777" w:rsidTr="00BE5BDD">
        <w:trPr>
          <w:trHeight w:val="666"/>
        </w:trPr>
        <w:tc>
          <w:tcPr>
            <w:tcW w:w="3284" w:type="dxa"/>
          </w:tcPr>
          <w:p w14:paraId="1F0CBDA1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46D393F8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3DE059B3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2DE023D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63E1B87" w14:textId="77777777" w:rsidTr="00BE5BDD">
        <w:trPr>
          <w:trHeight w:val="666"/>
        </w:trPr>
        <w:tc>
          <w:tcPr>
            <w:tcW w:w="9448" w:type="dxa"/>
            <w:gridSpan w:val="3"/>
          </w:tcPr>
          <w:p w14:paraId="3F86FBA2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Subjects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Planned:</w:t>
            </w:r>
          </w:p>
          <w:p w14:paraId="3870461A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Approximately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subjects.</w:t>
            </w:r>
          </w:p>
        </w:tc>
      </w:tr>
      <w:tr w:rsidR="00605D2C" w14:paraId="7A49E5F8" w14:textId="77777777" w:rsidTr="00BE5BDD">
        <w:trPr>
          <w:trHeight w:val="1814"/>
        </w:trPr>
        <w:tc>
          <w:tcPr>
            <w:tcW w:w="9448" w:type="dxa"/>
            <w:gridSpan w:val="3"/>
          </w:tcPr>
          <w:p w14:paraId="57B2D9D7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Subjects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Enrolled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Analyzed:</w:t>
            </w:r>
          </w:p>
          <w:p w14:paraId="035BF81B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A total of 147 subjects (109 in the US, 17 in Canada, and 21 in Germany) were enrolled and included in the safety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analysis data set. Among subjects seroprotected in HBV-17, 9 subjects were removed from the immunogenicity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GCP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non-compliance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42).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seroprotected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upon entry into HBV-19 and received no study treatment during HBV-19, therefore there were 138 total 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66;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72) in the modified intent-to-treat (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>) population for immunogenicity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analyses.</w:t>
            </w:r>
          </w:p>
        </w:tc>
      </w:tr>
      <w:tr w:rsidR="00605D2C" w14:paraId="4D6D9F83" w14:textId="77777777" w:rsidTr="00BE5BDD">
        <w:trPr>
          <w:trHeight w:val="1585"/>
        </w:trPr>
        <w:tc>
          <w:tcPr>
            <w:tcW w:w="9448" w:type="dxa"/>
            <w:gridSpan w:val="3"/>
          </w:tcPr>
          <w:p w14:paraId="000843D9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Diagnosis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Criteria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Eligibility:</w:t>
            </w:r>
          </w:p>
          <w:p w14:paraId="581F8CE9" w14:textId="77777777" w:rsidR="00605D2C" w:rsidRDefault="00605D2C" w:rsidP="00BE5BDD">
            <w:pPr>
              <w:pStyle w:val="TableParagraph"/>
              <w:spacing w:before="55"/>
              <w:ind w:left="43" w:right="124"/>
              <w:rPr>
                <w:sz w:val="20"/>
              </w:rPr>
            </w:pPr>
            <w:r>
              <w:rPr>
                <w:sz w:val="20"/>
              </w:rPr>
              <w:t>Eligible subjects were adults 18 years of age and older with CKD who were previously enrolled in HBV-17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received a complete primary series of either HEPLISAV 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-B. Subjects had to be clinically stable 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investigator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consent.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excluded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had received commercially available hepatitis B vaccine other than study treatment; had a known history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autoimmune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 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unwilling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comply with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protocol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requirements.</w:t>
            </w:r>
          </w:p>
        </w:tc>
      </w:tr>
      <w:tr w:rsidR="00605D2C" w14:paraId="28DD8B4A" w14:textId="77777777" w:rsidTr="00BE5BDD">
        <w:trPr>
          <w:trHeight w:val="1936"/>
        </w:trPr>
        <w:tc>
          <w:tcPr>
            <w:tcW w:w="9448" w:type="dxa"/>
            <w:gridSpan w:val="3"/>
          </w:tcPr>
          <w:p w14:paraId="018D360B" w14:textId="77777777" w:rsidR="00605D2C" w:rsidRDefault="00605D2C" w:rsidP="00BE5BDD">
            <w:pPr>
              <w:pStyle w:val="TableParagraph"/>
              <w:spacing w:before="41"/>
              <w:ind w:left="4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Test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Mode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Administration,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Batch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Number:</w:t>
            </w:r>
          </w:p>
          <w:p w14:paraId="215EE21F" w14:textId="77777777" w:rsidR="00605D2C" w:rsidRDefault="00605D2C" w:rsidP="00BE5BDD">
            <w:pPr>
              <w:pStyle w:val="TableParagraph"/>
              <w:spacing w:before="55"/>
              <w:ind w:left="43" w:right="4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The test product (HEPLISAV) was 20 mcg recombinant HBsAg subtype </w:t>
            </w:r>
            <w:proofErr w:type="spellStart"/>
            <w:r>
              <w:rPr>
                <w:i/>
                <w:sz w:val="20"/>
              </w:rPr>
              <w:t>adw</w:t>
            </w:r>
            <w:proofErr w:type="spellEnd"/>
            <w:r>
              <w:rPr>
                <w:i/>
                <w:sz w:val="20"/>
              </w:rPr>
              <w:t xml:space="preserve"> </w:t>
            </w:r>
            <w:r>
              <w:rPr>
                <w:sz w:val="20"/>
              </w:rPr>
              <w:t>with 3000 mcg 1018 ISS adjuvant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manufactured 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Rentschler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Biotechnologie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GmbH in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Laupheim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Germany.</w:t>
            </w:r>
          </w:p>
          <w:p w14:paraId="5015737D" w14:textId="77777777" w:rsidR="00605D2C" w:rsidRDefault="00605D2C" w:rsidP="00BE5BDD">
            <w:pPr>
              <w:pStyle w:val="TableParagraph"/>
              <w:spacing w:before="61"/>
              <w:ind w:left="43" w:right="308"/>
              <w:jc w:val="both"/>
              <w:rPr>
                <w:sz w:val="20"/>
              </w:rPr>
            </w:pPr>
            <w:r>
              <w:rPr>
                <w:sz w:val="20"/>
              </w:rPr>
              <w:t>Subjects who received HEPLISAV as the secondary vaccine series received a single intramuscular (IM) injection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(0.5 mL)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deltoid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muscle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0/Week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Month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6/Week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injections were administered following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</w:p>
          <w:p w14:paraId="61FC588A" w14:textId="77777777" w:rsidR="00605D2C" w:rsidRDefault="00605D2C" w:rsidP="00BE5BDD">
            <w:pPr>
              <w:pStyle w:val="TableParagraph"/>
              <w:spacing w:before="59"/>
              <w:ind w:left="43"/>
              <w:jc w:val="both"/>
              <w:rPr>
                <w:sz w:val="20"/>
              </w:rPr>
            </w:pPr>
            <w:r>
              <w:rPr>
                <w:sz w:val="20"/>
              </w:rPr>
              <w:t>Lot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numbers: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TDG010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TDG013</w:t>
            </w:r>
          </w:p>
        </w:tc>
      </w:tr>
      <w:tr w:rsidR="00605D2C" w14:paraId="46B99215" w14:textId="77777777" w:rsidTr="00BE5BDD">
        <w:trPr>
          <w:trHeight w:val="1355"/>
        </w:trPr>
        <w:tc>
          <w:tcPr>
            <w:tcW w:w="9448" w:type="dxa"/>
            <w:gridSpan w:val="3"/>
          </w:tcPr>
          <w:p w14:paraId="5635519A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Duration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Treatment:</w:t>
            </w:r>
          </w:p>
          <w:p w14:paraId="568851DE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 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expected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remain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minimum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weeks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injection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maximum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48 months for follow up. This study was terminated after approximately 24 months for administrative reasons based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on the company’s evaluation of the CKD and HEPLISAV program, and not due to a safety concern or lack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efficacy.</w:t>
            </w:r>
          </w:p>
        </w:tc>
      </w:tr>
      <w:tr w:rsidR="00605D2C" w14:paraId="385A450C" w14:textId="77777777" w:rsidTr="00BE5BDD">
        <w:trPr>
          <w:trHeight w:val="2397"/>
        </w:trPr>
        <w:tc>
          <w:tcPr>
            <w:tcW w:w="9448" w:type="dxa"/>
            <w:gridSpan w:val="3"/>
          </w:tcPr>
          <w:p w14:paraId="582600B3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Reference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Therapy,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Administration,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Batch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Number:</w:t>
            </w:r>
          </w:p>
          <w:p w14:paraId="44F5C166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therapy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z w:val="20"/>
                <w:vertAlign w:val="superscript"/>
              </w:rPr>
              <w:t>®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mcg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recombinant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combined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mcg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adjuvant)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manufactured 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GlaxoSmithKline Biologicals.</w:t>
            </w:r>
          </w:p>
          <w:p w14:paraId="23092EE3" w14:textId="77777777" w:rsidR="00605D2C" w:rsidRDefault="00605D2C" w:rsidP="00BE5BDD">
            <w:pPr>
              <w:pStyle w:val="TableParagraph"/>
              <w:spacing w:before="61"/>
              <w:ind w:left="43" w:right="293"/>
              <w:rPr>
                <w:sz w:val="20"/>
              </w:rPr>
            </w:pP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1.0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total dose of 40 mcg HBsAg and 1 mg alum) in the deltoid muscle at Month 0/Week 0, Month 1/Week 4,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6/Week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24.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booster injections 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</w:t>
            </w:r>
          </w:p>
          <w:p w14:paraId="32588339" w14:textId="77777777" w:rsidR="00605D2C" w:rsidRDefault="00605D2C" w:rsidP="00BE5BDD">
            <w:pPr>
              <w:pStyle w:val="TableParagraph"/>
              <w:spacing w:line="229" w:lineRule="exact"/>
              <w:ind w:left="43"/>
              <w:rPr>
                <w:sz w:val="20"/>
              </w:rPr>
            </w:pPr>
            <w:r>
              <w:rPr>
                <w:sz w:val="20"/>
              </w:rPr>
              <w:t>below10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</w:p>
          <w:p w14:paraId="08AEE37F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</w:rPr>
              <w:t>Lot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numbers: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AHBVB910AA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AHBVC111AA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(US),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AHBVB925AB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AHBVC145AM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(Canada),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AHBVB988AB 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AHBVC016AC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(Germany).</w:t>
            </w:r>
          </w:p>
        </w:tc>
      </w:tr>
      <w:tr w:rsidR="00605D2C" w14:paraId="2636F2A0" w14:textId="77777777" w:rsidTr="00BE5BDD">
        <w:trPr>
          <w:trHeight w:val="834"/>
        </w:trPr>
        <w:tc>
          <w:tcPr>
            <w:tcW w:w="9448" w:type="dxa"/>
            <w:gridSpan w:val="3"/>
          </w:tcPr>
          <w:p w14:paraId="7A17A2E4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Statistical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Methods:</w:t>
            </w:r>
          </w:p>
          <w:p w14:paraId="77D0F43E" w14:textId="77777777" w:rsidR="00605D2C" w:rsidRDefault="00605D2C" w:rsidP="00BE5BDD">
            <w:pPr>
              <w:pStyle w:val="TableParagraph"/>
              <w:spacing w:before="57" w:line="237" w:lineRule="auto"/>
              <w:ind w:left="43"/>
              <w:rPr>
                <w:sz w:val="20"/>
              </w:rPr>
            </w:pPr>
            <w:r>
              <w:rPr>
                <w:sz w:val="20"/>
              </w:rPr>
              <w:t xml:space="preserve">The comparisons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with regards to demographics and baseline characteristics,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immunogenicity,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endpoints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descriptive.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analyses were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performed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</w:tr>
    </w:tbl>
    <w:p w14:paraId="2506A098" w14:textId="77777777" w:rsidR="00605D2C" w:rsidRDefault="00605D2C" w:rsidP="00605D2C">
      <w:pPr>
        <w:spacing w:line="237" w:lineRule="auto"/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0A4BB11A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5163E8B0" w14:textId="77777777" w:rsidTr="00BE5BDD">
        <w:trPr>
          <w:trHeight w:val="667"/>
        </w:trPr>
        <w:tc>
          <w:tcPr>
            <w:tcW w:w="3284" w:type="dxa"/>
          </w:tcPr>
          <w:p w14:paraId="14D5E9AC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6D7219F0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4D59FDB4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1066C36D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36F3A4FD" w14:textId="77777777" w:rsidTr="00BE5BDD">
        <w:trPr>
          <w:trHeight w:val="664"/>
        </w:trPr>
        <w:tc>
          <w:tcPr>
            <w:tcW w:w="3284" w:type="dxa"/>
          </w:tcPr>
          <w:p w14:paraId="00E29BB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107C1439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03207B4B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1026AE26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A1EDD6D" w14:textId="77777777" w:rsidTr="00BE5BDD">
        <w:trPr>
          <w:trHeight w:val="666"/>
        </w:trPr>
        <w:tc>
          <w:tcPr>
            <w:tcW w:w="3284" w:type="dxa"/>
          </w:tcPr>
          <w:p w14:paraId="3C0D411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6386A994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402482A2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53B461F5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0CAB2F39" w14:textId="77777777" w:rsidTr="00BE5BDD">
        <w:trPr>
          <w:trHeight w:val="5736"/>
        </w:trPr>
        <w:tc>
          <w:tcPr>
            <w:tcW w:w="9448" w:type="dxa"/>
            <w:gridSpan w:val="3"/>
          </w:tcPr>
          <w:p w14:paraId="1D218E3E" w14:textId="77777777" w:rsidR="00605D2C" w:rsidRDefault="00605D2C" w:rsidP="00BE5BDD">
            <w:pPr>
              <w:pStyle w:val="TableParagraph"/>
              <w:spacing w:before="36"/>
              <w:ind w:left="43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</w:p>
          <w:p w14:paraId="2B5AACBA" w14:textId="77777777" w:rsidR="00605D2C" w:rsidRDefault="00605D2C" w:rsidP="00BE5BDD">
            <w:pPr>
              <w:pStyle w:val="TableParagraph"/>
              <w:spacing w:before="60"/>
              <w:ind w:left="43" w:right="55"/>
              <w:rPr>
                <w:sz w:val="20"/>
              </w:rPr>
            </w:pPr>
            <w:r>
              <w:rPr>
                <w:sz w:val="20"/>
                <w:u w:val="single"/>
              </w:rPr>
              <w:t>Demographic and Baseline Characteristics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summary statistics for continuous variables were comprised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mean, median, standard deviation (SD), and quartile (Q1-Q3). Categorical variables were summarized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frequency and proportion. The demographic and baseline characteristics summary </w:t>
            </w:r>
            <w:proofErr w:type="gramStart"/>
            <w:r>
              <w:rPr>
                <w:sz w:val="20"/>
              </w:rPr>
              <w:t>was</w:t>
            </w:r>
            <w:proofErr w:type="gramEnd"/>
            <w:r>
              <w:rPr>
                <w:sz w:val="20"/>
              </w:rPr>
              <w:t xml:space="preserve"> provided for subjects who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enrolled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 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HBV-17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population.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 who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enrolled 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population.</w:t>
            </w:r>
          </w:p>
          <w:p w14:paraId="50A12AFE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Immunogenicity Analysis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All time-to-event analyses, such as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, anti-HBsAg greater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analyzed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treatment group (HEPLISAV,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-B) using the Kaplan-Meier method. The anti-HBsAg concentrations 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summarized using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geometric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means.</w:t>
            </w:r>
          </w:p>
          <w:p w14:paraId="51FB40CB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antibody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estimated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treatment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</w:p>
          <w:p w14:paraId="2EF18284" w14:textId="77777777" w:rsidR="00605D2C" w:rsidRDefault="00605D2C" w:rsidP="00BE5BDD">
            <w:pPr>
              <w:pStyle w:val="TableParagraph"/>
              <w:ind w:left="43" w:right="144"/>
              <w:rPr>
                <w:sz w:val="20"/>
              </w:rPr>
            </w:pPr>
            <w:r>
              <w:rPr>
                <w:sz w:val="20"/>
              </w:rPr>
              <w:t xml:space="preserve">(anti-HBsAg concentrations greater than or equal to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/mL) in HBV-17 and enrolled in HBV-19. The data for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7 subjects who received injections when their anti-HBsAg concentrations were between 10 and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according to STIKO recommendations were censored for this analysis. To estimate the antibody decay curve 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time,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mixed-linear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model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repeated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measure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fitted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log</w:t>
            </w:r>
            <w:r>
              <w:rPr>
                <w:sz w:val="20"/>
                <w:vertAlign w:val="subscript"/>
              </w:rPr>
              <w:t>10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transformed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concentrations starting from time of peak concentration within each subject. The model included treatment group,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days, and log</w:t>
            </w:r>
            <w:r>
              <w:rPr>
                <w:sz w:val="20"/>
                <w:vertAlign w:val="subscript"/>
              </w:rPr>
              <w:t>10</w:t>
            </w:r>
            <w:r>
              <w:rPr>
                <w:sz w:val="20"/>
              </w:rPr>
              <w:t>-transformed days as fixed effects and subjects as a random effect. The estimated model then was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raised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10</w:t>
            </w:r>
            <w:r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power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obtain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estimated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function.</w:t>
            </w:r>
          </w:p>
          <w:p w14:paraId="0228C278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Safety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Analysis</w:t>
            </w:r>
            <w:r>
              <w:rPr>
                <w:sz w:val="20"/>
              </w:rPr>
              <w:t>: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systemic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post-injection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reactions,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AESIs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 analyzed.</w:t>
            </w:r>
          </w:p>
          <w:p w14:paraId="70B93821" w14:textId="77777777" w:rsidR="00605D2C" w:rsidRDefault="00605D2C" w:rsidP="00BE5BDD">
            <w:pPr>
              <w:pStyle w:val="TableParagraph"/>
              <w:spacing w:before="60"/>
              <w:ind w:left="52" w:right="90"/>
              <w:rPr>
                <w:sz w:val="20"/>
              </w:rPr>
            </w:pPr>
            <w:r>
              <w:rPr>
                <w:sz w:val="20"/>
                <w:u w:val="single"/>
              </w:rPr>
              <w:t>Analysis Populations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safety population comprised all subjects excluding those who had no on-study safety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defined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excluding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those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immunogenicity analyses. Subjects who received the wrong study vaccine(s) were analyzed "as-treated" 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analysis,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"as-randomized"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analysis.</w:t>
            </w:r>
          </w:p>
        </w:tc>
      </w:tr>
    </w:tbl>
    <w:p w14:paraId="1E3F5109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7E148A00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2ECF3F7E" w14:textId="77777777" w:rsidTr="00BE5BDD">
        <w:trPr>
          <w:trHeight w:val="667"/>
        </w:trPr>
        <w:tc>
          <w:tcPr>
            <w:tcW w:w="3284" w:type="dxa"/>
          </w:tcPr>
          <w:p w14:paraId="74FF29FE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7BFAE92F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63D0B046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5807658A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6E0C2C41" w14:textId="77777777" w:rsidTr="00BE5BDD">
        <w:trPr>
          <w:trHeight w:val="664"/>
        </w:trPr>
        <w:tc>
          <w:tcPr>
            <w:tcW w:w="3284" w:type="dxa"/>
          </w:tcPr>
          <w:p w14:paraId="5FC38EE0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6C4D19DD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64E6221A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BB73228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73A40298" w14:textId="77777777" w:rsidTr="00BE5BDD">
        <w:trPr>
          <w:trHeight w:val="666"/>
        </w:trPr>
        <w:tc>
          <w:tcPr>
            <w:tcW w:w="3284" w:type="dxa"/>
          </w:tcPr>
          <w:p w14:paraId="640AA00A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06AA852A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56C35474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1E8BC8D3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3D0111DD" w14:textId="77777777" w:rsidTr="00BE5BDD">
        <w:trPr>
          <w:trHeight w:val="6535"/>
        </w:trPr>
        <w:tc>
          <w:tcPr>
            <w:tcW w:w="9448" w:type="dxa"/>
            <w:gridSpan w:val="3"/>
          </w:tcPr>
          <w:p w14:paraId="7604670B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Disposition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Demographics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Results:</w:t>
            </w:r>
          </w:p>
          <w:p w14:paraId="21F20B82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HBV-19 was designed with the expectation that subjects would enroll in HBV-19 immediately following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completion of HBV-17. However, because of the long duration of enrollment in HBV-17 and the need to protect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blind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completing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enrolling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5DB02D1A" w14:textId="77777777" w:rsidR="00605D2C" w:rsidRDefault="00605D2C" w:rsidP="00BE5BDD">
            <w:pPr>
              <w:pStyle w:val="TableParagraph"/>
              <w:spacing w:line="229" w:lineRule="exact"/>
              <w:ind w:left="43"/>
              <w:rPr>
                <w:sz w:val="20"/>
              </w:rPr>
            </w:pPr>
            <w:r>
              <w:rPr>
                <w:sz w:val="20"/>
              </w:rPr>
              <w:t>213.5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and 237.5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</w:p>
          <w:p w14:paraId="4ABF2519" w14:textId="77777777" w:rsidR="00605D2C" w:rsidRDefault="00605D2C" w:rsidP="00BE5BDD">
            <w:pPr>
              <w:pStyle w:val="TableParagraph"/>
              <w:spacing w:before="61"/>
              <w:ind w:left="43" w:right="308"/>
              <w:jc w:val="both"/>
              <w:rPr>
                <w:sz w:val="20"/>
              </w:rPr>
            </w:pPr>
            <w:r>
              <w:rPr>
                <w:sz w:val="20"/>
              </w:rPr>
              <w:t>Among the 147 subjects in the safety population, 105 were seroprotected during HBV-17 at their enrollment into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HBV-19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55;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50). During the study, 16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8;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8)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eventually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single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Twenty-three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10;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</w:p>
          <w:p w14:paraId="21FF0414" w14:textId="77777777" w:rsidR="00605D2C" w:rsidRDefault="00605D2C" w:rsidP="00BE5BDD">
            <w:pPr>
              <w:pStyle w:val="TableParagraph"/>
              <w:spacing w:before="2"/>
              <w:ind w:left="43" w:right="210"/>
              <w:jc w:val="both"/>
              <w:rPr>
                <w:sz w:val="20"/>
              </w:rPr>
            </w:pPr>
            <w:r>
              <w:rPr>
                <w:sz w:val="20"/>
              </w:rPr>
              <w:t>n = 13) who were seroprotected during HBV-17 but were no longer seroprotected at enrollment into HBV-19 were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assigned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receive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these 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received 1 booster dose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4;</w:t>
            </w:r>
            <w:proofErr w:type="gramEnd"/>
          </w:p>
          <w:p w14:paraId="4F4C3E7E" w14:textId="77777777" w:rsidR="00605D2C" w:rsidRDefault="00605D2C" w:rsidP="00BE5BDD">
            <w:pPr>
              <w:pStyle w:val="TableParagraph"/>
              <w:ind w:left="43" w:right="46"/>
              <w:rPr>
                <w:sz w:val="20"/>
              </w:rPr>
            </w:pP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 n = 10), 2 booster doses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4;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3), or 3 booster doses (HEPLISAV: n = 2).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Nineteen subjects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8;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n = 11) who were not seroprotected during HBV-17 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assigned to receive a second vaccine series. During the study, these subjects received 1 dose of vaccine (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1), 2 doses of vaccine (HEPLISAV: n = 1), 3 doses of vaccine (HEPLISAV: n = 5;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 n = 6), or 3 doses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 vaccine plus 1 booster dose (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4). Therefore, during HBV-19, a total of 56 subjects (33%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HEPLISAV group and 43% of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group) were dosed and 91 subjects, including the 9 subjects from Site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142 who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seroprotected at study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enrollment, received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injections.</w:t>
            </w:r>
          </w:p>
          <w:p w14:paraId="3B064FB3" w14:textId="77777777" w:rsidR="00605D2C" w:rsidRDefault="00605D2C" w:rsidP="00BE5BDD">
            <w:pPr>
              <w:pStyle w:val="TableParagraph"/>
              <w:spacing w:before="59"/>
              <w:ind w:left="43" w:right="256"/>
              <w:rPr>
                <w:sz w:val="20"/>
              </w:rPr>
            </w:pPr>
            <w:r>
              <w:rPr>
                <w:sz w:val="20"/>
              </w:rPr>
              <w:t xml:space="preserve">With the exclusion of 9 subjects from Site 142 for a total of 138 subjects in 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population, the median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HEPLISAV group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1057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</w:p>
          <w:p w14:paraId="7C2C5D64" w14:textId="77777777" w:rsidR="00605D2C" w:rsidRDefault="00605D2C" w:rsidP="00BE5BDD">
            <w:pPr>
              <w:pStyle w:val="TableParagraph"/>
              <w:ind w:left="43" w:right="35"/>
              <w:rPr>
                <w:sz w:val="20"/>
              </w:rPr>
            </w:pPr>
            <w:r>
              <w:rPr>
                <w:sz w:val="20"/>
              </w:rPr>
              <w:t xml:space="preserve">for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 xml:space="preserve">-B group. Overall, in HBV-19, 65.2% of subjects in 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 were men and the mean age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61.8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(range: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years).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white (86.2%),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African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American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(10.9%),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Asian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(2.2%), and 21.7% were of Hispanic ethnicity. Of subjects in HBV-19, 8.7% were smokers and 55.8% had type 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diabetes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mellitus.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HBV-19,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lower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proportion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diabetes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mellitus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higher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proportion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higher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glomerular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filtration rate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(GFR)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as compared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overall.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general,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demographic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baseline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treatment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</w:p>
          <w:p w14:paraId="4D07BD96" w14:textId="77777777" w:rsidR="00605D2C" w:rsidRDefault="00605D2C" w:rsidP="00BE5BDD">
            <w:pPr>
              <w:pStyle w:val="TableParagraph"/>
              <w:spacing w:before="1"/>
              <w:ind w:left="43" w:right="293"/>
              <w:rPr>
                <w:sz w:val="20"/>
              </w:rPr>
            </w:pPr>
            <w:r>
              <w:rPr>
                <w:sz w:val="20"/>
              </w:rPr>
              <w:t>2 exceptions: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 in HBV-17, a higher proportion of subjects with diabetes mellitus were in the HEPLISAV group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higher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proportion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subjects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low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(&lt;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15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mL/min/1.73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</w:t>
            </w:r>
            <w:r>
              <w:rPr>
                <w:w w:val="95"/>
                <w:sz w:val="20"/>
                <w:vertAlign w:val="superscript"/>
              </w:rPr>
              <w:t>2</w:t>
            </w:r>
            <w:r>
              <w:rPr>
                <w:w w:val="95"/>
                <w:sz w:val="20"/>
              </w:rPr>
              <w:t>)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GFR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were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Engerix</w:t>
            </w:r>
            <w:proofErr w:type="spellEnd"/>
            <w:r>
              <w:rPr>
                <w:w w:val="95"/>
                <w:sz w:val="20"/>
              </w:rPr>
              <w:t>-B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group.</w:t>
            </w:r>
          </w:p>
        </w:tc>
      </w:tr>
      <w:tr w:rsidR="00605D2C" w14:paraId="5ACB0664" w14:textId="77777777" w:rsidTr="00BE5BDD">
        <w:trPr>
          <w:trHeight w:val="4296"/>
        </w:trPr>
        <w:tc>
          <w:tcPr>
            <w:tcW w:w="9448" w:type="dxa"/>
            <w:gridSpan w:val="3"/>
          </w:tcPr>
          <w:p w14:paraId="6D17141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Immunogenicity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Results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mITT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Population)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Results:</w:t>
            </w:r>
          </w:p>
          <w:p w14:paraId="296B8BA8" w14:textId="77777777" w:rsidR="00605D2C" w:rsidRDefault="00605D2C" w:rsidP="00BE5BDD">
            <w:pPr>
              <w:pStyle w:val="TableParagraph"/>
              <w:spacing w:before="55"/>
              <w:ind w:left="43" w:right="21"/>
              <w:rPr>
                <w:sz w:val="20"/>
              </w:rPr>
            </w:pPr>
            <w:r>
              <w:rPr>
                <w:sz w:val="20"/>
              </w:rPr>
              <w:t>The HBV-19 baseline for the immunogenicity analysis was the last (Week 28) HBV-17 laboratory result for subjects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who did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have a scheduled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result.</w:t>
            </w:r>
          </w:p>
          <w:p w14:paraId="1DD96DE5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baseline used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analysis),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72.7%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(48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and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66.7%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(48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72 subjects) 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group.</w:t>
            </w:r>
          </w:p>
          <w:p w14:paraId="3959B712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 xml:space="preserve">At Week 28 in HBV-17, antibody concentrations between 10 and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were of similar proportions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(13.6%,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66 subjects)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(15.3%,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subjects). A</w:t>
            </w:r>
          </w:p>
          <w:p w14:paraId="41D0EEF4" w14:textId="77777777" w:rsidR="00605D2C" w:rsidRDefault="00605D2C" w:rsidP="00BE5BDD">
            <w:pPr>
              <w:pStyle w:val="TableParagraph"/>
              <w:spacing w:before="1"/>
              <w:ind w:left="43" w:right="115"/>
              <w:rPr>
                <w:sz w:val="20"/>
              </w:rPr>
            </w:pPr>
            <w:r>
              <w:rPr>
                <w:sz w:val="20"/>
              </w:rPr>
              <w:t xml:space="preserve">lower proportion of HEPLISAV subjects (21.2%, 14 of 66 subjects) than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 (41.7%, 30 of 72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subjects) had antibody concentrations between 100 and 1000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 whereas a higher proportion of HEPLISAV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subjects (50.0%, 33 of 66 subjects) than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 (27.8%, 20 of 72 subjects) had antibody levels greater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than 1000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  <w:r>
              <w:rPr>
                <w:sz w:val="20"/>
              </w:rPr>
              <w:t xml:space="preserve"> This distribution of antibody concentrations would be expected to result in similar durability of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durability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HEPLISAV.</w:t>
            </w:r>
          </w:p>
          <w:p w14:paraId="076BD013" w14:textId="77777777" w:rsidR="00605D2C" w:rsidRDefault="00605D2C" w:rsidP="00BE5BDD">
            <w:pPr>
              <w:pStyle w:val="TableParagraph"/>
              <w:spacing w:before="60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Primary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Objective</w:t>
            </w:r>
          </w:p>
          <w:p w14:paraId="4E1A1CAD" w14:textId="77777777" w:rsidR="00605D2C" w:rsidRDefault="00605D2C" w:rsidP="00BE5BDD">
            <w:pPr>
              <w:pStyle w:val="TableParagraph"/>
              <w:spacing w:before="61"/>
              <w:ind w:left="43" w:right="124"/>
              <w:rPr>
                <w:sz w:val="20"/>
              </w:rPr>
            </w:pPr>
            <w:r>
              <w:rPr>
                <w:sz w:val="20"/>
              </w:rPr>
              <w:t xml:space="preserve">Among subjects who were seroprotected at Week 28 in HBV-17, the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over time was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similar between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subjects. Of the 56 HEPLISAV subjects who were seroprotected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(75.0%)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subjects maintained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61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</w:p>
        </w:tc>
      </w:tr>
    </w:tbl>
    <w:p w14:paraId="39C11999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3FFFD24E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12950C9F" w14:textId="77777777" w:rsidTr="00BE5BDD">
        <w:trPr>
          <w:trHeight w:val="667"/>
        </w:trPr>
        <w:tc>
          <w:tcPr>
            <w:tcW w:w="3284" w:type="dxa"/>
          </w:tcPr>
          <w:p w14:paraId="5433DE5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64E6826E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7A269E55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3695240E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51249124" w14:textId="77777777" w:rsidTr="00BE5BDD">
        <w:trPr>
          <w:trHeight w:val="664"/>
        </w:trPr>
        <w:tc>
          <w:tcPr>
            <w:tcW w:w="3284" w:type="dxa"/>
          </w:tcPr>
          <w:p w14:paraId="7B11F9F0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7BAE65A5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6C7E55B6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45AB212D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2E4951CF" w14:textId="77777777" w:rsidTr="00BE5BDD">
        <w:trPr>
          <w:trHeight w:val="666"/>
        </w:trPr>
        <w:tc>
          <w:tcPr>
            <w:tcW w:w="3284" w:type="dxa"/>
          </w:tcPr>
          <w:p w14:paraId="02E0EB19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09A7C978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04E8BA98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F4B13F3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5681D34C" w14:textId="77777777" w:rsidTr="00BE5BDD">
        <w:trPr>
          <w:trHeight w:val="5736"/>
        </w:trPr>
        <w:tc>
          <w:tcPr>
            <w:tcW w:w="9448" w:type="dxa"/>
            <w:gridSpan w:val="3"/>
          </w:tcPr>
          <w:p w14:paraId="4DD440CC" w14:textId="77777777" w:rsidR="00605D2C" w:rsidRDefault="00605D2C" w:rsidP="00BE5BDD">
            <w:pPr>
              <w:pStyle w:val="TableParagraph"/>
              <w:spacing w:before="36" w:line="302" w:lineRule="auto"/>
              <w:ind w:left="43" w:right="1175"/>
              <w:rPr>
                <w:sz w:val="20"/>
              </w:rPr>
            </w:pP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seroprotected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(68.9%)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maintained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Secondary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Objectives</w:t>
            </w:r>
          </w:p>
          <w:p w14:paraId="62C6C0B4" w14:textId="77777777" w:rsidR="00605D2C" w:rsidRDefault="00605D2C" w:rsidP="00BE5BDD">
            <w:pPr>
              <w:pStyle w:val="TableParagraph"/>
              <w:spacing w:before="1"/>
              <w:ind w:left="43" w:right="180"/>
              <w:rPr>
                <w:sz w:val="20"/>
              </w:rPr>
            </w:pPr>
            <w:r>
              <w:rPr>
                <w:sz w:val="20"/>
              </w:rPr>
              <w:t>Among all subjects enrolled in HBV-19, 43 injections of HEPLISAV (incidence = 0.51 injections per person-year)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and 115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(incidence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 1.27 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 person-year)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administered.</w:t>
            </w:r>
          </w:p>
          <w:p w14:paraId="7DDB971F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 xml:space="preserve">Of the 31 HEPLISAV subjects in 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 with type 2 diabetes mellitus and anti-HBsAg greater than 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28,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(64.5%)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maintained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 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type 2 diabetes mellitus and anti-HBsAg greater than or equal to 10 at HBV-17 Week 28, 20 (69.0%) maintained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over time. The median time to loss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could not be estimated at the time the study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terminated.</w:t>
            </w:r>
          </w:p>
          <w:p w14:paraId="6C418961" w14:textId="77777777" w:rsidR="00605D2C" w:rsidRDefault="00605D2C" w:rsidP="00BE5BDD">
            <w:pPr>
              <w:pStyle w:val="TableParagraph"/>
              <w:spacing w:before="60"/>
              <w:ind w:left="43"/>
              <w:rPr>
                <w:sz w:val="20"/>
              </w:rPr>
            </w:pPr>
            <w:r>
              <w:rPr>
                <w:sz w:val="20"/>
              </w:rPr>
              <w:t>Among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concentrations 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 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 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</w:p>
          <w:p w14:paraId="294037AA" w14:textId="77777777" w:rsidR="00605D2C" w:rsidRDefault="00605D2C" w:rsidP="00BE5BD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 xml:space="preserve">the durability of an antibody concentration greater than or equal to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was longer in HEPLISAV 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47 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to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at Week 28 in HBV-17, 25 subjects (53.2%) maintained concentrations greater than or equal to 100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 xml:space="preserve">/mL over time. Of the 50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 who had anti-HBsAg concentrations greater than or equal to 100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 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(30.0%)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maintained concentrations greater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1FA43E1D" w14:textId="77777777" w:rsidR="00605D2C" w:rsidRDefault="00605D2C" w:rsidP="00BE5BDD">
            <w:pPr>
              <w:pStyle w:val="TableParagraph"/>
              <w:spacing w:line="230" w:lineRule="exact"/>
              <w:ind w:left="43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median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7AEFB1B4" w14:textId="77777777" w:rsidR="00605D2C" w:rsidRDefault="00605D2C" w:rsidP="00BE5BDD">
            <w:pPr>
              <w:pStyle w:val="TableParagraph"/>
              <w:spacing w:before="1"/>
              <w:ind w:left="43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946.0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630.0,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1143.0)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525.0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429.0,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719.0)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subjects.</w:t>
            </w:r>
          </w:p>
          <w:p w14:paraId="5881380E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</w:rPr>
              <w:t xml:space="preserve">The GMC in subjects with anti-HBsAg greater than or equal to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at Week 28 in HBV-17 was 1549.6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interval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[CI],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837.0 -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2869.1)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549.7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351.9</w:t>
            </w:r>
          </w:p>
          <w:p w14:paraId="7050600D" w14:textId="77777777" w:rsidR="00605D2C" w:rsidRDefault="00605D2C" w:rsidP="00BE5BDD">
            <w:pPr>
              <w:pStyle w:val="TableParagraph"/>
              <w:ind w:left="43" w:right="293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858.7) in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ratio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GMCs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2.8 (95%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CI, 1.3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5.9).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antibody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time was similar in both treatment groups, thus maintaining the significantly (</w:t>
            </w:r>
            <w:r>
              <w:rPr>
                <w:i/>
                <w:sz w:val="20"/>
              </w:rPr>
              <w:t xml:space="preserve">P </w:t>
            </w:r>
            <w:r>
              <w:rPr>
                <w:sz w:val="20"/>
              </w:rPr>
              <w:t>≤ 0.0001) higher anti-HBsAg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HEPLISAV subjects.</w:t>
            </w:r>
          </w:p>
        </w:tc>
      </w:tr>
      <w:tr w:rsidR="00605D2C" w14:paraId="60DDE08A" w14:textId="77777777" w:rsidTr="00BE5BDD">
        <w:trPr>
          <w:trHeight w:val="4987"/>
        </w:trPr>
        <w:tc>
          <w:tcPr>
            <w:tcW w:w="9448" w:type="dxa"/>
            <w:gridSpan w:val="3"/>
          </w:tcPr>
          <w:p w14:paraId="4D93FF1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Safety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Results:</w:t>
            </w:r>
          </w:p>
          <w:p w14:paraId="41AF3369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Post-injection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Reactions</w:t>
            </w:r>
          </w:p>
          <w:p w14:paraId="7954133D" w14:textId="77777777" w:rsidR="00605D2C" w:rsidRDefault="00605D2C" w:rsidP="00BE5BDD">
            <w:pPr>
              <w:pStyle w:val="TableParagraph"/>
              <w:spacing w:before="61"/>
              <w:ind w:left="43" w:right="124"/>
              <w:rPr>
                <w:sz w:val="20"/>
              </w:rPr>
            </w:pPr>
            <w:r>
              <w:rPr>
                <w:sz w:val="20"/>
              </w:rPr>
              <w:t xml:space="preserve">Overall, 24 subjects in the HEPLISAV group and 32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 received 1 or more doses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study medication. There were 23 and 30 subjects in the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groups, respectively, that had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reaction data available. Reactions were observed in 7/23 (30.4%) subjects in the HEPLISAV group compared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6/30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(20.0%)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summary, most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 systemic reactions within 7 days following administration of 1 or more doses of vaccine. With the following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exceptions,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all of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reactions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mild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severity.</w:t>
            </w:r>
          </w:p>
          <w:p w14:paraId="29731208" w14:textId="77777777" w:rsidR="00605D2C" w:rsidRDefault="00605D2C" w:rsidP="00BE5BDD">
            <w:pPr>
              <w:pStyle w:val="TableParagraph"/>
              <w:spacing w:before="60"/>
              <w:ind w:left="43" w:right="368"/>
              <w:rPr>
                <w:sz w:val="20"/>
              </w:rPr>
            </w:pPr>
            <w:r>
              <w:rPr>
                <w:sz w:val="20"/>
              </w:rPr>
              <w:t>Following 1 standard dose of vaccine, of 11 subjects in the HEPLISAV group 1 experienced severe malaise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experienced moderate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myalgia;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among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experienced moderate</w:t>
            </w:r>
          </w:p>
          <w:p w14:paraId="3E8794F3" w14:textId="77777777" w:rsidR="00605D2C" w:rsidRDefault="00605D2C" w:rsidP="00BE5BD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 xml:space="preserve">pain. Following 2 standard doses, none of the 5 subjects in the HEPLISAV group had moderate or severe </w:t>
            </w:r>
            <w:proofErr w:type="gramStart"/>
            <w:r>
              <w:rPr>
                <w:sz w:val="20"/>
              </w:rPr>
              <w:t>reactions;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of the 3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group, 1 experienced severe pain and 1 experienced severe myalgia. Following 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among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moderate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had moderate malaise; no moderate or severe reactions were reported among the 6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No moderate or severe reactions were reported for any of the 4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 who received 4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standard doses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vaccine.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Overall,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post-injection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reactions 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similar between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 groups.</w:t>
            </w:r>
          </w:p>
          <w:p w14:paraId="7269F229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Adverse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Events</w:t>
            </w:r>
          </w:p>
          <w:p w14:paraId="657BFE76" w14:textId="77777777" w:rsidR="00605D2C" w:rsidRDefault="00605D2C" w:rsidP="00BE5BDD">
            <w:pPr>
              <w:pStyle w:val="TableParagraph"/>
              <w:spacing w:before="61"/>
              <w:ind w:left="43" w:right="124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population,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4;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AEs,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and 2 subjects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1;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1) experienced 1 or more SAEs. </w:t>
            </w:r>
            <w:r>
              <w:rPr>
                <w:color w:val="0000FF"/>
                <w:sz w:val="20"/>
              </w:rPr>
              <w:t xml:space="preserve">Subject 103-202 </w:t>
            </w:r>
            <w:r>
              <w:rPr>
                <w:sz w:val="20"/>
              </w:rPr>
              <w:t>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 experienced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hypercalcemia,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traumatic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pneumothorax,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multi-organ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failure.</w:t>
            </w:r>
          </w:p>
        </w:tc>
      </w:tr>
    </w:tbl>
    <w:p w14:paraId="3AFBE8A6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6D18EBF6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0"/>
        <w:gridCol w:w="1793"/>
        <w:gridCol w:w="3017"/>
        <w:gridCol w:w="3147"/>
      </w:tblGrid>
      <w:tr w:rsidR="00605D2C" w14:paraId="53DDCB3F" w14:textId="77777777" w:rsidTr="00BE5BDD">
        <w:trPr>
          <w:trHeight w:val="667"/>
        </w:trPr>
        <w:tc>
          <w:tcPr>
            <w:tcW w:w="3283" w:type="dxa"/>
            <w:gridSpan w:val="2"/>
          </w:tcPr>
          <w:p w14:paraId="70213D64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463D1D70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319F321F" w14:textId="77777777" w:rsidR="00605D2C" w:rsidRDefault="00605D2C" w:rsidP="00BE5BDD">
            <w:pPr>
              <w:pStyle w:val="TableParagraph"/>
              <w:spacing w:before="41"/>
              <w:ind w:left="43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4352A056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289743C1" w14:textId="77777777" w:rsidTr="00BE5BDD">
        <w:trPr>
          <w:trHeight w:val="664"/>
        </w:trPr>
        <w:tc>
          <w:tcPr>
            <w:tcW w:w="3283" w:type="dxa"/>
            <w:gridSpan w:val="2"/>
          </w:tcPr>
          <w:p w14:paraId="7ECB1F14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51743162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719764D3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5803E5E4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0D155ACD" w14:textId="77777777" w:rsidTr="00BE5BDD">
        <w:trPr>
          <w:trHeight w:val="666"/>
        </w:trPr>
        <w:tc>
          <w:tcPr>
            <w:tcW w:w="3283" w:type="dxa"/>
            <w:gridSpan w:val="2"/>
          </w:tcPr>
          <w:p w14:paraId="4E0F1A7B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3477B295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6F0AC60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0B5D15AE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F63DF29" w14:textId="77777777" w:rsidTr="00BE5BDD">
        <w:trPr>
          <w:trHeight w:val="2275"/>
        </w:trPr>
        <w:tc>
          <w:tcPr>
            <w:tcW w:w="9447" w:type="dxa"/>
            <w:gridSpan w:val="4"/>
          </w:tcPr>
          <w:p w14:paraId="074932DB" w14:textId="77777777" w:rsidR="00605D2C" w:rsidRDefault="00605D2C" w:rsidP="00BE5BDD">
            <w:pPr>
              <w:pStyle w:val="TableParagraph"/>
              <w:spacing w:before="36"/>
              <w:ind w:left="43"/>
              <w:rPr>
                <w:sz w:val="20"/>
              </w:rPr>
            </w:pPr>
            <w:r>
              <w:rPr>
                <w:color w:val="0000FF"/>
                <w:sz w:val="20"/>
              </w:rPr>
              <w:t>Subject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156-101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plasmacytoma,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amyloidosis,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epidermolysis.</w:t>
            </w:r>
          </w:p>
          <w:p w14:paraId="1E30C0DF" w14:textId="77777777" w:rsidR="00605D2C" w:rsidRDefault="00605D2C" w:rsidP="00BE5BDD">
            <w:pPr>
              <w:pStyle w:val="TableParagraph"/>
              <w:spacing w:before="60"/>
              <w:ind w:left="43" w:right="44"/>
              <w:rPr>
                <w:sz w:val="20"/>
              </w:rPr>
            </w:pPr>
            <w:proofErr w:type="gramStart"/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AEs, except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gastroenteritis lasting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 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days,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SAEs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were considered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investigator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 unrelated to study treatment. Three deaths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2;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1) occurred in the HBV-19 safety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population. One subject (</w:t>
            </w:r>
            <w:r>
              <w:rPr>
                <w:color w:val="0000FF"/>
                <w:sz w:val="20"/>
              </w:rPr>
              <w:t xml:space="preserve">Subject 103-202 </w:t>
            </w:r>
            <w:r>
              <w:rPr>
                <w:sz w:val="20"/>
              </w:rPr>
              <w:t>in the HEPLISAV group) died from multi-organ failure 163 days after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administration of the last study injection. Two additional deaths occurred outside the AE collection period (subjects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being followed for safety):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 154-203 in the HEPLISAV group experienced a fatal cardiac arrest 495 days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after administration of the last study injection, and Subject 151-301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 experienced a fatal event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 hyperkalemia 584 days after administration of the last study injection. No other AEs lead to treatment withdrawal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premature discontinuation.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There were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AESIs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reported.</w:t>
            </w:r>
          </w:p>
        </w:tc>
      </w:tr>
      <w:tr w:rsidR="00605D2C" w14:paraId="35C314E3" w14:textId="77777777" w:rsidTr="00BE5BDD">
        <w:trPr>
          <w:trHeight w:val="2795"/>
        </w:trPr>
        <w:tc>
          <w:tcPr>
            <w:tcW w:w="9447" w:type="dxa"/>
            <w:gridSpan w:val="4"/>
          </w:tcPr>
          <w:p w14:paraId="457511EB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Conclusions:</w:t>
            </w:r>
          </w:p>
          <w:p w14:paraId="373D3F09" w14:textId="77777777" w:rsidR="00605D2C" w:rsidRDefault="00605D2C" w:rsidP="00BE5BDD">
            <w:pPr>
              <w:pStyle w:val="TableParagraph"/>
              <w:spacing w:before="55"/>
              <w:ind w:left="43" w:right="153"/>
              <w:rPr>
                <w:sz w:val="20"/>
              </w:rPr>
            </w:pPr>
            <w:r>
              <w:rPr>
                <w:sz w:val="20"/>
              </w:rPr>
              <w:t xml:space="preserve">The tolerability and safety of HEPLISAV appear </w:t>
            </w:r>
            <w:proofErr w:type="gramStart"/>
            <w:r>
              <w:rPr>
                <w:sz w:val="20"/>
              </w:rPr>
              <w:t>similar to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in this population. A second series or single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 safe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tolerated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adults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CKD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 had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primary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3-dose series of HEPLISAV. In addition, extended safety follow-up of HEPLISAV recipients in HBV-17 did not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 any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concerns.</w:t>
            </w:r>
          </w:p>
          <w:p w14:paraId="43A80DDE" w14:textId="77777777" w:rsidR="00605D2C" w:rsidRDefault="00605D2C" w:rsidP="00BE5BDD">
            <w:pPr>
              <w:pStyle w:val="TableParagraph"/>
              <w:spacing w:before="62"/>
              <w:ind w:left="43" w:right="153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 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terminated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early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durability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in 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CKD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was similar in those who received HEPLISAV compared with those who received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because a similar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proportion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 had antibody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concentrations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10 and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enrollment.</w:t>
            </w:r>
          </w:p>
          <w:p w14:paraId="2128D012" w14:textId="77777777" w:rsidR="00605D2C" w:rsidRDefault="00605D2C" w:rsidP="00BE5BDD">
            <w:pPr>
              <w:pStyle w:val="TableParagraph"/>
              <w:ind w:left="43" w:right="162"/>
              <w:rPr>
                <w:sz w:val="20"/>
              </w:rPr>
            </w:pPr>
            <w:r>
              <w:rPr>
                <w:sz w:val="20"/>
              </w:rPr>
              <w:t>However, since the HEPLISAV group GMC for anti-HBsAg was significantly (</w:t>
            </w:r>
            <w:r>
              <w:rPr>
                <w:i/>
                <w:sz w:val="20"/>
              </w:rPr>
              <w:t xml:space="preserve">P </w:t>
            </w:r>
            <w:r>
              <w:rPr>
                <w:sz w:val="20"/>
              </w:rPr>
              <w:t>≤ 0.0001) higher than the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GMC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period,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CKD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expected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persist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longer than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-B.</w:t>
            </w:r>
          </w:p>
        </w:tc>
      </w:tr>
      <w:tr w:rsidR="00605D2C" w14:paraId="774C3D37" w14:textId="77777777" w:rsidTr="00BE5BDD">
        <w:trPr>
          <w:trHeight w:val="376"/>
        </w:trPr>
        <w:tc>
          <w:tcPr>
            <w:tcW w:w="1490" w:type="dxa"/>
          </w:tcPr>
          <w:p w14:paraId="180513D8" w14:textId="77777777" w:rsidR="00605D2C" w:rsidRDefault="00605D2C" w:rsidP="00BE5BDD">
            <w:pPr>
              <w:pStyle w:val="TableParagraph"/>
              <w:spacing w:before="44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Report:</w:t>
            </w:r>
          </w:p>
        </w:tc>
        <w:tc>
          <w:tcPr>
            <w:tcW w:w="7957" w:type="dxa"/>
            <w:gridSpan w:val="3"/>
          </w:tcPr>
          <w:p w14:paraId="15D714F8" w14:textId="77777777" w:rsidR="00605D2C" w:rsidRDefault="00605D2C" w:rsidP="00BE5BDD">
            <w:pPr>
              <w:pStyle w:val="TableParagraph"/>
              <w:spacing w:before="39"/>
              <w:ind w:left="40"/>
              <w:rPr>
                <w:sz w:val="20"/>
              </w:rPr>
            </w:pPr>
            <w:r>
              <w:rPr>
                <w:sz w:val="20"/>
              </w:rPr>
              <w:t>13 July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2015</w:t>
            </w:r>
          </w:p>
        </w:tc>
      </w:tr>
    </w:tbl>
    <w:p w14:paraId="42D55FFD" w14:textId="77777777" w:rsidR="00605D2C" w:rsidRDefault="00605D2C" w:rsidP="00605D2C"/>
    <w:p w14:paraId="214558AB" w14:textId="0ED0543D" w:rsidR="00605D2C" w:rsidRDefault="00605D2C" w:rsidP="00605D2C">
      <w:pPr>
        <w:pStyle w:val="Heading1"/>
        <w:ind w:left="0"/>
        <w:sectPr w:rsidR="00605D2C">
          <w:type w:val="continuous"/>
          <w:pgSz w:w="12240" w:h="15840"/>
          <w:pgMar w:top="1340" w:right="1120" w:bottom="940" w:left="1140" w:header="722" w:footer="746" w:gutter="0"/>
          <w:cols w:space="720"/>
        </w:sectPr>
      </w:pPr>
    </w:p>
    <w:p w14:paraId="7C6763F2" w14:textId="77777777" w:rsidR="00605D2C" w:rsidRDefault="00605D2C" w:rsidP="00605D2C">
      <w:pPr>
        <w:pStyle w:val="Heading2"/>
        <w:tabs>
          <w:tab w:val="left" w:pos="1020"/>
        </w:tabs>
        <w:spacing w:before="88"/>
        <w:ind w:left="300" w:firstLine="0"/>
      </w:pPr>
      <w:bookmarkStart w:id="0" w:name="2.0_Synopsis"/>
      <w:bookmarkStart w:id="1" w:name="_bookmark2"/>
      <w:bookmarkEnd w:id="0"/>
      <w:bookmarkEnd w:id="1"/>
      <w:r>
        <w:lastRenderedPageBreak/>
        <w:t>2.0</w:t>
      </w:r>
      <w:r>
        <w:tab/>
        <w:t>SYNOPSIS</w:t>
      </w:r>
    </w:p>
    <w:p w14:paraId="2572343A" w14:textId="77777777" w:rsidR="00605D2C" w:rsidRDefault="00605D2C" w:rsidP="00605D2C">
      <w:pPr>
        <w:pStyle w:val="BodyText"/>
        <w:spacing w:before="8"/>
        <w:rPr>
          <w:b/>
          <w:sz w:val="10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39CB83C1" w14:textId="77777777" w:rsidTr="00BE5BDD">
        <w:trPr>
          <w:trHeight w:val="666"/>
        </w:trPr>
        <w:tc>
          <w:tcPr>
            <w:tcW w:w="3284" w:type="dxa"/>
          </w:tcPr>
          <w:p w14:paraId="294A4B8B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2240EF5C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302B6A6C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0C9E8E73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3FD2D40D" w14:textId="77777777" w:rsidTr="00BE5BDD">
        <w:trPr>
          <w:trHeight w:val="664"/>
        </w:trPr>
        <w:tc>
          <w:tcPr>
            <w:tcW w:w="3284" w:type="dxa"/>
          </w:tcPr>
          <w:p w14:paraId="4F8A62D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0AFFE419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15DE59D1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0E286C63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62EB160" w14:textId="77777777" w:rsidTr="00BE5BDD">
        <w:trPr>
          <w:trHeight w:val="666"/>
        </w:trPr>
        <w:tc>
          <w:tcPr>
            <w:tcW w:w="3284" w:type="dxa"/>
          </w:tcPr>
          <w:p w14:paraId="161DD882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1207A847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4ACF7659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13FC03E9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A3C5311" w14:textId="77777777" w:rsidTr="00BE5BDD">
        <w:trPr>
          <w:trHeight w:val="1125"/>
        </w:trPr>
        <w:tc>
          <w:tcPr>
            <w:tcW w:w="9448" w:type="dxa"/>
            <w:gridSpan w:val="3"/>
          </w:tcPr>
          <w:p w14:paraId="08577E67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Title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Study:</w:t>
            </w:r>
          </w:p>
          <w:p w14:paraId="1F98F6AF" w14:textId="77777777" w:rsidR="00605D2C" w:rsidRDefault="00605D2C" w:rsidP="00BE5BDD">
            <w:pPr>
              <w:pStyle w:val="TableParagraph"/>
              <w:spacing w:before="55"/>
              <w:ind w:left="43" w:right="293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Observational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HEPLISAV™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Engerix</w:t>
            </w:r>
            <w:proofErr w:type="spellEnd"/>
            <w:r>
              <w:rPr>
                <w:spacing w:val="-1"/>
                <w:sz w:val="20"/>
              </w:rPr>
              <w:t>-B</w:t>
            </w:r>
            <w:r>
              <w:rPr>
                <w:spacing w:val="-1"/>
                <w:sz w:val="20"/>
                <w:vertAlign w:val="superscript"/>
              </w:rPr>
              <w:t>®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Adults </w:t>
            </w:r>
            <w:proofErr w:type="gramStart"/>
            <w:r>
              <w:rPr>
                <w:spacing w:val="-1"/>
                <w:sz w:val="20"/>
              </w:rPr>
              <w:t>With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Chronic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Kidney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Disease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Who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Have</w:t>
            </w:r>
            <w:r>
              <w:rPr>
                <w:sz w:val="20"/>
              </w:rPr>
              <w:t xml:space="preserve"> Previously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 Hepatitis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</w:p>
        </w:tc>
      </w:tr>
      <w:tr w:rsidR="00605D2C" w14:paraId="3C99608D" w14:textId="77777777" w:rsidTr="00BE5BDD">
        <w:trPr>
          <w:trHeight w:val="897"/>
        </w:trPr>
        <w:tc>
          <w:tcPr>
            <w:tcW w:w="9448" w:type="dxa"/>
            <w:gridSpan w:val="3"/>
          </w:tcPr>
          <w:p w14:paraId="074B958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Investigator(s)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Center(s):</w:t>
            </w:r>
          </w:p>
          <w:p w14:paraId="79B55561" w14:textId="77777777" w:rsidR="00605D2C" w:rsidRDefault="00605D2C" w:rsidP="00BE5BDD">
            <w:pPr>
              <w:pStyle w:val="TableParagraph"/>
              <w:spacing w:before="56"/>
              <w:ind w:left="43" w:right="293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investigators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centers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(US),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centers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Canada,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centers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Germany.</w:t>
            </w:r>
          </w:p>
        </w:tc>
      </w:tr>
      <w:tr w:rsidR="00605D2C" w14:paraId="2264A6EF" w14:textId="77777777" w:rsidTr="00BE5BDD">
        <w:trPr>
          <w:trHeight w:val="664"/>
        </w:trPr>
        <w:tc>
          <w:tcPr>
            <w:tcW w:w="9448" w:type="dxa"/>
            <w:gridSpan w:val="3"/>
          </w:tcPr>
          <w:p w14:paraId="6319D3DE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Publication(s):</w:t>
            </w:r>
          </w:p>
          <w:p w14:paraId="70E1D2E6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None.</w:t>
            </w:r>
          </w:p>
        </w:tc>
      </w:tr>
      <w:tr w:rsidR="00605D2C" w14:paraId="462AAE2F" w14:textId="77777777" w:rsidTr="00BE5BDD">
        <w:trPr>
          <w:trHeight w:val="606"/>
        </w:trPr>
        <w:tc>
          <w:tcPr>
            <w:tcW w:w="3284" w:type="dxa"/>
          </w:tcPr>
          <w:p w14:paraId="0A64EF87" w14:textId="77777777" w:rsidR="00605D2C" w:rsidRDefault="00605D2C" w:rsidP="00BE5BDD">
            <w:pPr>
              <w:pStyle w:val="TableParagraph"/>
              <w:spacing w:before="36"/>
              <w:ind w:left="43"/>
              <w:rPr>
                <w:sz w:val="20"/>
              </w:rPr>
            </w:pPr>
            <w:r>
              <w:rPr>
                <w:b/>
                <w:sz w:val="20"/>
              </w:rPr>
              <w:t>Study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Period:</w:t>
            </w:r>
            <w:r>
              <w:rPr>
                <w:b/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21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November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2011</w:t>
            </w:r>
          </w:p>
          <w:p w14:paraId="5D45B335" w14:textId="77777777" w:rsidR="00605D2C" w:rsidRDefault="00605D2C" w:rsidP="00BE5BD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09 October 2013</w:t>
            </w:r>
          </w:p>
        </w:tc>
        <w:tc>
          <w:tcPr>
            <w:tcW w:w="6164" w:type="dxa"/>
            <w:gridSpan w:val="2"/>
          </w:tcPr>
          <w:p w14:paraId="55F8D5B0" w14:textId="77777777" w:rsidR="00605D2C" w:rsidRDefault="00605D2C" w:rsidP="00BE5BDD">
            <w:pPr>
              <w:pStyle w:val="TableParagraph"/>
              <w:spacing w:before="36"/>
              <w:ind w:left="42"/>
              <w:rPr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Phase:</w:t>
            </w:r>
            <w:r>
              <w:rPr>
                <w:b/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3b</w:t>
            </w:r>
          </w:p>
        </w:tc>
      </w:tr>
      <w:tr w:rsidR="00605D2C" w14:paraId="5C886011" w14:textId="77777777" w:rsidTr="00BE5BDD">
        <w:trPr>
          <w:trHeight w:val="7049"/>
        </w:trPr>
        <w:tc>
          <w:tcPr>
            <w:tcW w:w="9448" w:type="dxa"/>
            <w:gridSpan w:val="3"/>
          </w:tcPr>
          <w:p w14:paraId="6E691478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Objectives:</w:t>
            </w:r>
          </w:p>
          <w:p w14:paraId="50431FCD" w14:textId="77777777" w:rsidR="00605D2C" w:rsidRDefault="00605D2C" w:rsidP="00BE5BDD">
            <w:pPr>
              <w:pStyle w:val="TableParagraph"/>
              <w:spacing w:before="60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Primary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Objective:</w:t>
            </w:r>
          </w:p>
          <w:p w14:paraId="3A27DE01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59" w:line="237" w:lineRule="auto"/>
              <w:ind w:right="88"/>
              <w:rPr>
                <w:sz w:val="20"/>
              </w:rPr>
            </w:pPr>
            <w:r>
              <w:rPr>
                <w:sz w:val="20"/>
              </w:rPr>
              <w:t xml:space="preserve">To evaluate the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induced by HEPLISAV™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z w:val="20"/>
                <w:vertAlign w:val="superscript"/>
              </w:rPr>
              <w:t>®</w:t>
            </w:r>
            <w:r>
              <w:rPr>
                <w:sz w:val="20"/>
              </w:rPr>
              <w:t xml:space="preserve"> as measured 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rate (SPR), defined as the percentage of subjects with antibody to hepatitis B surface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antigen (anti-HBsAg) concentration greater than or equal to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at baseline; starting 5 months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after the secondary vaccine series; starting 6 months to 1 year after the first booster dose and 6 months to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 year after each subsequent booster dose; and starting 6 months after baseline for subjects not requiring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 booster</w:t>
            </w:r>
          </w:p>
          <w:p w14:paraId="267CA0BC" w14:textId="77777777" w:rsidR="00605D2C" w:rsidRDefault="00605D2C" w:rsidP="00BE5BDD">
            <w:pPr>
              <w:pStyle w:val="TableParagraph"/>
              <w:spacing w:before="65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Secondary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Objectives:</w:t>
            </w:r>
          </w:p>
          <w:p w14:paraId="162F1402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66" w:line="230" w:lineRule="auto"/>
              <w:ind w:left="950" w:right="51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chronic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kidney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disease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(CKD)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hepatitis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</w:p>
          <w:p w14:paraId="271F3DAF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76" w:line="228" w:lineRule="auto"/>
              <w:ind w:left="950" w:right="72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this study</w:t>
            </w:r>
          </w:p>
          <w:p w14:paraId="748E3BD0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73" w:line="230" w:lineRule="auto"/>
              <w:ind w:left="950" w:right="57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incidence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this study</w:t>
            </w:r>
          </w:p>
          <w:p w14:paraId="0F998138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3"/>
              </w:tabs>
              <w:spacing w:before="63" w:line="237" w:lineRule="auto"/>
              <w:ind w:left="950" w:right="165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durability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among subjects with diabetes mellitus, at baseline; starting 5 months after the secondary vaccine series;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starting 6 months to 1 year after the first booster dose; 6 months to 1 year after each subsequent booster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dose;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starting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baseline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booster dose</w:t>
            </w:r>
          </w:p>
          <w:p w14:paraId="0EFEEF21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64" w:line="235" w:lineRule="auto"/>
              <w:ind w:right="281"/>
              <w:rPr>
                <w:sz w:val="20"/>
              </w:rPr>
            </w:pPr>
            <w:r>
              <w:rPr>
                <w:sz w:val="20"/>
              </w:rPr>
              <w:t xml:space="preserve">To evaluate the long-term immunogenicity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 SPR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baseline;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 months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 series;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 months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 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first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booster dose and 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year after each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subsequent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 dose</w:t>
            </w:r>
          </w:p>
          <w:p w14:paraId="652877CA" w14:textId="77777777" w:rsidR="00605D2C" w:rsidRDefault="00605D2C" w:rsidP="00BE5BDD">
            <w:pPr>
              <w:pStyle w:val="TableParagraph"/>
              <w:numPr>
                <w:ilvl w:val="0"/>
                <w:numId w:val="28"/>
              </w:numPr>
              <w:tabs>
                <w:tab w:val="left" w:pos="942"/>
                <w:tab w:val="left" w:pos="943"/>
              </w:tabs>
              <w:spacing w:before="67" w:line="235" w:lineRule="auto"/>
              <w:ind w:left="950" w:right="98"/>
              <w:rPr>
                <w:sz w:val="20"/>
              </w:rPr>
            </w:pPr>
            <w:r>
              <w:rPr>
                <w:sz w:val="20"/>
              </w:rPr>
              <w:t xml:space="preserve">To evaluate the long-term immunogenicity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 the percentage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baseline;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secondary vaccine series; starting 6 months to 1 year after the first booster dose; and 6 months to 1 year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after each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subsequent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</w:p>
        </w:tc>
      </w:tr>
    </w:tbl>
    <w:p w14:paraId="76DA444A" w14:textId="77777777" w:rsidR="00605D2C" w:rsidRDefault="00605D2C" w:rsidP="00605D2C">
      <w:pPr>
        <w:spacing w:line="235" w:lineRule="auto"/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2E7ABC1A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27DEB274" w14:textId="77777777" w:rsidTr="00BE5BDD">
        <w:trPr>
          <w:trHeight w:val="667"/>
        </w:trPr>
        <w:tc>
          <w:tcPr>
            <w:tcW w:w="3284" w:type="dxa"/>
          </w:tcPr>
          <w:p w14:paraId="358EF69B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489764E3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7306245D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4DAE0410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4E94BC1B" w14:textId="77777777" w:rsidTr="00BE5BDD">
        <w:trPr>
          <w:trHeight w:val="664"/>
        </w:trPr>
        <w:tc>
          <w:tcPr>
            <w:tcW w:w="3284" w:type="dxa"/>
          </w:tcPr>
          <w:p w14:paraId="2570E169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768447BE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4BC1329E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4DBFB522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3474EF3C" w14:textId="77777777" w:rsidTr="00BE5BDD">
        <w:trPr>
          <w:trHeight w:val="666"/>
        </w:trPr>
        <w:tc>
          <w:tcPr>
            <w:tcW w:w="3284" w:type="dxa"/>
          </w:tcPr>
          <w:p w14:paraId="3B01411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3A2AA456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10EF4BB1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47376D9D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05386147" w14:textId="77777777" w:rsidTr="00BE5BDD">
        <w:trPr>
          <w:trHeight w:val="1120"/>
        </w:trPr>
        <w:tc>
          <w:tcPr>
            <w:tcW w:w="9448" w:type="dxa"/>
            <w:gridSpan w:val="3"/>
          </w:tcPr>
          <w:p w14:paraId="050AAA6A" w14:textId="77777777" w:rsidR="00605D2C" w:rsidRDefault="00605D2C" w:rsidP="00BE5BDD">
            <w:pPr>
              <w:pStyle w:val="TableParagraph"/>
              <w:numPr>
                <w:ilvl w:val="0"/>
                <w:numId w:val="27"/>
              </w:numPr>
              <w:tabs>
                <w:tab w:val="left" w:pos="942"/>
                <w:tab w:val="left" w:pos="943"/>
              </w:tabs>
              <w:spacing w:before="41" w:line="235" w:lineRule="auto"/>
              <w:ind w:right="246" w:hanging="360"/>
              <w:rPr>
                <w:sz w:val="20"/>
              </w:rPr>
            </w:pPr>
            <w:r>
              <w:rPr>
                <w:sz w:val="20"/>
              </w:rPr>
              <w:t xml:space="preserve">To evaluate the long-term immunogenicity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as measured by anti-HBsAg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geometric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(GMC)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baseline;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series;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starting 6 months to 1 year after the first booster dose; and 6 months to 1 year after each subsequent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</w:p>
        </w:tc>
      </w:tr>
      <w:tr w:rsidR="00605D2C" w14:paraId="64136253" w14:textId="77777777" w:rsidTr="00BE5BDD">
        <w:trPr>
          <w:trHeight w:val="9488"/>
        </w:trPr>
        <w:tc>
          <w:tcPr>
            <w:tcW w:w="9448" w:type="dxa"/>
            <w:gridSpan w:val="3"/>
          </w:tcPr>
          <w:p w14:paraId="5EF8A02E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Methods:</w:t>
            </w:r>
          </w:p>
          <w:p w14:paraId="0325F82E" w14:textId="77777777" w:rsidR="00605D2C" w:rsidRDefault="00605D2C" w:rsidP="00BE5BDD">
            <w:pPr>
              <w:pStyle w:val="TableParagraph"/>
              <w:spacing w:before="55"/>
              <w:ind w:left="43" w:right="124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months)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revaccination/booster study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adult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older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CKD who previously received a complete series of either HEPLISAV 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in study DV2-HBV-17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(hereafter referred to as HBV-17). Enrollment into the current study (hereafter referred to as HBV-19) was to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offered to everyone who had participated in HBV-17 and completed a full series of hepatitis B vaccine. Eligible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subjects were assigned to one of the following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categories at enrollment </w:t>
            </w:r>
            <w:proofErr w:type="gramStart"/>
            <w:r>
              <w:rPr>
                <w:sz w:val="20"/>
              </w:rPr>
              <w:t>on the basis of</w:t>
            </w:r>
            <w:proofErr w:type="gramEnd"/>
            <w:r>
              <w:rPr>
                <w:sz w:val="20"/>
              </w:rPr>
              <w:t xml:space="preserve">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immunologic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response.</w:t>
            </w:r>
          </w:p>
          <w:p w14:paraId="62AEACAA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Subjects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During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HBV-17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Enrollment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HBV-19</w:t>
            </w:r>
          </w:p>
          <w:p w14:paraId="6222D930" w14:textId="77777777" w:rsidR="00605D2C" w:rsidRDefault="00605D2C" w:rsidP="00BE5BDD">
            <w:pPr>
              <w:pStyle w:val="TableParagraph"/>
              <w:spacing w:before="61"/>
              <w:ind w:left="33"/>
              <w:rPr>
                <w:sz w:val="20"/>
              </w:rPr>
            </w:pP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followed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assessment of long-term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. If a subject’s anti-HBsAg level decreased to less than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reassigned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receive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booster.</w:t>
            </w:r>
          </w:p>
          <w:p w14:paraId="6DF2F8B3" w14:textId="77777777" w:rsidR="00605D2C" w:rsidRDefault="00605D2C" w:rsidP="00BE5BDD">
            <w:pPr>
              <w:pStyle w:val="TableParagraph"/>
              <w:spacing w:before="58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Subjects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During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HBV-17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 Not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Enrollment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HBV-19</w:t>
            </w:r>
          </w:p>
          <w:p w14:paraId="1D3BEB4F" w14:textId="77777777" w:rsidR="00605D2C" w:rsidRDefault="00605D2C" w:rsidP="00BE5BDD">
            <w:pPr>
              <w:pStyle w:val="TableParagraph"/>
              <w:spacing w:before="61"/>
              <w:ind w:left="33" w:right="209"/>
              <w:rPr>
                <w:sz w:val="20"/>
              </w:rPr>
            </w:pPr>
            <w:r>
              <w:rPr>
                <w:sz w:val="20"/>
              </w:rPr>
              <w:t>Subjects who were seroprotected by their primary hepatitis B vaccine series in HBV-17 were to receive a 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injection of the same study treatment they received in HBV-17 if their anti-HBsAg level was less than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0.</w:t>
            </w:r>
          </w:p>
          <w:p w14:paraId="1EBEE7FA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Subjects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Who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Were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Not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Seroprotected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in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HBV-17</w:t>
            </w:r>
          </w:p>
          <w:p w14:paraId="1CD63717" w14:textId="77777777" w:rsidR="00605D2C" w:rsidRDefault="00605D2C" w:rsidP="00BE5BDD">
            <w:pPr>
              <w:pStyle w:val="TableParagraph"/>
              <w:spacing w:before="60"/>
              <w:ind w:left="52" w:right="368"/>
              <w:rPr>
                <w:sz w:val="20"/>
              </w:rPr>
            </w:pPr>
            <w:r>
              <w:rPr>
                <w:sz w:val="20"/>
              </w:rPr>
              <w:t>Subjects who did not respond to their primary hepatitis B vaccine series (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, their anti-HBsAg level never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reached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/mL) were to receive a second series of the same study treatment they received in HBV-17.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These subjects were to receive either HEPLISAV 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injections at Month 0/Week 0, Month 1/Week 4,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6/Week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24.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achieved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</w:p>
          <w:p w14:paraId="610C3BF4" w14:textId="77777777" w:rsidR="00605D2C" w:rsidRDefault="00605D2C" w:rsidP="00BE5BDD">
            <w:pPr>
              <w:pStyle w:val="TableParagraph"/>
              <w:spacing w:before="2"/>
              <w:ind w:left="52" w:right="124"/>
              <w:rPr>
                <w:sz w:val="20"/>
              </w:rPr>
            </w:pPr>
            <w:r>
              <w:rPr>
                <w:sz w:val="20"/>
              </w:rPr>
              <w:t xml:space="preserve">then followed every 6 months for measurement of anti-HBsAg </w:t>
            </w:r>
            <w:proofErr w:type="gramStart"/>
            <w:r>
              <w:rPr>
                <w:sz w:val="20"/>
              </w:rPr>
              <w:t>levels, and</w:t>
            </w:r>
            <w:proofErr w:type="gramEnd"/>
            <w:r>
              <w:rPr>
                <w:sz w:val="20"/>
              </w:rPr>
              <w:t xml:space="preserve"> were reassigned to receive a booster. If 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subject's anti-HBsAg level was less than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after the secondary vaccine series, the subject was not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receive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additional booster 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followed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for safety 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study.</w:t>
            </w:r>
          </w:p>
          <w:p w14:paraId="2D64EE3C" w14:textId="77777777" w:rsidR="00605D2C" w:rsidRDefault="00605D2C" w:rsidP="00BE5BDD">
            <w:pPr>
              <w:pStyle w:val="TableParagraph"/>
              <w:spacing w:before="59"/>
              <w:ind w:left="52"/>
              <w:rPr>
                <w:sz w:val="20"/>
              </w:rPr>
            </w:pPr>
            <w:r>
              <w:rPr>
                <w:sz w:val="20"/>
              </w:rPr>
              <w:t>In Germany, investigators were able to use their discretion regarding provision of booster injections following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German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Committee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(STIKO)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recommendations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hemodialysis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booster dose when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 anti-HBsAg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decreases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</w:p>
          <w:p w14:paraId="14145189" w14:textId="77777777" w:rsidR="00605D2C" w:rsidRDefault="00605D2C" w:rsidP="00BE5BDD">
            <w:pPr>
              <w:pStyle w:val="TableParagraph"/>
              <w:spacing w:before="61"/>
              <w:ind w:left="52"/>
              <w:rPr>
                <w:sz w:val="20"/>
              </w:rPr>
            </w:pPr>
            <w:r>
              <w:rPr>
                <w:sz w:val="20"/>
              </w:rPr>
              <w:t>All subjects were to be monitored for safety until study completion. Safety evaluations included assessments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solicited local and systemic post-injection reactions for 7 days following each study injection; adverse events (AEs)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serious adverse events (SAEs) through 4 weeks following a secondary vaccine series or 4 weeks following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 injection; and AEs of special interest (AESIs; including autoimmune AEs) until study completion. (Note: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Germany, the SAE reporting period was through 6 months following a secondary vaccine series or a booster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injection).</w:t>
            </w:r>
          </w:p>
          <w:p w14:paraId="6A88B129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>Durability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assessed 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19015B2C" w14:textId="77777777" w:rsidR="00605D2C" w:rsidRDefault="00605D2C" w:rsidP="00BE5BDD">
            <w:pPr>
              <w:pStyle w:val="TableParagraph"/>
              <w:ind w:left="43" w:right="318"/>
              <w:rPr>
                <w:sz w:val="20"/>
              </w:rPr>
            </w:pPr>
            <w:r>
              <w:rPr>
                <w:sz w:val="20"/>
              </w:rPr>
              <w:t>Month 0/Week 0 and at scheduled study visits until study completion. Anti-HBsAg serum concentrations 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measured using the Ortho </w:t>
            </w:r>
            <w:proofErr w:type="spellStart"/>
            <w:r>
              <w:rPr>
                <w:sz w:val="20"/>
              </w:rPr>
              <w:t>Vitros</w:t>
            </w:r>
            <w:proofErr w:type="spellEnd"/>
            <w:r>
              <w:rPr>
                <w:sz w:val="20"/>
                <w:vertAlign w:val="superscript"/>
              </w:rPr>
              <w:t>®</w:t>
            </w:r>
            <w:r>
              <w:rPr>
                <w:sz w:val="20"/>
              </w:rPr>
              <w:t xml:space="preserve"> enhanced chemiluminescence immunoassay.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was defined as 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report,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assessing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the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, durability of antibody concentrations greater than or equal to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antibody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</w:tc>
      </w:tr>
    </w:tbl>
    <w:p w14:paraId="56B004F5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39BB200B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72E1CFE1" w14:textId="77777777" w:rsidTr="00BE5BDD">
        <w:trPr>
          <w:trHeight w:val="667"/>
        </w:trPr>
        <w:tc>
          <w:tcPr>
            <w:tcW w:w="3284" w:type="dxa"/>
          </w:tcPr>
          <w:p w14:paraId="5AC91532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6F3EF8C7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5DDACD6C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2E078E10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6C619517" w14:textId="77777777" w:rsidTr="00BE5BDD">
        <w:trPr>
          <w:trHeight w:val="664"/>
        </w:trPr>
        <w:tc>
          <w:tcPr>
            <w:tcW w:w="3284" w:type="dxa"/>
          </w:tcPr>
          <w:p w14:paraId="5BF0E34C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434CBE7D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7234A01E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7EF8F83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2069DEDD" w14:textId="77777777" w:rsidTr="00BE5BDD">
        <w:trPr>
          <w:trHeight w:val="666"/>
        </w:trPr>
        <w:tc>
          <w:tcPr>
            <w:tcW w:w="3284" w:type="dxa"/>
          </w:tcPr>
          <w:p w14:paraId="76A180E6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2CDAE6F9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64DBBC31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5CCF868E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5C8AFA7F" w14:textId="77777777" w:rsidTr="00BE5BDD">
        <w:trPr>
          <w:trHeight w:val="666"/>
        </w:trPr>
        <w:tc>
          <w:tcPr>
            <w:tcW w:w="9448" w:type="dxa"/>
            <w:gridSpan w:val="3"/>
          </w:tcPr>
          <w:p w14:paraId="18977FA2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Subjects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Planned:</w:t>
            </w:r>
          </w:p>
          <w:p w14:paraId="070817F0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Approximately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subjects.</w:t>
            </w:r>
          </w:p>
        </w:tc>
      </w:tr>
      <w:tr w:rsidR="00605D2C" w14:paraId="790479B5" w14:textId="77777777" w:rsidTr="00BE5BDD">
        <w:trPr>
          <w:trHeight w:val="1814"/>
        </w:trPr>
        <w:tc>
          <w:tcPr>
            <w:tcW w:w="9448" w:type="dxa"/>
            <w:gridSpan w:val="3"/>
          </w:tcPr>
          <w:p w14:paraId="5AB8CFB3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Subjects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Enrolled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Analyzed:</w:t>
            </w:r>
          </w:p>
          <w:p w14:paraId="7F04DFA3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A total of 147 subjects (109 in the US, 17 in Canada, and 21 in Germany) were enrolled and included in the safety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analysis data set. Among subjects seroprotected in HBV-17, 9 subjects were removed from the immunogenicity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GCP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non-compliance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42).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seroprotected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upon entry into HBV-19 and received no study treatment during HBV-19, therefore there were 138 total 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66;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72) in the modified intent-to-treat (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>) population for immunogenicity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analyses.</w:t>
            </w:r>
          </w:p>
        </w:tc>
      </w:tr>
      <w:tr w:rsidR="00605D2C" w14:paraId="5E882898" w14:textId="77777777" w:rsidTr="00BE5BDD">
        <w:trPr>
          <w:trHeight w:val="1585"/>
        </w:trPr>
        <w:tc>
          <w:tcPr>
            <w:tcW w:w="9448" w:type="dxa"/>
            <w:gridSpan w:val="3"/>
          </w:tcPr>
          <w:p w14:paraId="3BBDFA9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Diagnosis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Criteria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Eligibility:</w:t>
            </w:r>
          </w:p>
          <w:p w14:paraId="0242FA47" w14:textId="77777777" w:rsidR="00605D2C" w:rsidRDefault="00605D2C" w:rsidP="00BE5BDD">
            <w:pPr>
              <w:pStyle w:val="TableParagraph"/>
              <w:spacing w:before="55"/>
              <w:ind w:left="43" w:right="124"/>
              <w:rPr>
                <w:sz w:val="20"/>
              </w:rPr>
            </w:pPr>
            <w:r>
              <w:rPr>
                <w:sz w:val="20"/>
              </w:rPr>
              <w:t>Eligible subjects were adults 18 years of age and older with CKD who were previously enrolled in HBV-17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received a complete primary series of either HEPLISAV 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-B. Subjects had to be clinically stable 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investigator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consent.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excluded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had received commercially available hepatitis B vaccine other than study treatment; had a known history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autoimmune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 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unwilling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comply with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protocol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requirements.</w:t>
            </w:r>
          </w:p>
        </w:tc>
      </w:tr>
      <w:tr w:rsidR="00605D2C" w14:paraId="5A8AA9F9" w14:textId="77777777" w:rsidTr="00BE5BDD">
        <w:trPr>
          <w:trHeight w:val="1936"/>
        </w:trPr>
        <w:tc>
          <w:tcPr>
            <w:tcW w:w="9448" w:type="dxa"/>
            <w:gridSpan w:val="3"/>
          </w:tcPr>
          <w:p w14:paraId="288A2EE8" w14:textId="77777777" w:rsidR="00605D2C" w:rsidRDefault="00605D2C" w:rsidP="00BE5BDD">
            <w:pPr>
              <w:pStyle w:val="TableParagraph"/>
              <w:spacing w:before="41"/>
              <w:ind w:left="4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Test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Mode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Administration,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Batch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Number:</w:t>
            </w:r>
          </w:p>
          <w:p w14:paraId="58364309" w14:textId="77777777" w:rsidR="00605D2C" w:rsidRDefault="00605D2C" w:rsidP="00BE5BDD">
            <w:pPr>
              <w:pStyle w:val="TableParagraph"/>
              <w:spacing w:before="55"/>
              <w:ind w:left="43" w:right="4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The test product (HEPLISAV) was 20 mcg recombinant HBsAg subtype </w:t>
            </w:r>
            <w:proofErr w:type="spellStart"/>
            <w:r>
              <w:rPr>
                <w:i/>
                <w:sz w:val="20"/>
              </w:rPr>
              <w:t>adw</w:t>
            </w:r>
            <w:proofErr w:type="spellEnd"/>
            <w:r>
              <w:rPr>
                <w:i/>
                <w:sz w:val="20"/>
              </w:rPr>
              <w:t xml:space="preserve"> </w:t>
            </w:r>
            <w:r>
              <w:rPr>
                <w:sz w:val="20"/>
              </w:rPr>
              <w:t>with 3000 mcg 1018 ISS adjuvant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manufactured 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Rentschler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Biotechnologie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GmbH in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Laupheim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Germany.</w:t>
            </w:r>
          </w:p>
          <w:p w14:paraId="34B6986C" w14:textId="77777777" w:rsidR="00605D2C" w:rsidRDefault="00605D2C" w:rsidP="00BE5BDD">
            <w:pPr>
              <w:pStyle w:val="TableParagraph"/>
              <w:spacing w:before="61"/>
              <w:ind w:left="43" w:right="308"/>
              <w:jc w:val="both"/>
              <w:rPr>
                <w:sz w:val="20"/>
              </w:rPr>
            </w:pPr>
            <w:r>
              <w:rPr>
                <w:sz w:val="20"/>
              </w:rPr>
              <w:t>Subjects who received HEPLISAV as the secondary vaccine series received a single intramuscular (IM) injection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(0.5 mL)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deltoid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muscle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0/Week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Month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6/Week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injections were administered following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</w:p>
          <w:p w14:paraId="5C022D24" w14:textId="77777777" w:rsidR="00605D2C" w:rsidRDefault="00605D2C" w:rsidP="00BE5BDD">
            <w:pPr>
              <w:pStyle w:val="TableParagraph"/>
              <w:spacing w:before="59"/>
              <w:ind w:left="43"/>
              <w:jc w:val="both"/>
              <w:rPr>
                <w:sz w:val="20"/>
              </w:rPr>
            </w:pPr>
            <w:r>
              <w:rPr>
                <w:sz w:val="20"/>
              </w:rPr>
              <w:t>Lot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numbers: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TDG010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TDG013</w:t>
            </w:r>
          </w:p>
        </w:tc>
      </w:tr>
      <w:tr w:rsidR="00605D2C" w14:paraId="371A4C0F" w14:textId="77777777" w:rsidTr="00BE5BDD">
        <w:trPr>
          <w:trHeight w:val="1355"/>
        </w:trPr>
        <w:tc>
          <w:tcPr>
            <w:tcW w:w="9448" w:type="dxa"/>
            <w:gridSpan w:val="3"/>
          </w:tcPr>
          <w:p w14:paraId="14A7A4E1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Duration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Treatment:</w:t>
            </w:r>
          </w:p>
          <w:p w14:paraId="7E6D0308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 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expected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remain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minimum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weeks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injection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maximum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48 months for follow up. This study was terminated after approximately 24 months for administrative reasons based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on the company’s evaluation of the CKD and HEPLISAV program, and not due to a safety concern or lack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efficacy.</w:t>
            </w:r>
          </w:p>
        </w:tc>
      </w:tr>
      <w:tr w:rsidR="00605D2C" w14:paraId="02A8CBE8" w14:textId="77777777" w:rsidTr="00BE5BDD">
        <w:trPr>
          <w:trHeight w:val="2397"/>
        </w:trPr>
        <w:tc>
          <w:tcPr>
            <w:tcW w:w="9448" w:type="dxa"/>
            <w:gridSpan w:val="3"/>
          </w:tcPr>
          <w:p w14:paraId="06E4A28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Reference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Therapy,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Administration,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Batch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Number:</w:t>
            </w:r>
          </w:p>
          <w:p w14:paraId="0C3D09E4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therapy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z w:val="20"/>
                <w:vertAlign w:val="superscript"/>
              </w:rPr>
              <w:t>®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mcg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recombinant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combined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mcg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adjuvant)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manufactured 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GlaxoSmithKline Biologicals.</w:t>
            </w:r>
          </w:p>
          <w:p w14:paraId="1CB11D50" w14:textId="77777777" w:rsidR="00605D2C" w:rsidRDefault="00605D2C" w:rsidP="00BE5BDD">
            <w:pPr>
              <w:pStyle w:val="TableParagraph"/>
              <w:spacing w:before="61"/>
              <w:ind w:left="43" w:right="293"/>
              <w:rPr>
                <w:sz w:val="20"/>
              </w:rPr>
            </w:pP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vaccine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1.0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total dose of 40 mcg HBsAg and 1 mg alum) in the deltoid muscle at Month 0/Week 0, Month 1/Week 4,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6/Week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24.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booster injections 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</w:t>
            </w:r>
          </w:p>
          <w:p w14:paraId="51BE435A" w14:textId="77777777" w:rsidR="00605D2C" w:rsidRDefault="00605D2C" w:rsidP="00BE5BDD">
            <w:pPr>
              <w:pStyle w:val="TableParagraph"/>
              <w:spacing w:line="229" w:lineRule="exact"/>
              <w:ind w:left="43"/>
              <w:rPr>
                <w:sz w:val="20"/>
              </w:rPr>
            </w:pPr>
            <w:r>
              <w:rPr>
                <w:sz w:val="20"/>
              </w:rPr>
              <w:t>below10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</w:p>
          <w:p w14:paraId="0B2AC3DE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</w:rPr>
              <w:t>Lot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numbers: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AHBVB910AA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AHBVC111AA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(US),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AHBVB925AB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AHBVC145AM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(Canada),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AHBVB988AB 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AHBVC016AC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(Germany).</w:t>
            </w:r>
          </w:p>
        </w:tc>
      </w:tr>
      <w:tr w:rsidR="00605D2C" w14:paraId="6ED8E582" w14:textId="77777777" w:rsidTr="00BE5BDD">
        <w:trPr>
          <w:trHeight w:val="834"/>
        </w:trPr>
        <w:tc>
          <w:tcPr>
            <w:tcW w:w="9448" w:type="dxa"/>
            <w:gridSpan w:val="3"/>
          </w:tcPr>
          <w:p w14:paraId="20A335DC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Statistical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Methods:</w:t>
            </w:r>
          </w:p>
          <w:p w14:paraId="305603B4" w14:textId="77777777" w:rsidR="00605D2C" w:rsidRDefault="00605D2C" w:rsidP="00BE5BDD">
            <w:pPr>
              <w:pStyle w:val="TableParagraph"/>
              <w:spacing w:before="57" w:line="237" w:lineRule="auto"/>
              <w:ind w:left="43"/>
              <w:rPr>
                <w:sz w:val="20"/>
              </w:rPr>
            </w:pPr>
            <w:r>
              <w:rPr>
                <w:sz w:val="20"/>
              </w:rPr>
              <w:t xml:space="preserve">The comparisons of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with regards to demographics and baseline characteristics,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immunogenicity,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endpoints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descriptive.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analyses were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performed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</w:tr>
    </w:tbl>
    <w:p w14:paraId="11E99342" w14:textId="77777777" w:rsidR="00605D2C" w:rsidRDefault="00605D2C" w:rsidP="00605D2C">
      <w:pPr>
        <w:spacing w:line="237" w:lineRule="auto"/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48C2F529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3054B7E3" w14:textId="77777777" w:rsidTr="00BE5BDD">
        <w:trPr>
          <w:trHeight w:val="667"/>
        </w:trPr>
        <w:tc>
          <w:tcPr>
            <w:tcW w:w="3284" w:type="dxa"/>
          </w:tcPr>
          <w:p w14:paraId="7A4409D8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1F3AAF83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296BFACD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2E814584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1B365494" w14:textId="77777777" w:rsidTr="00BE5BDD">
        <w:trPr>
          <w:trHeight w:val="664"/>
        </w:trPr>
        <w:tc>
          <w:tcPr>
            <w:tcW w:w="3284" w:type="dxa"/>
          </w:tcPr>
          <w:p w14:paraId="3D1F5EA0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777DEDD3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35199F5B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33032885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442F584" w14:textId="77777777" w:rsidTr="00BE5BDD">
        <w:trPr>
          <w:trHeight w:val="666"/>
        </w:trPr>
        <w:tc>
          <w:tcPr>
            <w:tcW w:w="3284" w:type="dxa"/>
          </w:tcPr>
          <w:p w14:paraId="0E577894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4CB96BD4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006A8859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11FD7A21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786B108" w14:textId="77777777" w:rsidTr="00BE5BDD">
        <w:trPr>
          <w:trHeight w:val="5736"/>
        </w:trPr>
        <w:tc>
          <w:tcPr>
            <w:tcW w:w="9448" w:type="dxa"/>
            <w:gridSpan w:val="3"/>
          </w:tcPr>
          <w:p w14:paraId="57D1B0C4" w14:textId="77777777" w:rsidR="00605D2C" w:rsidRDefault="00605D2C" w:rsidP="00BE5BDD">
            <w:pPr>
              <w:pStyle w:val="TableParagraph"/>
              <w:spacing w:before="36"/>
              <w:ind w:left="43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</w:p>
          <w:p w14:paraId="22772F43" w14:textId="77777777" w:rsidR="00605D2C" w:rsidRDefault="00605D2C" w:rsidP="00BE5BDD">
            <w:pPr>
              <w:pStyle w:val="TableParagraph"/>
              <w:spacing w:before="60"/>
              <w:ind w:left="43" w:right="55"/>
              <w:rPr>
                <w:sz w:val="20"/>
              </w:rPr>
            </w:pPr>
            <w:r>
              <w:rPr>
                <w:sz w:val="20"/>
                <w:u w:val="single"/>
              </w:rPr>
              <w:t>Demographic and Baseline Characteristics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summary statistics for continuous variables were comprised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mean, median, standard deviation (SD), and quartile (Q1-Q3). Categorical variables were summarized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frequency and proportion. The demographic and baseline characteristics summary </w:t>
            </w:r>
            <w:proofErr w:type="gramStart"/>
            <w:r>
              <w:rPr>
                <w:sz w:val="20"/>
              </w:rPr>
              <w:t>was</w:t>
            </w:r>
            <w:proofErr w:type="gramEnd"/>
            <w:r>
              <w:rPr>
                <w:sz w:val="20"/>
              </w:rPr>
              <w:t xml:space="preserve"> provided for subjects who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enrolled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 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HBV-17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population.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 who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enrolled 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population.</w:t>
            </w:r>
          </w:p>
          <w:p w14:paraId="515CF1EF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Immunogenicity Analysis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All time-to-event analyses, such as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, anti-HBsAg greater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analyzed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treatment group (HEPLISAV,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-B) using the Kaplan-Meier method. The anti-HBsAg concentrations 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summarized using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geometric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means.</w:t>
            </w:r>
          </w:p>
          <w:p w14:paraId="75BA3A6F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antibody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estimated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treatment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</w:p>
          <w:p w14:paraId="0460A1A6" w14:textId="77777777" w:rsidR="00605D2C" w:rsidRDefault="00605D2C" w:rsidP="00BE5BDD">
            <w:pPr>
              <w:pStyle w:val="TableParagraph"/>
              <w:ind w:left="43" w:right="144"/>
              <w:rPr>
                <w:sz w:val="20"/>
              </w:rPr>
            </w:pPr>
            <w:r>
              <w:rPr>
                <w:sz w:val="20"/>
              </w:rPr>
              <w:t xml:space="preserve">(anti-HBsAg concentrations greater than or equal to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/mL) in HBV-17 and enrolled in HBV-19. The data for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7 subjects who received injections when their anti-HBsAg concentrations were between 10 and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according to STIKO recommendations were censored for this analysis. To estimate the antibody decay curve 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time,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mixed-linear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model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repeated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measure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fitted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log</w:t>
            </w:r>
            <w:r>
              <w:rPr>
                <w:sz w:val="20"/>
                <w:vertAlign w:val="subscript"/>
              </w:rPr>
              <w:t>10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transformed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concentrations starting from time of peak concentration within each subject. The model included treatment group,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days, and log</w:t>
            </w:r>
            <w:r>
              <w:rPr>
                <w:sz w:val="20"/>
                <w:vertAlign w:val="subscript"/>
              </w:rPr>
              <w:t>10</w:t>
            </w:r>
            <w:r>
              <w:rPr>
                <w:sz w:val="20"/>
              </w:rPr>
              <w:t>-transformed days as fixed effects and subjects as a random effect. The estimated model then was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raised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10</w:t>
            </w:r>
            <w:r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power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obtain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estimated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function.</w:t>
            </w:r>
          </w:p>
          <w:p w14:paraId="0A261162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Safety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Analysis</w:t>
            </w:r>
            <w:r>
              <w:rPr>
                <w:sz w:val="20"/>
              </w:rPr>
              <w:t>: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systemic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post-injection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reactions,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AESIs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 analyzed.</w:t>
            </w:r>
          </w:p>
          <w:p w14:paraId="7175994A" w14:textId="77777777" w:rsidR="00605D2C" w:rsidRDefault="00605D2C" w:rsidP="00BE5BDD">
            <w:pPr>
              <w:pStyle w:val="TableParagraph"/>
              <w:spacing w:before="60"/>
              <w:ind w:left="52" w:right="90"/>
              <w:rPr>
                <w:sz w:val="20"/>
              </w:rPr>
            </w:pPr>
            <w:r>
              <w:rPr>
                <w:sz w:val="20"/>
                <w:u w:val="single"/>
              </w:rPr>
              <w:t>Analysis Populations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safety population comprised all subjects excluding those who had no on-study safety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defined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excluding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those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immunogenicity analyses. Subjects who received the wrong study vaccine(s) were analyzed "as-treated" 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analysis,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"as-randomized"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analysis.</w:t>
            </w:r>
          </w:p>
        </w:tc>
      </w:tr>
    </w:tbl>
    <w:p w14:paraId="15425135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2C3214CE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2D366A4B" w14:textId="77777777" w:rsidTr="00BE5BDD">
        <w:trPr>
          <w:trHeight w:val="667"/>
        </w:trPr>
        <w:tc>
          <w:tcPr>
            <w:tcW w:w="3284" w:type="dxa"/>
          </w:tcPr>
          <w:p w14:paraId="1854DF4E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0B077D38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395B8491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06F98380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7F4252C9" w14:textId="77777777" w:rsidTr="00BE5BDD">
        <w:trPr>
          <w:trHeight w:val="664"/>
        </w:trPr>
        <w:tc>
          <w:tcPr>
            <w:tcW w:w="3284" w:type="dxa"/>
          </w:tcPr>
          <w:p w14:paraId="1B9879D8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43870898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2E6180BE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D94C479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3483D0DB" w14:textId="77777777" w:rsidTr="00BE5BDD">
        <w:trPr>
          <w:trHeight w:val="666"/>
        </w:trPr>
        <w:tc>
          <w:tcPr>
            <w:tcW w:w="3284" w:type="dxa"/>
          </w:tcPr>
          <w:p w14:paraId="2E6EDA8A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6DC29ACD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5DB98CED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32605403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0C839DCF" w14:textId="77777777" w:rsidTr="00BE5BDD">
        <w:trPr>
          <w:trHeight w:val="6535"/>
        </w:trPr>
        <w:tc>
          <w:tcPr>
            <w:tcW w:w="9448" w:type="dxa"/>
            <w:gridSpan w:val="3"/>
          </w:tcPr>
          <w:p w14:paraId="3FF02C43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Disposition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Demographics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Results:</w:t>
            </w:r>
          </w:p>
          <w:p w14:paraId="7BDEE3D9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HBV-19 was designed with the expectation that subjects would enroll in HBV-19 immediately following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completion of HBV-17. However, because of the long duration of enrollment in HBV-17 and the need to protect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blind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completing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enrolling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30D7F00C" w14:textId="77777777" w:rsidR="00605D2C" w:rsidRDefault="00605D2C" w:rsidP="00BE5BDD">
            <w:pPr>
              <w:pStyle w:val="TableParagraph"/>
              <w:spacing w:line="229" w:lineRule="exact"/>
              <w:ind w:left="43"/>
              <w:rPr>
                <w:sz w:val="20"/>
              </w:rPr>
            </w:pPr>
            <w:r>
              <w:rPr>
                <w:sz w:val="20"/>
              </w:rPr>
              <w:t>213.5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and 237.5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</w:p>
          <w:p w14:paraId="6720CBB5" w14:textId="77777777" w:rsidR="00605D2C" w:rsidRDefault="00605D2C" w:rsidP="00BE5BDD">
            <w:pPr>
              <w:pStyle w:val="TableParagraph"/>
              <w:spacing w:before="61"/>
              <w:ind w:left="43" w:right="308"/>
              <w:jc w:val="both"/>
              <w:rPr>
                <w:sz w:val="20"/>
              </w:rPr>
            </w:pPr>
            <w:r>
              <w:rPr>
                <w:sz w:val="20"/>
              </w:rPr>
              <w:t>Among the 147 subjects in the safety population, 105 were seroprotected during HBV-17 at their enrollment into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HBV-19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55;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50). During the study, 16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8;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8)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eventually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single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Twenty-three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10;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</w:p>
          <w:p w14:paraId="7033C64D" w14:textId="77777777" w:rsidR="00605D2C" w:rsidRDefault="00605D2C" w:rsidP="00BE5BDD">
            <w:pPr>
              <w:pStyle w:val="TableParagraph"/>
              <w:spacing w:before="2"/>
              <w:ind w:left="43" w:right="210"/>
              <w:jc w:val="both"/>
              <w:rPr>
                <w:sz w:val="20"/>
              </w:rPr>
            </w:pPr>
            <w:r>
              <w:rPr>
                <w:sz w:val="20"/>
              </w:rPr>
              <w:t>n = 13) who were seroprotected during HBV-17 but were no longer seroprotected at enrollment into HBV-19 were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assigned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receive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booster.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these 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received 1 booster dose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4;</w:t>
            </w:r>
            <w:proofErr w:type="gramEnd"/>
          </w:p>
          <w:p w14:paraId="0D4B793A" w14:textId="77777777" w:rsidR="00605D2C" w:rsidRDefault="00605D2C" w:rsidP="00BE5BDD">
            <w:pPr>
              <w:pStyle w:val="TableParagraph"/>
              <w:ind w:left="43" w:right="46"/>
              <w:rPr>
                <w:sz w:val="20"/>
              </w:rPr>
            </w:pP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 n = 10), 2 booster doses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4;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3), or 3 booster doses (HEPLISAV: n = 2).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Nineteen subjects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8;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n = 11) who were not seroprotected during HBV-17 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assigned to receive a second vaccine series. During the study, these subjects received 1 dose of vaccine (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1), 2 doses of vaccine (HEPLISAV: n = 1), 3 doses of vaccine (HEPLISAV: n = 5;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 n = 6), or 3 doses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 vaccine plus 1 booster dose (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4). Therefore, during HBV-19, a total of 56 subjects (33%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HEPLISAV group and 43% of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group) were dosed and 91 subjects, including the 9 subjects from Site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142 who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seroprotected at study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enrollment, received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injections.</w:t>
            </w:r>
          </w:p>
          <w:p w14:paraId="23766649" w14:textId="77777777" w:rsidR="00605D2C" w:rsidRDefault="00605D2C" w:rsidP="00BE5BDD">
            <w:pPr>
              <w:pStyle w:val="TableParagraph"/>
              <w:spacing w:before="59"/>
              <w:ind w:left="43" w:right="256"/>
              <w:rPr>
                <w:sz w:val="20"/>
              </w:rPr>
            </w:pPr>
            <w:r>
              <w:rPr>
                <w:sz w:val="20"/>
              </w:rPr>
              <w:t xml:space="preserve">With the exclusion of 9 subjects from Site 142 for a total of 138 subjects in 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population, the median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HEPLISAV group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1057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</w:p>
          <w:p w14:paraId="103ECB8D" w14:textId="77777777" w:rsidR="00605D2C" w:rsidRDefault="00605D2C" w:rsidP="00BE5BDD">
            <w:pPr>
              <w:pStyle w:val="TableParagraph"/>
              <w:ind w:left="43" w:right="35"/>
              <w:rPr>
                <w:sz w:val="20"/>
              </w:rPr>
            </w:pPr>
            <w:r>
              <w:rPr>
                <w:sz w:val="20"/>
              </w:rPr>
              <w:t xml:space="preserve">for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 xml:space="preserve">-B group. Overall, in HBV-19, 65.2% of subjects in 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 were men and the mean age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61.8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(range: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years).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white (86.2%),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African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American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(10.9%),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Asian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(2.2%), and 21.7% were of Hispanic ethnicity. Of subjects in HBV-19, 8.7% were smokers and 55.8% had type 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diabetes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mellitus.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HBV-19,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lower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proportion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diabetes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mellitus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higher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proportion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higher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glomerular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filtration rate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(GFR)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as compared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overall.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general,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demographic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baseline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treatment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</w:p>
          <w:p w14:paraId="54138935" w14:textId="77777777" w:rsidR="00605D2C" w:rsidRDefault="00605D2C" w:rsidP="00BE5BDD">
            <w:pPr>
              <w:pStyle w:val="TableParagraph"/>
              <w:spacing w:before="1"/>
              <w:ind w:left="43" w:right="293"/>
              <w:rPr>
                <w:sz w:val="20"/>
              </w:rPr>
            </w:pPr>
            <w:r>
              <w:rPr>
                <w:sz w:val="20"/>
              </w:rPr>
              <w:t>2 exceptions: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 in HBV-17, a higher proportion of subjects with diabetes mellitus were in the HEPLISAV group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higher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proportion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subjects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low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(&lt;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15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mL/min/1.73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</w:t>
            </w:r>
            <w:r>
              <w:rPr>
                <w:w w:val="95"/>
                <w:sz w:val="20"/>
                <w:vertAlign w:val="superscript"/>
              </w:rPr>
              <w:t>2</w:t>
            </w:r>
            <w:r>
              <w:rPr>
                <w:w w:val="95"/>
                <w:sz w:val="20"/>
              </w:rPr>
              <w:t>)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GFR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were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Engerix</w:t>
            </w:r>
            <w:proofErr w:type="spellEnd"/>
            <w:r>
              <w:rPr>
                <w:w w:val="95"/>
                <w:sz w:val="20"/>
              </w:rPr>
              <w:t>-B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group.</w:t>
            </w:r>
          </w:p>
        </w:tc>
      </w:tr>
      <w:tr w:rsidR="00605D2C" w14:paraId="391CE885" w14:textId="77777777" w:rsidTr="00BE5BDD">
        <w:trPr>
          <w:trHeight w:val="4296"/>
        </w:trPr>
        <w:tc>
          <w:tcPr>
            <w:tcW w:w="9448" w:type="dxa"/>
            <w:gridSpan w:val="3"/>
          </w:tcPr>
          <w:p w14:paraId="3049C2BA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Immunogenicity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Results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mITT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Population)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Results:</w:t>
            </w:r>
          </w:p>
          <w:p w14:paraId="18C019B6" w14:textId="77777777" w:rsidR="00605D2C" w:rsidRDefault="00605D2C" w:rsidP="00BE5BDD">
            <w:pPr>
              <w:pStyle w:val="TableParagraph"/>
              <w:spacing w:before="55"/>
              <w:ind w:left="43" w:right="21"/>
              <w:rPr>
                <w:sz w:val="20"/>
              </w:rPr>
            </w:pPr>
            <w:r>
              <w:rPr>
                <w:sz w:val="20"/>
              </w:rPr>
              <w:t>The HBV-19 baseline for the immunogenicity analysis was the last (Week 28) HBV-17 laboratory result for subjects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who did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have a scheduled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result.</w:t>
            </w:r>
          </w:p>
          <w:p w14:paraId="1CA7212D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baseline used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immunogenicity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analysis),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72.7%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(48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and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66.7%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(48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72 subjects) 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group.</w:t>
            </w:r>
          </w:p>
          <w:p w14:paraId="52B08ED1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 xml:space="preserve">At Week 28 in HBV-17, antibody concentrations between 10 and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were of similar proportions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(13.6%,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66 subjects)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(15.3%,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subjects). A</w:t>
            </w:r>
          </w:p>
          <w:p w14:paraId="5A63CF1A" w14:textId="77777777" w:rsidR="00605D2C" w:rsidRDefault="00605D2C" w:rsidP="00BE5BDD">
            <w:pPr>
              <w:pStyle w:val="TableParagraph"/>
              <w:spacing w:before="1"/>
              <w:ind w:left="43" w:right="115"/>
              <w:rPr>
                <w:sz w:val="20"/>
              </w:rPr>
            </w:pPr>
            <w:r>
              <w:rPr>
                <w:sz w:val="20"/>
              </w:rPr>
              <w:t xml:space="preserve">lower proportion of HEPLISAV subjects (21.2%, 14 of 66 subjects) than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 (41.7%, 30 of 72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subjects) had antibody concentrations between 100 and 1000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/mL, whereas a higher proportion of HEPLISAV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subjects (50.0%, 33 of 66 subjects) than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 (27.8%, 20 of 72 subjects) had antibody levels greater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than 1000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mL.</w:t>
            </w:r>
            <w:proofErr w:type="spellEnd"/>
            <w:r>
              <w:rPr>
                <w:sz w:val="20"/>
              </w:rPr>
              <w:t xml:space="preserve"> This distribution of antibody concentrations would be expected to result in similar durability of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durability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HEPLISAV.</w:t>
            </w:r>
          </w:p>
          <w:p w14:paraId="420CF6DB" w14:textId="77777777" w:rsidR="00605D2C" w:rsidRDefault="00605D2C" w:rsidP="00BE5BDD">
            <w:pPr>
              <w:pStyle w:val="TableParagraph"/>
              <w:spacing w:before="60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Primary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Objective</w:t>
            </w:r>
          </w:p>
          <w:p w14:paraId="0667044E" w14:textId="77777777" w:rsidR="00605D2C" w:rsidRDefault="00605D2C" w:rsidP="00BE5BDD">
            <w:pPr>
              <w:pStyle w:val="TableParagraph"/>
              <w:spacing w:before="61"/>
              <w:ind w:left="43" w:right="124"/>
              <w:rPr>
                <w:sz w:val="20"/>
              </w:rPr>
            </w:pPr>
            <w:r>
              <w:rPr>
                <w:sz w:val="20"/>
              </w:rPr>
              <w:t xml:space="preserve">Among subjects who were seroprotected at Week 28 in HBV-17, the durability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over time was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similar between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subjects. Of the 56 HEPLISAV subjects who were seroprotected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(75.0%)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subjects maintained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61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</w:p>
        </w:tc>
      </w:tr>
    </w:tbl>
    <w:p w14:paraId="25111B66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1C54CCCF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4"/>
        <w:gridCol w:w="3017"/>
        <w:gridCol w:w="3147"/>
      </w:tblGrid>
      <w:tr w:rsidR="00605D2C" w14:paraId="671B8740" w14:textId="77777777" w:rsidTr="00BE5BDD">
        <w:trPr>
          <w:trHeight w:val="667"/>
        </w:trPr>
        <w:tc>
          <w:tcPr>
            <w:tcW w:w="3284" w:type="dxa"/>
          </w:tcPr>
          <w:p w14:paraId="7C41CFE0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03D0CACD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7C00C8DA" w14:textId="77777777" w:rsidR="00605D2C" w:rsidRDefault="00605D2C" w:rsidP="00BE5BDD">
            <w:pPr>
              <w:pStyle w:val="TableParagraph"/>
              <w:spacing w:before="41"/>
              <w:ind w:left="42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45263DBE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4AB1A662" w14:textId="77777777" w:rsidTr="00BE5BDD">
        <w:trPr>
          <w:trHeight w:val="664"/>
        </w:trPr>
        <w:tc>
          <w:tcPr>
            <w:tcW w:w="3284" w:type="dxa"/>
          </w:tcPr>
          <w:p w14:paraId="26208B4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498CD5C6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3AF1EDBD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6E3A3935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17726728" w14:textId="77777777" w:rsidTr="00BE5BDD">
        <w:trPr>
          <w:trHeight w:val="666"/>
        </w:trPr>
        <w:tc>
          <w:tcPr>
            <w:tcW w:w="3284" w:type="dxa"/>
          </w:tcPr>
          <w:p w14:paraId="1C48C87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2F3EF597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1D606777" w14:textId="77777777" w:rsidR="00605D2C" w:rsidRDefault="00605D2C" w:rsidP="00BE5BDD">
            <w:pPr>
              <w:pStyle w:val="TableParagraph"/>
              <w:spacing w:before="41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166E1042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4ED57164" w14:textId="77777777" w:rsidTr="00BE5BDD">
        <w:trPr>
          <w:trHeight w:val="5736"/>
        </w:trPr>
        <w:tc>
          <w:tcPr>
            <w:tcW w:w="9448" w:type="dxa"/>
            <w:gridSpan w:val="3"/>
          </w:tcPr>
          <w:p w14:paraId="1AEC1F55" w14:textId="77777777" w:rsidR="00605D2C" w:rsidRDefault="00605D2C" w:rsidP="00BE5BDD">
            <w:pPr>
              <w:pStyle w:val="TableParagraph"/>
              <w:spacing w:before="36" w:line="302" w:lineRule="auto"/>
              <w:ind w:left="43" w:right="1175"/>
              <w:rPr>
                <w:sz w:val="20"/>
              </w:rPr>
            </w:pP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seroprotected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(68.9%)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maintained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Secondary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Objectives</w:t>
            </w:r>
          </w:p>
          <w:p w14:paraId="6F7AC363" w14:textId="77777777" w:rsidR="00605D2C" w:rsidRDefault="00605D2C" w:rsidP="00BE5BDD">
            <w:pPr>
              <w:pStyle w:val="TableParagraph"/>
              <w:spacing w:before="1"/>
              <w:ind w:left="43" w:right="180"/>
              <w:rPr>
                <w:sz w:val="20"/>
              </w:rPr>
            </w:pPr>
            <w:r>
              <w:rPr>
                <w:sz w:val="20"/>
              </w:rPr>
              <w:t>Among all subjects enrolled in HBV-19, 43 injections of HEPLISAV (incidence = 0.51 injections per person-year)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and 115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(incidence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 1.27 injections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 person-year)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administered.</w:t>
            </w:r>
          </w:p>
          <w:p w14:paraId="53A6A00E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</w:rPr>
              <w:t xml:space="preserve">Of the 31 HEPLISAV subjects in the </w:t>
            </w:r>
            <w:proofErr w:type="spellStart"/>
            <w:r>
              <w:rPr>
                <w:sz w:val="20"/>
              </w:rPr>
              <w:t>mITT</w:t>
            </w:r>
            <w:proofErr w:type="spellEnd"/>
            <w:r>
              <w:rPr>
                <w:sz w:val="20"/>
              </w:rPr>
              <w:t xml:space="preserve"> population with type 2 diabetes mellitus and anti-HBsAg greater than 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HBV-17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28,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(64.5%)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maintained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 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type 2 diabetes mellitus and anti-HBsAg greater than or equal to 10 at HBV-17 Week 28, 20 (69.0%) maintained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over time. The median time to loss of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could not be estimated at the time the study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terminated.</w:t>
            </w:r>
          </w:p>
          <w:p w14:paraId="3A5712ED" w14:textId="77777777" w:rsidR="00605D2C" w:rsidRDefault="00605D2C" w:rsidP="00BE5BDD">
            <w:pPr>
              <w:pStyle w:val="TableParagraph"/>
              <w:spacing w:before="60"/>
              <w:ind w:left="43"/>
              <w:rPr>
                <w:sz w:val="20"/>
              </w:rPr>
            </w:pPr>
            <w:r>
              <w:rPr>
                <w:sz w:val="20"/>
              </w:rPr>
              <w:t>Among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concentrations 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 Week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 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</w:p>
          <w:p w14:paraId="397DDFC5" w14:textId="77777777" w:rsidR="00605D2C" w:rsidRDefault="00605D2C" w:rsidP="00BE5BD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 xml:space="preserve">the durability of an antibody concentration greater than or equal to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was longer in HEPLISAV 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47 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to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at Week 28 in HBV-17, 25 subjects (53.2%) maintained concentrations greater than or equal to 100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 xml:space="preserve">/mL over time. Of the 50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 who had anti-HBsAg concentrations greater than or equal to 100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HBV-17,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 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(30.0%)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maintained concentrations greater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2CFE61F5" w14:textId="77777777" w:rsidR="00605D2C" w:rsidRDefault="00605D2C" w:rsidP="00BE5BDD">
            <w:pPr>
              <w:pStyle w:val="TableParagraph"/>
              <w:spacing w:line="230" w:lineRule="exact"/>
              <w:ind w:left="43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median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anti-HBsAg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3600C23B" w14:textId="77777777" w:rsidR="00605D2C" w:rsidRDefault="00605D2C" w:rsidP="00BE5BDD">
            <w:pPr>
              <w:pStyle w:val="TableParagraph"/>
              <w:spacing w:before="1"/>
              <w:ind w:left="43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946.0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630.0,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1143.0)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525.0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429.0,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719.0)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subjects.</w:t>
            </w:r>
          </w:p>
          <w:p w14:paraId="56281D2F" w14:textId="77777777" w:rsidR="00605D2C" w:rsidRDefault="00605D2C" w:rsidP="00BE5BDD">
            <w:pPr>
              <w:pStyle w:val="TableParagraph"/>
              <w:spacing w:before="61"/>
              <w:ind w:left="43"/>
              <w:rPr>
                <w:sz w:val="20"/>
              </w:rPr>
            </w:pPr>
            <w:r>
              <w:rPr>
                <w:sz w:val="20"/>
              </w:rPr>
              <w:t xml:space="preserve">The GMC in subjects with anti-HBsAg greater than or equal to 10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at Week 28 in HBV-17 was 1549.6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interval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[CI],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837.0 -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2869.1)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549.7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 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351.9</w:t>
            </w:r>
          </w:p>
          <w:p w14:paraId="5BF4866A" w14:textId="77777777" w:rsidR="00605D2C" w:rsidRDefault="00605D2C" w:rsidP="00BE5BDD">
            <w:pPr>
              <w:pStyle w:val="TableParagraph"/>
              <w:ind w:left="43" w:right="293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858.7) in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subjects,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ratio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GMCs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2.8 (95%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CI, 1.3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5.9).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antibody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time was similar in both treatment groups, thus maintaining the significantly (</w:t>
            </w:r>
            <w:r>
              <w:rPr>
                <w:i/>
                <w:sz w:val="20"/>
              </w:rPr>
              <w:t xml:space="preserve">P </w:t>
            </w:r>
            <w:r>
              <w:rPr>
                <w:sz w:val="20"/>
              </w:rPr>
              <w:t>≤ 0.0001) higher anti-HBsAg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HEPLISAV subjects.</w:t>
            </w:r>
          </w:p>
        </w:tc>
      </w:tr>
      <w:tr w:rsidR="00605D2C" w14:paraId="0E71624D" w14:textId="77777777" w:rsidTr="00BE5BDD">
        <w:trPr>
          <w:trHeight w:val="4987"/>
        </w:trPr>
        <w:tc>
          <w:tcPr>
            <w:tcW w:w="9448" w:type="dxa"/>
            <w:gridSpan w:val="3"/>
          </w:tcPr>
          <w:p w14:paraId="6D6BDDD8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Safety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Results:</w:t>
            </w:r>
          </w:p>
          <w:p w14:paraId="5E2AA379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Post-injection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Reactions</w:t>
            </w:r>
          </w:p>
          <w:p w14:paraId="24CE4A7A" w14:textId="77777777" w:rsidR="00605D2C" w:rsidRDefault="00605D2C" w:rsidP="00BE5BDD">
            <w:pPr>
              <w:pStyle w:val="TableParagraph"/>
              <w:spacing w:before="61"/>
              <w:ind w:left="43" w:right="124"/>
              <w:rPr>
                <w:sz w:val="20"/>
              </w:rPr>
            </w:pPr>
            <w:r>
              <w:rPr>
                <w:sz w:val="20"/>
              </w:rPr>
              <w:t xml:space="preserve">Overall, 24 subjects in the HEPLISAV group and 32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 received 1 or more doses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study medication. There were 23 and 30 subjects in the HEPLISAV and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groups, respectively, that had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reaction data available. Reactions were observed in 7/23 (30.4%) subjects in the HEPLISAV group compared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6/30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(20.0%)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summary, most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 systemic reactions within 7 days following administration of 1 or more doses of vaccine. With the following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exceptions,</w:t>
            </w:r>
            <w:r>
              <w:rPr>
                <w:spacing w:val="-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all of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reactions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mild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severity.</w:t>
            </w:r>
          </w:p>
          <w:p w14:paraId="190BE4EB" w14:textId="77777777" w:rsidR="00605D2C" w:rsidRDefault="00605D2C" w:rsidP="00BE5BDD">
            <w:pPr>
              <w:pStyle w:val="TableParagraph"/>
              <w:spacing w:before="60"/>
              <w:ind w:left="43" w:right="368"/>
              <w:rPr>
                <w:sz w:val="20"/>
              </w:rPr>
            </w:pPr>
            <w:r>
              <w:rPr>
                <w:sz w:val="20"/>
              </w:rPr>
              <w:t>Following 1 standard dose of vaccine, of 11 subjects in the HEPLISAV group 1 experienced severe malaise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experienced moderate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myalgia;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among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experienced moderate</w:t>
            </w:r>
          </w:p>
          <w:p w14:paraId="7859C07E" w14:textId="77777777" w:rsidR="00605D2C" w:rsidRDefault="00605D2C" w:rsidP="00BE5BD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 xml:space="preserve">pain. Following 2 standard doses, none of the 5 subjects in the HEPLISAV group had moderate or severe </w:t>
            </w:r>
            <w:proofErr w:type="gramStart"/>
            <w:r>
              <w:rPr>
                <w:sz w:val="20"/>
              </w:rPr>
              <w:t>reactions;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of the 3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group, 1 experienced severe pain and 1 experienced severe myalgia. Following 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vaccine,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among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moderate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had moderate malaise; no moderate or severe reactions were reported among the 6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No moderate or severe reactions were reported for any of the 4 subjects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 who received 4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standard doses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vaccine.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Overall,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post-injection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reactions were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similar between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 groups.</w:t>
            </w:r>
          </w:p>
          <w:p w14:paraId="263A99A9" w14:textId="77777777" w:rsidR="00605D2C" w:rsidRDefault="00605D2C" w:rsidP="00BE5BDD">
            <w:pPr>
              <w:pStyle w:val="TableParagraph"/>
              <w:spacing w:before="59"/>
              <w:ind w:left="43"/>
              <w:rPr>
                <w:sz w:val="20"/>
              </w:rPr>
            </w:pPr>
            <w:r>
              <w:rPr>
                <w:sz w:val="20"/>
                <w:u w:val="single"/>
              </w:rPr>
              <w:t>Adverse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Events</w:t>
            </w:r>
          </w:p>
          <w:p w14:paraId="3125B3D9" w14:textId="77777777" w:rsidR="00605D2C" w:rsidRDefault="00605D2C" w:rsidP="00BE5BDD">
            <w:pPr>
              <w:pStyle w:val="TableParagraph"/>
              <w:spacing w:before="61"/>
              <w:ind w:left="43" w:right="124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HBV-19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population,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(HEPLISAV: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4;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AEs,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and 2 subjects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1;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1) experienced 1 or more SAEs. </w:t>
            </w:r>
            <w:r>
              <w:rPr>
                <w:color w:val="0000FF"/>
                <w:sz w:val="20"/>
              </w:rPr>
              <w:t xml:space="preserve">Subject 103-202 </w:t>
            </w:r>
            <w:r>
              <w:rPr>
                <w:sz w:val="20"/>
              </w:rPr>
              <w:t>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 experienced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hypercalcemia,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traumatic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pneumothorax,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multi-organ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failure.</w:t>
            </w:r>
          </w:p>
        </w:tc>
      </w:tr>
    </w:tbl>
    <w:p w14:paraId="2ED4EEFA" w14:textId="77777777" w:rsidR="00605D2C" w:rsidRDefault="00605D2C" w:rsidP="00605D2C">
      <w:pPr>
        <w:rPr>
          <w:sz w:val="20"/>
        </w:rPr>
        <w:sectPr w:rsidR="00605D2C">
          <w:pgSz w:w="12240" w:h="15840"/>
          <w:pgMar w:top="1340" w:right="1120" w:bottom="940" w:left="1140" w:header="722" w:footer="746" w:gutter="0"/>
          <w:cols w:space="720"/>
        </w:sectPr>
      </w:pPr>
    </w:p>
    <w:p w14:paraId="39E0BFD7" w14:textId="77777777" w:rsidR="00605D2C" w:rsidRDefault="00605D2C" w:rsidP="00605D2C">
      <w:pPr>
        <w:pStyle w:val="BodyText"/>
        <w:spacing w:before="10"/>
        <w:rPr>
          <w:b/>
          <w:sz w:val="7"/>
        </w:rPr>
      </w:pPr>
    </w:p>
    <w:tbl>
      <w:tblPr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0"/>
        <w:gridCol w:w="1793"/>
        <w:gridCol w:w="3017"/>
        <w:gridCol w:w="3147"/>
      </w:tblGrid>
      <w:tr w:rsidR="00605D2C" w14:paraId="146906C3" w14:textId="77777777" w:rsidTr="00BE5BDD">
        <w:trPr>
          <w:trHeight w:val="667"/>
        </w:trPr>
        <w:tc>
          <w:tcPr>
            <w:tcW w:w="3283" w:type="dxa"/>
            <w:gridSpan w:val="2"/>
          </w:tcPr>
          <w:p w14:paraId="7E2C7ED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Sponsor:</w:t>
            </w:r>
          </w:p>
          <w:p w14:paraId="0C0AA885" w14:textId="77777777" w:rsidR="00605D2C" w:rsidRDefault="00605D2C" w:rsidP="00BE5BDD">
            <w:pPr>
              <w:pStyle w:val="TableParagraph"/>
              <w:spacing w:before="56"/>
              <w:ind w:left="43"/>
              <w:rPr>
                <w:sz w:val="20"/>
              </w:rPr>
            </w:pPr>
            <w:proofErr w:type="spellStart"/>
            <w:r>
              <w:rPr>
                <w:sz w:val="20"/>
              </w:rPr>
              <w:t>Dynavax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Technologies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Corporation</w:t>
            </w:r>
          </w:p>
        </w:tc>
        <w:tc>
          <w:tcPr>
            <w:tcW w:w="3017" w:type="dxa"/>
          </w:tcPr>
          <w:p w14:paraId="0FEFA29A" w14:textId="77777777" w:rsidR="00605D2C" w:rsidRDefault="00605D2C" w:rsidP="00BE5BDD">
            <w:pPr>
              <w:pStyle w:val="TableParagraph"/>
              <w:spacing w:before="41"/>
              <w:ind w:left="43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>Individual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Table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Referring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 Part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 Dossier:</w:t>
            </w:r>
          </w:p>
        </w:tc>
        <w:tc>
          <w:tcPr>
            <w:tcW w:w="3147" w:type="dxa"/>
            <w:vMerge w:val="restart"/>
          </w:tcPr>
          <w:p w14:paraId="773DAED5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Authority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Only</w:t>
            </w:r>
          </w:p>
        </w:tc>
      </w:tr>
      <w:tr w:rsidR="00605D2C" w14:paraId="673EBECF" w14:textId="77777777" w:rsidTr="00BE5BDD">
        <w:trPr>
          <w:trHeight w:val="664"/>
        </w:trPr>
        <w:tc>
          <w:tcPr>
            <w:tcW w:w="3283" w:type="dxa"/>
            <w:gridSpan w:val="2"/>
          </w:tcPr>
          <w:p w14:paraId="1C35112D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Finished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Product:</w:t>
            </w:r>
          </w:p>
          <w:p w14:paraId="3AE0B6E0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HEPLISAV™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(HBsAg-1018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ISS)</w:t>
            </w:r>
          </w:p>
        </w:tc>
        <w:tc>
          <w:tcPr>
            <w:tcW w:w="3017" w:type="dxa"/>
          </w:tcPr>
          <w:p w14:paraId="59D48CC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Volume: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4A2ACE72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3A6E3E1E" w14:textId="77777777" w:rsidTr="00BE5BDD">
        <w:trPr>
          <w:trHeight w:val="666"/>
        </w:trPr>
        <w:tc>
          <w:tcPr>
            <w:tcW w:w="3283" w:type="dxa"/>
            <w:gridSpan w:val="2"/>
          </w:tcPr>
          <w:p w14:paraId="6D2AEB68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Ingredient:</w:t>
            </w:r>
          </w:p>
          <w:p w14:paraId="2295D750" w14:textId="77777777" w:rsidR="00605D2C" w:rsidRDefault="00605D2C" w:rsidP="00BE5BDD">
            <w:pPr>
              <w:pStyle w:val="TableParagraph"/>
              <w:spacing w:before="55"/>
              <w:ind w:left="43"/>
              <w:rPr>
                <w:sz w:val="20"/>
              </w:rPr>
            </w:pPr>
            <w:r>
              <w:rPr>
                <w:sz w:val="20"/>
              </w:rPr>
              <w:t>Hepatitis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Antigen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(HBsAg)</w:t>
            </w:r>
          </w:p>
        </w:tc>
        <w:tc>
          <w:tcPr>
            <w:tcW w:w="3017" w:type="dxa"/>
          </w:tcPr>
          <w:p w14:paraId="6971EC81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Page:</w:t>
            </w:r>
          </w:p>
        </w:tc>
        <w:tc>
          <w:tcPr>
            <w:tcW w:w="3147" w:type="dxa"/>
            <w:vMerge/>
            <w:tcBorders>
              <w:top w:val="nil"/>
            </w:tcBorders>
          </w:tcPr>
          <w:p w14:paraId="528B05E7" w14:textId="77777777" w:rsidR="00605D2C" w:rsidRDefault="00605D2C" w:rsidP="00BE5BDD">
            <w:pPr>
              <w:rPr>
                <w:sz w:val="2"/>
                <w:szCs w:val="2"/>
              </w:rPr>
            </w:pPr>
          </w:p>
        </w:tc>
      </w:tr>
      <w:tr w:rsidR="00605D2C" w14:paraId="5EBDBA98" w14:textId="77777777" w:rsidTr="00BE5BDD">
        <w:trPr>
          <w:trHeight w:val="2275"/>
        </w:trPr>
        <w:tc>
          <w:tcPr>
            <w:tcW w:w="9447" w:type="dxa"/>
            <w:gridSpan w:val="4"/>
          </w:tcPr>
          <w:p w14:paraId="3251DE84" w14:textId="77777777" w:rsidR="00605D2C" w:rsidRDefault="00605D2C" w:rsidP="00BE5BDD">
            <w:pPr>
              <w:pStyle w:val="TableParagraph"/>
              <w:spacing w:before="36"/>
              <w:ind w:left="43"/>
              <w:rPr>
                <w:sz w:val="20"/>
              </w:rPr>
            </w:pPr>
            <w:r>
              <w:rPr>
                <w:color w:val="0000FF"/>
                <w:sz w:val="20"/>
              </w:rPr>
              <w:t>Subject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156-101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plasmacytoma,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amyloidosis,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epidermolysis.</w:t>
            </w:r>
          </w:p>
          <w:p w14:paraId="09D22AB9" w14:textId="77777777" w:rsidR="00605D2C" w:rsidRDefault="00605D2C" w:rsidP="00BE5BDD">
            <w:pPr>
              <w:pStyle w:val="TableParagraph"/>
              <w:spacing w:before="60"/>
              <w:ind w:left="43" w:right="44"/>
              <w:rPr>
                <w:sz w:val="20"/>
              </w:rPr>
            </w:pPr>
            <w:proofErr w:type="gramStart"/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AEs, except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gastroenteritis lasting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 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days,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SAEs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were considered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investigator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 unrelated to study treatment. Three deaths (HEPLISAV: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 = 2;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 = 1) occurred in the HBV-19 safety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population. One subject (</w:t>
            </w:r>
            <w:r>
              <w:rPr>
                <w:color w:val="0000FF"/>
                <w:sz w:val="20"/>
              </w:rPr>
              <w:t xml:space="preserve">Subject 103-202 </w:t>
            </w:r>
            <w:r>
              <w:rPr>
                <w:sz w:val="20"/>
              </w:rPr>
              <w:t>in the HEPLISAV group) died from multi-organ failure 163 days after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administration of the last study injection. Two additional deaths occurred outside the AE collection period (subjects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being followed for safety):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Subject 154-203 in the HEPLISAV group experienced a fatal cardiac arrest 495 days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after administration of the last study injection, and Subject 151-301 in the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group experienced a fatal event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 hyperkalemia 584 days after administration of the last study injection. No other AEs lead to treatment withdrawal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premature discontinuation.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There were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AESIs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reported.</w:t>
            </w:r>
          </w:p>
        </w:tc>
      </w:tr>
      <w:tr w:rsidR="00605D2C" w14:paraId="00B4CCC8" w14:textId="77777777" w:rsidTr="00BE5BDD">
        <w:trPr>
          <w:trHeight w:val="2795"/>
        </w:trPr>
        <w:tc>
          <w:tcPr>
            <w:tcW w:w="9447" w:type="dxa"/>
            <w:gridSpan w:val="4"/>
          </w:tcPr>
          <w:p w14:paraId="2FAC4CAF" w14:textId="77777777" w:rsidR="00605D2C" w:rsidRDefault="00605D2C" w:rsidP="00BE5BDD">
            <w:pPr>
              <w:pStyle w:val="TableParagraph"/>
              <w:spacing w:before="41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Conclusions:</w:t>
            </w:r>
          </w:p>
          <w:p w14:paraId="0006ABE5" w14:textId="77777777" w:rsidR="00605D2C" w:rsidRDefault="00605D2C" w:rsidP="00BE5BDD">
            <w:pPr>
              <w:pStyle w:val="TableParagraph"/>
              <w:spacing w:before="55"/>
              <w:ind w:left="43" w:right="153"/>
              <w:rPr>
                <w:sz w:val="20"/>
              </w:rPr>
            </w:pPr>
            <w:r>
              <w:rPr>
                <w:sz w:val="20"/>
              </w:rPr>
              <w:t xml:space="preserve">The tolerability and safety of HEPLISAV appear </w:t>
            </w:r>
            <w:proofErr w:type="gramStart"/>
            <w:r>
              <w:rPr>
                <w:sz w:val="20"/>
              </w:rPr>
              <w:t>similar to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in this population. A second series or single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booster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 safe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tolerated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adults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CKD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 had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primary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3-dose series of HEPLISAV. In addition, extended safety follow-up of HEPLISAV recipients in HBV-17 did not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 any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concerns.</w:t>
            </w:r>
          </w:p>
          <w:p w14:paraId="1AFD2D43" w14:textId="77777777" w:rsidR="00605D2C" w:rsidRDefault="00605D2C" w:rsidP="00BE5BDD">
            <w:pPr>
              <w:pStyle w:val="TableParagraph"/>
              <w:spacing w:before="62"/>
              <w:ind w:left="43" w:right="153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long-term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 was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terminated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early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durability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z w:val="20"/>
              </w:rPr>
              <w:t xml:space="preserve"> in subjects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CKD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was similar in those who received HEPLISAV compared with those who received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 because a similar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proportion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subjects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 had antibody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concentrations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10 and 100 </w:t>
            </w:r>
            <w:proofErr w:type="spellStart"/>
            <w:r>
              <w:rPr>
                <w:sz w:val="20"/>
              </w:rPr>
              <w:t>mIU</w:t>
            </w:r>
            <w:proofErr w:type="spellEnd"/>
            <w:r>
              <w:rPr>
                <w:sz w:val="20"/>
              </w:rPr>
              <w:t>/mL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enrollment.</w:t>
            </w:r>
          </w:p>
          <w:p w14:paraId="7DBE183D" w14:textId="77777777" w:rsidR="00605D2C" w:rsidRDefault="00605D2C" w:rsidP="00BE5BDD">
            <w:pPr>
              <w:pStyle w:val="TableParagraph"/>
              <w:ind w:left="43" w:right="162"/>
              <w:rPr>
                <w:sz w:val="20"/>
              </w:rPr>
            </w:pPr>
            <w:r>
              <w:rPr>
                <w:sz w:val="20"/>
              </w:rPr>
              <w:t>However, since the HEPLISAV group GMC for anti-HBsAg was significantly (</w:t>
            </w:r>
            <w:r>
              <w:rPr>
                <w:i/>
                <w:sz w:val="20"/>
              </w:rPr>
              <w:t xml:space="preserve">P </w:t>
            </w:r>
            <w:r>
              <w:rPr>
                <w:sz w:val="20"/>
              </w:rPr>
              <w:t>≤ 0.0001) higher than the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GMC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period,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HEPLISAV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CKD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expected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persist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longer than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seroprotection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induced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Engerix</w:t>
            </w:r>
            <w:proofErr w:type="spellEnd"/>
            <w:r>
              <w:rPr>
                <w:sz w:val="20"/>
              </w:rPr>
              <w:t>-B.</w:t>
            </w:r>
          </w:p>
        </w:tc>
      </w:tr>
      <w:tr w:rsidR="00605D2C" w14:paraId="62CA7CA2" w14:textId="77777777" w:rsidTr="00BE5BDD">
        <w:trPr>
          <w:trHeight w:val="376"/>
        </w:trPr>
        <w:tc>
          <w:tcPr>
            <w:tcW w:w="1490" w:type="dxa"/>
          </w:tcPr>
          <w:p w14:paraId="3320C86F" w14:textId="77777777" w:rsidR="00605D2C" w:rsidRDefault="00605D2C" w:rsidP="00BE5BDD">
            <w:pPr>
              <w:pStyle w:val="TableParagraph"/>
              <w:spacing w:before="44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Report:</w:t>
            </w:r>
          </w:p>
        </w:tc>
        <w:tc>
          <w:tcPr>
            <w:tcW w:w="7957" w:type="dxa"/>
            <w:gridSpan w:val="3"/>
          </w:tcPr>
          <w:p w14:paraId="0BB61183" w14:textId="77777777" w:rsidR="00605D2C" w:rsidRDefault="00605D2C" w:rsidP="00BE5BDD">
            <w:pPr>
              <w:pStyle w:val="TableParagraph"/>
              <w:spacing w:before="39"/>
              <w:ind w:left="40"/>
              <w:rPr>
                <w:sz w:val="20"/>
              </w:rPr>
            </w:pPr>
            <w:r>
              <w:rPr>
                <w:sz w:val="20"/>
              </w:rPr>
              <w:t>13 July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2015</w:t>
            </w:r>
          </w:p>
        </w:tc>
      </w:tr>
    </w:tbl>
    <w:p w14:paraId="0D1C313A" w14:textId="77777777" w:rsidR="009F68B3" w:rsidRDefault="00605D2C"/>
    <w:sectPr w:rsidR="009F6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A4716" w14:textId="77777777" w:rsidR="00605D2C" w:rsidRDefault="00605D2C" w:rsidP="00605D2C">
      <w:r>
        <w:separator/>
      </w:r>
    </w:p>
  </w:endnote>
  <w:endnote w:type="continuationSeparator" w:id="0">
    <w:p w14:paraId="5E8E673A" w14:textId="77777777" w:rsidR="00605D2C" w:rsidRDefault="00605D2C" w:rsidP="0060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D428" w14:textId="77777777" w:rsidR="007736A1" w:rsidRDefault="00605D2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77212CA" wp14:editId="1E47D057">
              <wp:simplePos x="0" y="0"/>
              <wp:positionH relativeFrom="page">
                <wp:posOffset>3380105</wp:posOffset>
              </wp:positionH>
              <wp:positionV relativeFrom="page">
                <wp:posOffset>9444990</wp:posOffset>
              </wp:positionV>
              <wp:extent cx="101155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155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EE3B34" w14:textId="77777777" w:rsidR="007736A1" w:rsidRDefault="00605D2C">
                          <w:pPr>
                            <w:spacing w:before="1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CONFIDENTIAL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7212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66.15pt;margin-top:743.7pt;width:79.65pt;height:13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" filled="f" stroked="f">
              <v:textbox inset="0,0,0,0">
                <w:txbxContent>
                  <w:p w14:paraId="5CEE3B34" w14:textId="77777777" w:rsidR="007736A1" w:rsidRDefault="00605D2C">
                    <w:pPr>
                      <w:spacing w:before="1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1054E0" wp14:editId="4194E2DA">
              <wp:simplePos x="0" y="0"/>
              <wp:positionH relativeFrom="page">
                <wp:posOffset>6144260</wp:posOffset>
              </wp:positionH>
              <wp:positionV relativeFrom="page">
                <wp:posOffset>9444990</wp:posOffset>
              </wp:positionV>
              <wp:extent cx="72961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61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0EB43" w14:textId="1E8BFF64" w:rsidR="007736A1" w:rsidRDefault="00605D2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1054E0" id="Text Box 1" o:spid="_x0000_s1029" type="#_x0000_t202" style="position:absolute;margin-left:483.8pt;margin-top:743.7pt;width:57.45pt;height:13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" filled="f" stroked="f">
              <v:textbox inset="0,0,0,0">
                <w:txbxContent>
                  <w:p w14:paraId="6410EB43" w14:textId="1E8BFF64" w:rsidR="007736A1" w:rsidRDefault="00605D2C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CBFDD" w14:textId="77777777" w:rsidR="00605D2C" w:rsidRDefault="00605D2C" w:rsidP="00605D2C">
      <w:r>
        <w:separator/>
      </w:r>
    </w:p>
  </w:footnote>
  <w:footnote w:type="continuationSeparator" w:id="0">
    <w:p w14:paraId="781726FC" w14:textId="77777777" w:rsidR="00605D2C" w:rsidRDefault="00605D2C" w:rsidP="00605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2F089" w14:textId="77777777" w:rsidR="007736A1" w:rsidRDefault="00605D2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E8E405" wp14:editId="2E804558">
              <wp:simplePos x="0" y="0"/>
              <wp:positionH relativeFrom="page">
                <wp:posOffset>901700</wp:posOffset>
              </wp:positionH>
              <wp:positionV relativeFrom="page">
                <wp:posOffset>445770</wp:posOffset>
              </wp:positionV>
              <wp:extent cx="1844675" cy="31178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4675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CF97FF" w14:textId="77777777" w:rsidR="007736A1" w:rsidRDefault="00605D2C">
                          <w:pPr>
                            <w:spacing w:before="10"/>
                            <w:ind w:left="20" w:right="1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</w:rPr>
                            <w:t>Dynavax</w:t>
                          </w:r>
                          <w:proofErr w:type="spellEnd"/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Technologies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Corporation</w:t>
                          </w:r>
                          <w:r>
                            <w:rPr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HEPLISAV™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E8E40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1pt;margin-top:35.1pt;width:145.25pt;height:24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" filled="f" stroked="f">
              <v:textbox inset="0,0,0,0">
                <w:txbxContent>
                  <w:p w14:paraId="07CF97FF" w14:textId="77777777" w:rsidR="007736A1" w:rsidRDefault="00605D2C">
                    <w:pPr>
                      <w:spacing w:before="10"/>
                      <w:ind w:left="20" w:right="10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Dynavax</w:t>
                    </w:r>
                    <w:proofErr w:type="spellEnd"/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Technologies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Corporation</w:t>
                    </w:r>
                    <w:r>
                      <w:rPr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HEPLISAV™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9F11D49" wp14:editId="01FD249B">
              <wp:simplePos x="0" y="0"/>
              <wp:positionH relativeFrom="page">
                <wp:posOffset>4700270</wp:posOffset>
              </wp:positionH>
              <wp:positionV relativeFrom="page">
                <wp:posOffset>445770</wp:posOffset>
              </wp:positionV>
              <wp:extent cx="2171700" cy="31178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1E2E39" w14:textId="77777777" w:rsidR="007736A1" w:rsidRDefault="00605D2C">
                          <w:pPr>
                            <w:spacing w:before="10"/>
                            <w:ind w:right="18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FINAL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Clinical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Study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Report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13JUL2015</w:t>
                          </w:r>
                        </w:p>
                        <w:p w14:paraId="7BDFEBB6" w14:textId="77777777" w:rsidR="007736A1" w:rsidRDefault="00605D2C">
                          <w:pPr>
                            <w:spacing w:before="1"/>
                            <w:ind w:right="18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DV2-HBV-19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F11D49" id="Text Box 3" o:spid="_x0000_s1027" type="#_x0000_t202" style="position:absolute;margin-left:370.1pt;margin-top:35.1pt;width:171pt;height:24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" filled="f" stroked="f">
              <v:textbox inset="0,0,0,0">
                <w:txbxContent>
                  <w:p w14:paraId="171E2E39" w14:textId="77777777" w:rsidR="007736A1" w:rsidRDefault="00605D2C">
                    <w:pPr>
                      <w:spacing w:before="10"/>
                      <w:ind w:right="18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FINAL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Clinical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Study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Report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13JUL2015</w:t>
                    </w:r>
                  </w:p>
                  <w:p w14:paraId="7BDFEBB6" w14:textId="77777777" w:rsidR="007736A1" w:rsidRDefault="00605D2C">
                    <w:pPr>
                      <w:spacing w:before="1"/>
                      <w:ind w:right="18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DV2-HBV-19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3DDA"/>
    <w:multiLevelType w:val="multilevel"/>
    <w:tmpl w:val="09045E90"/>
    <w:lvl w:ilvl="0">
      <w:start w:val="5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03E51B07"/>
    <w:multiLevelType w:val="multilevel"/>
    <w:tmpl w:val="435A4A2A"/>
    <w:lvl w:ilvl="0">
      <w:start w:val="14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748" w:hanging="10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348" w:hanging="100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53" w:hanging="100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57" w:hanging="100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62" w:hanging="100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66" w:hanging="100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71" w:hanging="1008"/>
      </w:pPr>
      <w:rPr>
        <w:rFonts w:hint="default"/>
        <w:lang w:val="en-US" w:eastAsia="en-US" w:bidi="ar-SA"/>
      </w:rPr>
    </w:lvl>
  </w:abstractNum>
  <w:abstractNum w:abstractNumId="2" w15:restartNumberingAfterBreak="0">
    <w:nsid w:val="0CD8789D"/>
    <w:multiLevelType w:val="multilevel"/>
    <w:tmpl w:val="C3BA717C"/>
    <w:lvl w:ilvl="0">
      <w:start w:val="11"/>
      <w:numFmt w:val="decimal"/>
      <w:lvlText w:val="%1"/>
      <w:lvlJc w:val="left"/>
      <w:pPr>
        <w:ind w:left="960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6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153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97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42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86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1" w:hanging="1080"/>
      </w:pPr>
      <w:rPr>
        <w:rFonts w:hint="default"/>
        <w:lang w:val="en-US" w:eastAsia="en-US" w:bidi="ar-SA"/>
      </w:rPr>
    </w:lvl>
  </w:abstractNum>
  <w:abstractNum w:abstractNumId="3" w15:restartNumberingAfterBreak="0">
    <w:nsid w:val="16AC7D04"/>
    <w:multiLevelType w:val="multilevel"/>
    <w:tmpl w:val="BAC6DF94"/>
    <w:lvl w:ilvl="0">
      <w:start w:val="16"/>
      <w:numFmt w:val="decimal"/>
      <w:lvlText w:val="%1"/>
      <w:lvlJc w:val="left"/>
      <w:pPr>
        <w:ind w:left="96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96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9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15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4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8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3DA14C9"/>
    <w:multiLevelType w:val="multilevel"/>
    <w:tmpl w:val="0D0CD8F8"/>
    <w:lvl w:ilvl="0">
      <w:start w:val="12"/>
      <w:numFmt w:val="decimal"/>
      <w:lvlText w:val="%1"/>
      <w:lvlJc w:val="left"/>
      <w:pPr>
        <w:ind w:left="96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96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153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97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42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86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1" w:hanging="1080"/>
      </w:pPr>
      <w:rPr>
        <w:rFonts w:hint="default"/>
        <w:lang w:val="en-US" w:eastAsia="en-US" w:bidi="ar-SA"/>
      </w:rPr>
    </w:lvl>
  </w:abstractNum>
  <w:abstractNum w:abstractNumId="5" w15:restartNumberingAfterBreak="0">
    <w:nsid w:val="27162A38"/>
    <w:multiLevelType w:val="multilevel"/>
    <w:tmpl w:val="A8C87F7E"/>
    <w:lvl w:ilvl="0">
      <w:start w:val="13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2A385BDD"/>
    <w:multiLevelType w:val="multilevel"/>
    <w:tmpl w:val="12547B32"/>
    <w:lvl w:ilvl="0">
      <w:start w:val="6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2A7748C4"/>
    <w:multiLevelType w:val="multilevel"/>
    <w:tmpl w:val="A18ABC98"/>
    <w:lvl w:ilvl="0">
      <w:start w:val="10"/>
      <w:numFmt w:val="decimal"/>
      <w:lvlText w:val="%1"/>
      <w:lvlJc w:val="left"/>
      <w:pPr>
        <w:ind w:left="96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96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208" w:hanging="108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53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97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42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86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1" w:hanging="1080"/>
      </w:pPr>
      <w:rPr>
        <w:rFonts w:hint="default"/>
        <w:lang w:val="en-US" w:eastAsia="en-US" w:bidi="ar-SA"/>
      </w:rPr>
    </w:lvl>
  </w:abstractNum>
  <w:abstractNum w:abstractNumId="8" w15:restartNumberingAfterBreak="0">
    <w:nsid w:val="2B477659"/>
    <w:multiLevelType w:val="hybridMultilevel"/>
    <w:tmpl w:val="2E862DAE"/>
    <w:lvl w:ilvl="0" w:tplc="F3E0803C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6AE8E22">
      <w:numFmt w:val="bullet"/>
      <w:lvlText w:val="•"/>
      <w:lvlJc w:val="left"/>
      <w:pPr>
        <w:ind w:left="1789" w:hanging="360"/>
      </w:pPr>
      <w:rPr>
        <w:rFonts w:hint="default"/>
        <w:lang w:val="en-US" w:eastAsia="en-US" w:bidi="ar-SA"/>
      </w:rPr>
    </w:lvl>
    <w:lvl w:ilvl="2" w:tplc="20AA9B7C"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ar-SA"/>
      </w:rPr>
    </w:lvl>
    <w:lvl w:ilvl="3" w:tplc="4D38B64C">
      <w:numFmt w:val="bullet"/>
      <w:lvlText w:val="•"/>
      <w:lvlJc w:val="left"/>
      <w:pPr>
        <w:ind w:left="3489" w:hanging="360"/>
      </w:pPr>
      <w:rPr>
        <w:rFonts w:hint="default"/>
        <w:lang w:val="en-US" w:eastAsia="en-US" w:bidi="ar-SA"/>
      </w:rPr>
    </w:lvl>
    <w:lvl w:ilvl="4" w:tplc="F10CDEB2">
      <w:numFmt w:val="bullet"/>
      <w:lvlText w:val="•"/>
      <w:lvlJc w:val="left"/>
      <w:pPr>
        <w:ind w:left="4339" w:hanging="360"/>
      </w:pPr>
      <w:rPr>
        <w:rFonts w:hint="default"/>
        <w:lang w:val="en-US" w:eastAsia="en-US" w:bidi="ar-SA"/>
      </w:rPr>
    </w:lvl>
    <w:lvl w:ilvl="5" w:tplc="E8B63A04">
      <w:numFmt w:val="bullet"/>
      <w:lvlText w:val="•"/>
      <w:lvlJc w:val="left"/>
      <w:pPr>
        <w:ind w:left="5189" w:hanging="360"/>
      </w:pPr>
      <w:rPr>
        <w:rFonts w:hint="default"/>
        <w:lang w:val="en-US" w:eastAsia="en-US" w:bidi="ar-SA"/>
      </w:rPr>
    </w:lvl>
    <w:lvl w:ilvl="6" w:tplc="2F66CFE0">
      <w:numFmt w:val="bullet"/>
      <w:lvlText w:val="•"/>
      <w:lvlJc w:val="left"/>
      <w:pPr>
        <w:ind w:left="6038" w:hanging="360"/>
      </w:pPr>
      <w:rPr>
        <w:rFonts w:hint="default"/>
        <w:lang w:val="en-US" w:eastAsia="en-US" w:bidi="ar-SA"/>
      </w:rPr>
    </w:lvl>
    <w:lvl w:ilvl="7" w:tplc="666C9596">
      <w:numFmt w:val="bullet"/>
      <w:lvlText w:val="•"/>
      <w:lvlJc w:val="left"/>
      <w:pPr>
        <w:ind w:left="6888" w:hanging="360"/>
      </w:pPr>
      <w:rPr>
        <w:rFonts w:hint="default"/>
        <w:lang w:val="en-US" w:eastAsia="en-US" w:bidi="ar-SA"/>
      </w:rPr>
    </w:lvl>
    <w:lvl w:ilvl="8" w:tplc="45D2EE2A">
      <w:numFmt w:val="bullet"/>
      <w:lvlText w:val="•"/>
      <w:lvlJc w:val="left"/>
      <w:pPr>
        <w:ind w:left="773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F312C66"/>
    <w:multiLevelType w:val="multilevel"/>
    <w:tmpl w:val="0C2A1962"/>
    <w:lvl w:ilvl="0">
      <w:start w:val="16"/>
      <w:numFmt w:val="decimal"/>
      <w:lvlText w:val="%1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2">
      <w:start w:val="5"/>
      <w:numFmt w:val="decimal"/>
      <w:lvlText w:val="%1.%2.%3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720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70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20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70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20" w:hanging="1080"/>
      </w:pPr>
      <w:rPr>
        <w:rFonts w:hint="default"/>
        <w:lang w:val="en-US" w:eastAsia="en-US" w:bidi="ar-SA"/>
      </w:rPr>
    </w:lvl>
  </w:abstractNum>
  <w:abstractNum w:abstractNumId="10" w15:restartNumberingAfterBreak="0">
    <w:nsid w:val="373E7454"/>
    <w:multiLevelType w:val="multilevel"/>
    <w:tmpl w:val="F21A7190"/>
    <w:lvl w:ilvl="0">
      <w:start w:val="6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11" w15:restartNumberingAfterBreak="0">
    <w:nsid w:val="3A0B7243"/>
    <w:multiLevelType w:val="multilevel"/>
    <w:tmpl w:val="69624E4A"/>
    <w:lvl w:ilvl="0">
      <w:start w:val="5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12" w15:restartNumberingAfterBreak="0">
    <w:nsid w:val="3CD211D4"/>
    <w:multiLevelType w:val="multilevel"/>
    <w:tmpl w:val="479C7CA6"/>
    <w:lvl w:ilvl="0">
      <w:start w:val="16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748" w:hanging="10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181" w:hanging="12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880" w:hanging="12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30" w:hanging="12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80" w:hanging="12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30" w:hanging="12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80" w:hanging="1254"/>
      </w:pPr>
      <w:rPr>
        <w:rFonts w:hint="default"/>
        <w:lang w:val="en-US" w:eastAsia="en-US" w:bidi="ar-SA"/>
      </w:rPr>
    </w:lvl>
  </w:abstractNum>
  <w:abstractNum w:abstractNumId="13" w15:restartNumberingAfterBreak="0">
    <w:nsid w:val="3F710FB1"/>
    <w:multiLevelType w:val="multilevel"/>
    <w:tmpl w:val="53EACA56"/>
    <w:lvl w:ilvl="0">
      <w:start w:val="13"/>
      <w:numFmt w:val="decimal"/>
      <w:lvlText w:val="%1"/>
      <w:lvlJc w:val="left"/>
      <w:pPr>
        <w:ind w:left="96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96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73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9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7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6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48" w:hanging="720"/>
      </w:pPr>
      <w:rPr>
        <w:rFonts w:hint="default"/>
        <w:lang w:val="en-US" w:eastAsia="en-US" w:bidi="ar-SA"/>
      </w:rPr>
    </w:lvl>
  </w:abstractNum>
  <w:abstractNum w:abstractNumId="14" w15:restartNumberingAfterBreak="0">
    <w:nsid w:val="41187E4A"/>
    <w:multiLevelType w:val="multilevel"/>
    <w:tmpl w:val="80525380"/>
    <w:lvl w:ilvl="0">
      <w:start w:val="9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748" w:hanging="10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181" w:hanging="12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3181" w:hanging="12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5">
      <w:numFmt w:val="bullet"/>
      <w:lvlText w:val="•"/>
      <w:lvlJc w:val="left"/>
      <w:pPr>
        <w:ind w:left="5730" w:hanging="12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80" w:hanging="12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30" w:hanging="12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80" w:hanging="1254"/>
      </w:pPr>
      <w:rPr>
        <w:rFonts w:hint="default"/>
        <w:lang w:val="en-US" w:eastAsia="en-US" w:bidi="ar-SA"/>
      </w:rPr>
    </w:lvl>
  </w:abstractNum>
  <w:abstractNum w:abstractNumId="15" w15:restartNumberingAfterBreak="0">
    <w:nsid w:val="44C5726C"/>
    <w:multiLevelType w:val="multilevel"/>
    <w:tmpl w:val="F724B130"/>
    <w:lvl w:ilvl="0">
      <w:start w:val="14"/>
      <w:numFmt w:val="decimal"/>
      <w:lvlText w:val="%1"/>
      <w:lvlJc w:val="left"/>
      <w:pPr>
        <w:ind w:left="96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96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208" w:hanging="108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53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97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42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86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1" w:hanging="1080"/>
      </w:pPr>
      <w:rPr>
        <w:rFonts w:hint="default"/>
        <w:lang w:val="en-US" w:eastAsia="en-US" w:bidi="ar-SA"/>
      </w:rPr>
    </w:lvl>
  </w:abstractNum>
  <w:abstractNum w:abstractNumId="16" w15:restartNumberingAfterBreak="0">
    <w:nsid w:val="47F42BB7"/>
    <w:multiLevelType w:val="multilevel"/>
    <w:tmpl w:val="698C7774"/>
    <w:lvl w:ilvl="0">
      <w:start w:val="3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20" w:hanging="720"/>
        <w:jc w:val="left"/>
      </w:pPr>
      <w:rPr>
        <w:rFonts w:hint="default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17" w15:restartNumberingAfterBreak="0">
    <w:nsid w:val="4C231E6B"/>
    <w:multiLevelType w:val="multilevel"/>
    <w:tmpl w:val="3D7E79D8"/>
    <w:lvl w:ilvl="0">
      <w:start w:val="11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748" w:hanging="10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181" w:hanging="12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880" w:hanging="12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30" w:hanging="12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80" w:hanging="12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30" w:hanging="12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80" w:hanging="1254"/>
      </w:pPr>
      <w:rPr>
        <w:rFonts w:hint="default"/>
        <w:lang w:val="en-US" w:eastAsia="en-US" w:bidi="ar-SA"/>
      </w:rPr>
    </w:lvl>
  </w:abstractNum>
  <w:abstractNum w:abstractNumId="18" w15:restartNumberingAfterBreak="0">
    <w:nsid w:val="4EFA0A64"/>
    <w:multiLevelType w:val="multilevel"/>
    <w:tmpl w:val="94B6A80A"/>
    <w:lvl w:ilvl="0">
      <w:start w:val="9"/>
      <w:numFmt w:val="decimal"/>
      <w:lvlText w:val="%1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1">
      <w:start w:val="7"/>
      <w:numFmt w:val="decimal"/>
      <w:lvlText w:val="%1.%2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720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70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20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70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20" w:hanging="1080"/>
      </w:pPr>
      <w:rPr>
        <w:rFonts w:hint="default"/>
        <w:lang w:val="en-US" w:eastAsia="en-US" w:bidi="ar-SA"/>
      </w:rPr>
    </w:lvl>
  </w:abstractNum>
  <w:abstractNum w:abstractNumId="19" w15:restartNumberingAfterBreak="0">
    <w:nsid w:val="53D904D6"/>
    <w:multiLevelType w:val="multilevel"/>
    <w:tmpl w:val="6BE48CAC"/>
    <w:lvl w:ilvl="0">
      <w:start w:val="12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748" w:hanging="10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195" w:hanging="12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168" w:hanging="12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7" w:hanging="12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5" w:hanging="12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74" w:hanging="12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42" w:hanging="1254"/>
      </w:pPr>
      <w:rPr>
        <w:rFonts w:hint="default"/>
        <w:lang w:val="en-US" w:eastAsia="en-US" w:bidi="ar-SA"/>
      </w:rPr>
    </w:lvl>
  </w:abstractNum>
  <w:abstractNum w:abstractNumId="20" w15:restartNumberingAfterBreak="0">
    <w:nsid w:val="53E23C84"/>
    <w:multiLevelType w:val="multilevel"/>
    <w:tmpl w:val="C88653CE"/>
    <w:lvl w:ilvl="0">
      <w:start w:val="9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8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0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349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45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0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55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1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ADF7117"/>
    <w:multiLevelType w:val="hybridMultilevel"/>
    <w:tmpl w:val="BDD67528"/>
    <w:lvl w:ilvl="0" w:tplc="04A81A86">
      <w:start w:val="1"/>
      <w:numFmt w:val="decimal"/>
      <w:lvlText w:val="%1."/>
      <w:lvlJc w:val="left"/>
      <w:pPr>
        <w:ind w:left="10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88EE8BC">
      <w:numFmt w:val="bullet"/>
      <w:lvlText w:val="•"/>
      <w:lvlJc w:val="left"/>
      <w:pPr>
        <w:ind w:left="1916" w:hanging="360"/>
      </w:pPr>
      <w:rPr>
        <w:rFonts w:hint="default"/>
        <w:lang w:val="en-US" w:eastAsia="en-US" w:bidi="ar-SA"/>
      </w:rPr>
    </w:lvl>
    <w:lvl w:ilvl="2" w:tplc="00449624">
      <w:numFmt w:val="bullet"/>
      <w:lvlText w:val="•"/>
      <w:lvlJc w:val="left"/>
      <w:pPr>
        <w:ind w:left="2812" w:hanging="360"/>
      </w:pPr>
      <w:rPr>
        <w:rFonts w:hint="default"/>
        <w:lang w:val="en-US" w:eastAsia="en-US" w:bidi="ar-SA"/>
      </w:rPr>
    </w:lvl>
    <w:lvl w:ilvl="3" w:tplc="7026FF86">
      <w:numFmt w:val="bullet"/>
      <w:lvlText w:val="•"/>
      <w:lvlJc w:val="left"/>
      <w:pPr>
        <w:ind w:left="3708" w:hanging="360"/>
      </w:pPr>
      <w:rPr>
        <w:rFonts w:hint="default"/>
        <w:lang w:val="en-US" w:eastAsia="en-US" w:bidi="ar-SA"/>
      </w:rPr>
    </w:lvl>
    <w:lvl w:ilvl="4" w:tplc="6EE84368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ar-SA"/>
      </w:rPr>
    </w:lvl>
    <w:lvl w:ilvl="5" w:tplc="3F3C5604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  <w:lvl w:ilvl="6" w:tplc="6826FD48">
      <w:numFmt w:val="bullet"/>
      <w:lvlText w:val="•"/>
      <w:lvlJc w:val="left"/>
      <w:pPr>
        <w:ind w:left="6396" w:hanging="360"/>
      </w:pPr>
      <w:rPr>
        <w:rFonts w:hint="default"/>
        <w:lang w:val="en-US" w:eastAsia="en-US" w:bidi="ar-SA"/>
      </w:rPr>
    </w:lvl>
    <w:lvl w:ilvl="7" w:tplc="646C0C8A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6A78F208">
      <w:numFmt w:val="bullet"/>
      <w:lvlText w:val="•"/>
      <w:lvlJc w:val="left"/>
      <w:pPr>
        <w:ind w:left="818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3DA6363"/>
    <w:multiLevelType w:val="multilevel"/>
    <w:tmpl w:val="3E942400"/>
    <w:lvl w:ilvl="0">
      <w:start w:val="9"/>
      <w:numFmt w:val="decimal"/>
      <w:lvlText w:val="%1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1">
      <w:start w:val="5"/>
      <w:numFmt w:val="decimal"/>
      <w:lvlText w:val="%1.%2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720" w:hanging="10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70" w:hanging="10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20" w:hanging="10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70" w:hanging="10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20" w:hanging="1080"/>
      </w:pPr>
      <w:rPr>
        <w:rFonts w:hint="default"/>
        <w:lang w:val="en-US" w:eastAsia="en-US" w:bidi="ar-SA"/>
      </w:rPr>
    </w:lvl>
  </w:abstractNum>
  <w:abstractNum w:abstractNumId="23" w15:restartNumberingAfterBreak="0">
    <w:nsid w:val="683A5972"/>
    <w:multiLevelType w:val="hybridMultilevel"/>
    <w:tmpl w:val="70A87996"/>
    <w:lvl w:ilvl="0" w:tplc="F22879C2">
      <w:numFmt w:val="bullet"/>
      <w:lvlText w:val=""/>
      <w:lvlJc w:val="left"/>
      <w:pPr>
        <w:ind w:left="6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B92799A">
      <w:numFmt w:val="bullet"/>
      <w:lvlText w:val=""/>
      <w:lvlJc w:val="left"/>
      <w:pPr>
        <w:ind w:left="10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90266D22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3" w:tplc="29480F86">
      <w:numFmt w:val="bullet"/>
      <w:lvlText w:val="•"/>
      <w:lvlJc w:val="left"/>
      <w:pPr>
        <w:ind w:left="2120" w:hanging="360"/>
      </w:pPr>
      <w:rPr>
        <w:rFonts w:hint="default"/>
        <w:lang w:val="en-US" w:eastAsia="en-US" w:bidi="ar-SA"/>
      </w:rPr>
    </w:lvl>
    <w:lvl w:ilvl="4" w:tplc="CB3E9032">
      <w:numFmt w:val="bullet"/>
      <w:lvlText w:val="•"/>
      <w:lvlJc w:val="left"/>
      <w:pPr>
        <w:ind w:left="3220" w:hanging="360"/>
      </w:pPr>
      <w:rPr>
        <w:rFonts w:hint="default"/>
        <w:lang w:val="en-US" w:eastAsia="en-US" w:bidi="ar-SA"/>
      </w:rPr>
    </w:lvl>
    <w:lvl w:ilvl="5" w:tplc="7076EA70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6" w:tplc="7DE8C5EA">
      <w:numFmt w:val="bullet"/>
      <w:lvlText w:val="•"/>
      <w:lvlJc w:val="left"/>
      <w:pPr>
        <w:ind w:left="5420" w:hanging="360"/>
      </w:pPr>
      <w:rPr>
        <w:rFonts w:hint="default"/>
        <w:lang w:val="en-US" w:eastAsia="en-US" w:bidi="ar-SA"/>
      </w:rPr>
    </w:lvl>
    <w:lvl w:ilvl="7" w:tplc="5170C284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8" w:tplc="CADE6126">
      <w:numFmt w:val="bullet"/>
      <w:lvlText w:val="•"/>
      <w:lvlJc w:val="left"/>
      <w:pPr>
        <w:ind w:left="7620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C511DC7"/>
    <w:multiLevelType w:val="multilevel"/>
    <w:tmpl w:val="20DCEA64"/>
    <w:lvl w:ilvl="0">
      <w:start w:val="3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81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0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8" w:hanging="720"/>
      </w:pPr>
      <w:rPr>
        <w:rFonts w:hint="default"/>
        <w:lang w:val="en-US" w:eastAsia="en-US" w:bidi="ar-SA"/>
      </w:rPr>
    </w:lvl>
  </w:abstractNum>
  <w:abstractNum w:abstractNumId="25" w15:restartNumberingAfterBreak="0">
    <w:nsid w:val="6F4F056A"/>
    <w:multiLevelType w:val="multilevel"/>
    <w:tmpl w:val="DC44CAF0"/>
    <w:lvl w:ilvl="0">
      <w:start w:val="9"/>
      <w:numFmt w:val="decimal"/>
      <w:lvlText w:val="%1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1">
      <w:start w:val="5"/>
      <w:numFmt w:val="decimal"/>
      <w:lvlText w:val="%1.%2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20" w:hanging="1080"/>
        <w:jc w:val="left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1320" w:hanging="10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1680" w:hanging="14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5">
      <w:numFmt w:val="bullet"/>
      <w:lvlText w:val="•"/>
      <w:lvlJc w:val="left"/>
      <w:pPr>
        <w:ind w:left="5297" w:hanging="14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02" w:hanging="14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06" w:hanging="14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11" w:hanging="1440"/>
      </w:pPr>
      <w:rPr>
        <w:rFonts w:hint="default"/>
        <w:lang w:val="en-US" w:eastAsia="en-US" w:bidi="ar-SA"/>
      </w:rPr>
    </w:lvl>
  </w:abstractNum>
  <w:abstractNum w:abstractNumId="26" w15:restartNumberingAfterBreak="0">
    <w:nsid w:val="70484E98"/>
    <w:multiLevelType w:val="hybridMultilevel"/>
    <w:tmpl w:val="A3767B7C"/>
    <w:lvl w:ilvl="0" w:tplc="C13CA6D0">
      <w:numFmt w:val="bullet"/>
      <w:lvlText w:val=""/>
      <w:lvlJc w:val="left"/>
      <w:pPr>
        <w:ind w:left="950" w:hanging="35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3F41CBE">
      <w:numFmt w:val="bullet"/>
      <w:lvlText w:val="•"/>
      <w:lvlJc w:val="left"/>
      <w:pPr>
        <w:ind w:left="1807" w:hanging="353"/>
      </w:pPr>
      <w:rPr>
        <w:rFonts w:hint="default"/>
        <w:lang w:val="en-US" w:eastAsia="en-US" w:bidi="ar-SA"/>
      </w:rPr>
    </w:lvl>
    <w:lvl w:ilvl="2" w:tplc="FC46914C">
      <w:numFmt w:val="bullet"/>
      <w:lvlText w:val="•"/>
      <w:lvlJc w:val="left"/>
      <w:pPr>
        <w:ind w:left="2655" w:hanging="353"/>
      </w:pPr>
      <w:rPr>
        <w:rFonts w:hint="default"/>
        <w:lang w:val="en-US" w:eastAsia="en-US" w:bidi="ar-SA"/>
      </w:rPr>
    </w:lvl>
    <w:lvl w:ilvl="3" w:tplc="A3EE7762">
      <w:numFmt w:val="bullet"/>
      <w:lvlText w:val="•"/>
      <w:lvlJc w:val="left"/>
      <w:pPr>
        <w:ind w:left="3503" w:hanging="353"/>
      </w:pPr>
      <w:rPr>
        <w:rFonts w:hint="default"/>
        <w:lang w:val="en-US" w:eastAsia="en-US" w:bidi="ar-SA"/>
      </w:rPr>
    </w:lvl>
    <w:lvl w:ilvl="4" w:tplc="8AA8D384">
      <w:numFmt w:val="bullet"/>
      <w:lvlText w:val="•"/>
      <w:lvlJc w:val="left"/>
      <w:pPr>
        <w:ind w:left="4351" w:hanging="353"/>
      </w:pPr>
      <w:rPr>
        <w:rFonts w:hint="default"/>
        <w:lang w:val="en-US" w:eastAsia="en-US" w:bidi="ar-SA"/>
      </w:rPr>
    </w:lvl>
    <w:lvl w:ilvl="5" w:tplc="FD5A15D0">
      <w:numFmt w:val="bullet"/>
      <w:lvlText w:val="•"/>
      <w:lvlJc w:val="left"/>
      <w:pPr>
        <w:ind w:left="5199" w:hanging="353"/>
      </w:pPr>
      <w:rPr>
        <w:rFonts w:hint="default"/>
        <w:lang w:val="en-US" w:eastAsia="en-US" w:bidi="ar-SA"/>
      </w:rPr>
    </w:lvl>
    <w:lvl w:ilvl="6" w:tplc="35FC602A">
      <w:numFmt w:val="bullet"/>
      <w:lvlText w:val="•"/>
      <w:lvlJc w:val="left"/>
      <w:pPr>
        <w:ind w:left="6046" w:hanging="353"/>
      </w:pPr>
      <w:rPr>
        <w:rFonts w:hint="default"/>
        <w:lang w:val="en-US" w:eastAsia="en-US" w:bidi="ar-SA"/>
      </w:rPr>
    </w:lvl>
    <w:lvl w:ilvl="7" w:tplc="BDD8AB1A">
      <w:numFmt w:val="bullet"/>
      <w:lvlText w:val="•"/>
      <w:lvlJc w:val="left"/>
      <w:pPr>
        <w:ind w:left="6894" w:hanging="353"/>
      </w:pPr>
      <w:rPr>
        <w:rFonts w:hint="default"/>
        <w:lang w:val="en-US" w:eastAsia="en-US" w:bidi="ar-SA"/>
      </w:rPr>
    </w:lvl>
    <w:lvl w:ilvl="8" w:tplc="8C589D9E">
      <w:numFmt w:val="bullet"/>
      <w:lvlText w:val="•"/>
      <w:lvlJc w:val="left"/>
      <w:pPr>
        <w:ind w:left="7742" w:hanging="353"/>
      </w:pPr>
      <w:rPr>
        <w:rFonts w:hint="default"/>
        <w:lang w:val="en-US" w:eastAsia="en-US" w:bidi="ar-SA"/>
      </w:rPr>
    </w:lvl>
  </w:abstractNum>
  <w:abstractNum w:abstractNumId="27" w15:restartNumberingAfterBreak="0">
    <w:nsid w:val="79423AA7"/>
    <w:multiLevelType w:val="multilevel"/>
    <w:tmpl w:val="B8927282"/>
    <w:lvl w:ilvl="0">
      <w:start w:val="10"/>
      <w:numFmt w:val="decimal"/>
      <w:lvlText w:val="%1"/>
      <w:lvlJc w:val="left"/>
      <w:pPr>
        <w:ind w:left="1020" w:hanging="720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020" w:hanging="720"/>
        <w:jc w:val="right"/>
      </w:pPr>
      <w:rPr>
        <w:rFonts w:hint="default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748" w:hanging="10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348" w:hanging="100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53" w:hanging="100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57" w:hanging="100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62" w:hanging="100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66" w:hanging="100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71" w:hanging="1008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3"/>
  </w:num>
  <w:num w:numId="5">
    <w:abstractNumId w:val="4"/>
  </w:num>
  <w:num w:numId="6">
    <w:abstractNumId w:val="2"/>
  </w:num>
  <w:num w:numId="7">
    <w:abstractNumId w:val="7"/>
  </w:num>
  <w:num w:numId="8">
    <w:abstractNumId w:val="18"/>
  </w:num>
  <w:num w:numId="9">
    <w:abstractNumId w:val="22"/>
  </w:num>
  <w:num w:numId="10">
    <w:abstractNumId w:val="25"/>
  </w:num>
  <w:num w:numId="11">
    <w:abstractNumId w:val="21"/>
  </w:num>
  <w:num w:numId="12">
    <w:abstractNumId w:val="20"/>
  </w:num>
  <w:num w:numId="13">
    <w:abstractNumId w:val="23"/>
  </w:num>
  <w:num w:numId="14">
    <w:abstractNumId w:val="10"/>
  </w:num>
  <w:num w:numId="15">
    <w:abstractNumId w:val="11"/>
  </w:num>
  <w:num w:numId="16">
    <w:abstractNumId w:val="16"/>
  </w:num>
  <w:num w:numId="17">
    <w:abstractNumId w:val="12"/>
  </w:num>
  <w:num w:numId="18">
    <w:abstractNumId w:val="1"/>
  </w:num>
  <w:num w:numId="19">
    <w:abstractNumId w:val="5"/>
  </w:num>
  <w:num w:numId="20">
    <w:abstractNumId w:val="19"/>
  </w:num>
  <w:num w:numId="21">
    <w:abstractNumId w:val="17"/>
  </w:num>
  <w:num w:numId="22">
    <w:abstractNumId w:val="27"/>
  </w:num>
  <w:num w:numId="23">
    <w:abstractNumId w:val="14"/>
  </w:num>
  <w:num w:numId="24">
    <w:abstractNumId w:val="6"/>
  </w:num>
  <w:num w:numId="25">
    <w:abstractNumId w:val="0"/>
  </w:num>
  <w:num w:numId="26">
    <w:abstractNumId w:val="24"/>
  </w:num>
  <w:num w:numId="27">
    <w:abstractNumId w:val="2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05D2C"/>
    <w:rsid w:val="001205BB"/>
    <w:rsid w:val="00262741"/>
    <w:rsid w:val="00605D2C"/>
    <w:rsid w:val="009E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CF842CE"/>
  <w15:chartTrackingRefBased/>
  <w15:docId w15:val="{A775C712-618F-475D-BE3A-B0016093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D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9"/>
    <w:qFormat/>
    <w:rsid w:val="00605D2C"/>
    <w:pPr>
      <w:spacing w:before="85"/>
      <w:ind w:left="74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605D2C"/>
    <w:pPr>
      <w:ind w:left="1320" w:hanging="1081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D2C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05D2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TOC1">
    <w:name w:val="toc 1"/>
    <w:basedOn w:val="Normal"/>
    <w:uiPriority w:val="1"/>
    <w:qFormat/>
    <w:rsid w:val="00605D2C"/>
    <w:pPr>
      <w:spacing w:before="84"/>
      <w:ind w:left="1020" w:hanging="721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605D2C"/>
    <w:pPr>
      <w:spacing w:before="84"/>
      <w:ind w:left="300"/>
    </w:pPr>
    <w:rPr>
      <w:b/>
      <w:bCs/>
      <w:sz w:val="24"/>
      <w:szCs w:val="24"/>
    </w:rPr>
  </w:style>
  <w:style w:type="paragraph" w:styleId="TOC3">
    <w:name w:val="toc 3"/>
    <w:basedOn w:val="Normal"/>
    <w:uiPriority w:val="1"/>
    <w:qFormat/>
    <w:rsid w:val="00605D2C"/>
    <w:pPr>
      <w:spacing w:before="79"/>
      <w:ind w:left="1740" w:hanging="721"/>
    </w:pPr>
    <w:rPr>
      <w:sz w:val="24"/>
      <w:szCs w:val="24"/>
    </w:rPr>
  </w:style>
  <w:style w:type="paragraph" w:styleId="TOC4">
    <w:name w:val="toc 4"/>
    <w:basedOn w:val="Normal"/>
    <w:uiPriority w:val="1"/>
    <w:qFormat/>
    <w:rsid w:val="00605D2C"/>
    <w:pPr>
      <w:spacing w:before="3"/>
      <w:ind w:left="1020"/>
    </w:pPr>
    <w:rPr>
      <w:b/>
      <w:bCs/>
      <w:sz w:val="24"/>
      <w:szCs w:val="24"/>
    </w:rPr>
  </w:style>
  <w:style w:type="paragraph" w:styleId="TOC5">
    <w:name w:val="toc 5"/>
    <w:basedOn w:val="Normal"/>
    <w:uiPriority w:val="1"/>
    <w:qFormat/>
    <w:rsid w:val="00605D2C"/>
    <w:pPr>
      <w:spacing w:before="79"/>
      <w:ind w:left="2748" w:hanging="1009"/>
    </w:pPr>
    <w:rPr>
      <w:sz w:val="24"/>
      <w:szCs w:val="24"/>
    </w:rPr>
  </w:style>
  <w:style w:type="paragraph" w:styleId="TOC6">
    <w:name w:val="toc 6"/>
    <w:basedOn w:val="Normal"/>
    <w:uiPriority w:val="1"/>
    <w:qFormat/>
    <w:rsid w:val="00605D2C"/>
    <w:pPr>
      <w:spacing w:before="77"/>
      <w:ind w:left="2748" w:right="316" w:hanging="1008"/>
    </w:pPr>
    <w:rPr>
      <w:sz w:val="24"/>
      <w:szCs w:val="24"/>
    </w:rPr>
  </w:style>
  <w:style w:type="paragraph" w:styleId="TOC7">
    <w:name w:val="toc 7"/>
    <w:basedOn w:val="Normal"/>
    <w:uiPriority w:val="1"/>
    <w:qFormat/>
    <w:rsid w:val="00605D2C"/>
    <w:pPr>
      <w:spacing w:before="79"/>
      <w:ind w:left="3181" w:hanging="1254"/>
    </w:pPr>
    <w:rPr>
      <w:sz w:val="24"/>
      <w:szCs w:val="24"/>
    </w:rPr>
  </w:style>
  <w:style w:type="paragraph" w:styleId="TOC8">
    <w:name w:val="toc 8"/>
    <w:basedOn w:val="Normal"/>
    <w:uiPriority w:val="1"/>
    <w:qFormat/>
    <w:rsid w:val="00605D2C"/>
    <w:pPr>
      <w:spacing w:before="80"/>
      <w:ind w:left="3181" w:hanging="1254"/>
    </w:pPr>
    <w:rPr>
      <w:b/>
      <w:bCs/>
      <w:i/>
      <w:iCs/>
    </w:rPr>
  </w:style>
  <w:style w:type="paragraph" w:styleId="TOC9">
    <w:name w:val="toc 9"/>
    <w:basedOn w:val="Normal"/>
    <w:uiPriority w:val="1"/>
    <w:qFormat/>
    <w:rsid w:val="00605D2C"/>
    <w:pPr>
      <w:spacing w:before="2"/>
      <w:ind w:left="2748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05D2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05D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605D2C"/>
    <w:pPr>
      <w:ind w:left="1320" w:hanging="721"/>
    </w:pPr>
  </w:style>
  <w:style w:type="paragraph" w:customStyle="1" w:styleId="TableParagraph">
    <w:name w:val="Table Paragraph"/>
    <w:basedOn w:val="Normal"/>
    <w:uiPriority w:val="1"/>
    <w:qFormat/>
    <w:rsid w:val="00605D2C"/>
  </w:style>
  <w:style w:type="paragraph" w:styleId="Header">
    <w:name w:val="header"/>
    <w:basedOn w:val="Normal"/>
    <w:link w:val="HeaderChar"/>
    <w:uiPriority w:val="99"/>
    <w:unhideWhenUsed/>
    <w:rsid w:val="00605D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D2C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05D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D2C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7132</Words>
  <Characters>40655</Characters>
  <Application>Microsoft Office Word</Application>
  <DocSecurity>0</DocSecurity>
  <Lines>338</Lines>
  <Paragraphs>95</Paragraphs>
  <ScaleCrop>false</ScaleCrop>
  <Company/>
  <LinksUpToDate>false</LinksUpToDate>
  <CharactersWithSpaces>47692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Samy Chabri</dc:creator>
  <cp:keywords/>
  <dc:description/>
  <cp:lastModifiedBy>Samy Chabri</cp:lastModifiedBy>
  <cp:revision>1</cp:revision>
  <dcterms:created xsi:type="dcterms:W3CDTF">2021-06-28T11:42:00Z</dcterms:created>
  <dcterms:modified xsi:type="dcterms:W3CDTF">2021-06-28T11:46:00Z</dcterms:modified>
</cp:coreProperties>
</file>