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1CE" w:rsidRDefault="00CD21CE" w:rsidP="00CD21CE">
      <w:pPr>
        <w:autoSpaceDE w:val="0"/>
        <w:autoSpaceDN w:val="0"/>
        <w:adjustRightInd w:val="0"/>
        <w:rPr>
          <w:rFonts w:ascii="Arial" w:eastAsiaTheme="minorHAnsi" w:hAnsi="Arial" w:cs="Arial"/>
          <w:b/>
          <w:bCs/>
          <w:sz w:val="23"/>
          <w:szCs w:val="23"/>
          <w:lang w:eastAsia="en-US"/>
        </w:rPr>
      </w:pPr>
      <w:r>
        <w:rPr>
          <w:rFonts w:ascii="Arial" w:eastAsiaTheme="minorHAnsi" w:hAnsi="Arial" w:cs="Arial"/>
          <w:b/>
          <w:bCs/>
          <w:sz w:val="23"/>
          <w:szCs w:val="23"/>
          <w:lang w:eastAsia="en-US"/>
        </w:rPr>
        <w:t>PROTOCOL FULL TITLE: Evaluation of the feasibility of modulating and</w:t>
      </w:r>
    </w:p>
    <w:p w:rsidR="009626EB" w:rsidRPr="00CD21CE" w:rsidRDefault="00CD21CE" w:rsidP="00CD21CE">
      <w:pPr>
        <w:autoSpaceDE w:val="0"/>
        <w:autoSpaceDN w:val="0"/>
        <w:adjustRightInd w:val="0"/>
        <w:rPr>
          <w:rFonts w:ascii="Arial" w:eastAsiaTheme="minorHAnsi" w:hAnsi="Arial" w:cs="Arial"/>
          <w:b/>
          <w:bCs/>
          <w:sz w:val="23"/>
          <w:szCs w:val="23"/>
          <w:lang w:eastAsia="en-US"/>
        </w:rPr>
      </w:pPr>
      <w:r>
        <w:rPr>
          <w:rFonts w:ascii="Arial" w:eastAsiaTheme="minorHAnsi" w:hAnsi="Arial" w:cs="Arial"/>
          <w:b/>
          <w:bCs/>
          <w:sz w:val="23"/>
          <w:szCs w:val="23"/>
          <w:lang w:eastAsia="en-US"/>
        </w:rPr>
        <w:t>me</w:t>
      </w:r>
      <w:r>
        <w:rPr>
          <w:rFonts w:ascii="Arial" w:eastAsiaTheme="minorHAnsi" w:hAnsi="Arial" w:cs="Arial"/>
          <w:b/>
          <w:bCs/>
          <w:sz w:val="23"/>
          <w:szCs w:val="23"/>
          <w:lang w:eastAsia="en-US"/>
        </w:rPr>
        <w:t>asuring endogenous neurogenesis</w:t>
      </w:r>
      <w:r>
        <w:rPr>
          <w:rFonts w:ascii="Arial" w:eastAsiaTheme="minorHAnsi" w:hAnsi="Arial" w:cs="Arial"/>
          <w:b/>
          <w:bCs/>
          <w:sz w:val="23"/>
          <w:szCs w:val="23"/>
          <w:lang w:eastAsia="en-US"/>
        </w:rPr>
        <w:t>expedite recovery after stroke</w:t>
      </w:r>
    </w:p>
    <w:p w:rsidR="009626EB" w:rsidRPr="009626EB" w:rsidRDefault="009626EB" w:rsidP="00E04E76">
      <w:pPr>
        <w:jc w:val="both"/>
      </w:pPr>
    </w:p>
    <w:p w:rsidR="009626EB" w:rsidRPr="009626EB" w:rsidRDefault="009626EB" w:rsidP="00E04E76">
      <w:pPr>
        <w:jc w:val="both"/>
      </w:pPr>
    </w:p>
    <w:p w:rsidR="00E16579" w:rsidRDefault="00E16579" w:rsidP="00E04E76">
      <w:pPr>
        <w:tabs>
          <w:tab w:val="left" w:pos="1515"/>
        </w:tabs>
        <w:jc w:val="both"/>
      </w:pPr>
    </w:p>
    <w:p w:rsidR="00E92C09" w:rsidRPr="00346A56" w:rsidRDefault="00E92C09" w:rsidP="00E04E76">
      <w:pPr>
        <w:tabs>
          <w:tab w:val="left" w:pos="1515"/>
        </w:tabs>
        <w:jc w:val="both"/>
        <w:rPr>
          <w:b/>
          <w:i/>
        </w:rPr>
      </w:pPr>
      <w:r w:rsidRPr="00346A56">
        <w:rPr>
          <w:b/>
          <w:i/>
        </w:rPr>
        <w:t>Fin</w:t>
      </w:r>
      <w:r w:rsidR="00BE3E03" w:rsidRPr="00346A56">
        <w:rPr>
          <w:b/>
          <w:i/>
        </w:rPr>
        <w:t>dings:</w:t>
      </w:r>
    </w:p>
    <w:p w:rsidR="00CB5F6D" w:rsidRDefault="00E034AF" w:rsidP="00E04E76">
      <w:pPr>
        <w:tabs>
          <w:tab w:val="left" w:pos="1515"/>
        </w:tabs>
        <w:jc w:val="both"/>
      </w:pPr>
      <w:r>
        <w:t>Over the course of the study period 12 patients were recruited</w:t>
      </w:r>
      <w:r w:rsidR="00CB5F6D">
        <w:t>, 10 patients were eligible and went on to randomisation</w:t>
      </w:r>
      <w:r>
        <w:t xml:space="preserve"> </w:t>
      </w:r>
      <w:r w:rsidR="00CB5F6D">
        <w:t>2 patients did not fulfil the inclusion criteria.</w:t>
      </w:r>
      <w:r>
        <w:t xml:space="preserve"> </w:t>
      </w:r>
    </w:p>
    <w:p w:rsidR="00CB5F6D" w:rsidRDefault="00CB5F6D" w:rsidP="00E04E76">
      <w:pPr>
        <w:tabs>
          <w:tab w:val="left" w:pos="1515"/>
        </w:tabs>
        <w:jc w:val="both"/>
      </w:pPr>
      <w:r>
        <w:t>3 patients completed the protocol mandated study visits.</w:t>
      </w:r>
    </w:p>
    <w:p w:rsidR="00446A30" w:rsidRDefault="00446A30" w:rsidP="00E04E76">
      <w:pPr>
        <w:tabs>
          <w:tab w:val="left" w:pos="1515"/>
        </w:tabs>
        <w:jc w:val="both"/>
      </w:pPr>
      <w:r>
        <w:t xml:space="preserve">The findings would not be significant as the number of participants at the close of the study was well below the numbers needed to be statistically significant. The significance pre-analysis determined that the optimum number to find statistical significance would have been 90 subjects, 30 in each arm of exploration. The team was able to recruit 12 patients, and not all of those were able to complete the requirements for measured outcomes, and due to the randomisation process the allocation into the comparison groups had not evened out yet to equal and comparable subjects in each arm. </w:t>
      </w:r>
    </w:p>
    <w:p w:rsidR="00267251" w:rsidRDefault="00267251" w:rsidP="00E04E76">
      <w:pPr>
        <w:tabs>
          <w:tab w:val="left" w:pos="1515"/>
        </w:tabs>
        <w:jc w:val="both"/>
      </w:pPr>
    </w:p>
    <w:p w:rsidR="00E04E76" w:rsidRDefault="00E04E76" w:rsidP="00E04E76">
      <w:pPr>
        <w:spacing w:after="200" w:line="480" w:lineRule="auto"/>
        <w:rPr>
          <w:i/>
          <w:szCs w:val="22"/>
        </w:rPr>
      </w:pPr>
    </w:p>
    <w:p w:rsidR="00CD21CE" w:rsidRDefault="00CD21CE" w:rsidP="00E04E76">
      <w:pPr>
        <w:spacing w:after="200" w:line="480" w:lineRule="auto"/>
        <w:rPr>
          <w:i/>
          <w:szCs w:val="22"/>
        </w:rPr>
      </w:pPr>
    </w:p>
    <w:p w:rsidR="00CD21CE" w:rsidRDefault="00CD21CE" w:rsidP="00E04E76">
      <w:pPr>
        <w:spacing w:after="200" w:line="480" w:lineRule="auto"/>
        <w:rPr>
          <w:i/>
          <w:szCs w:val="22"/>
        </w:rPr>
      </w:pPr>
    </w:p>
    <w:p w:rsidR="00CD21CE" w:rsidRDefault="00CD21CE" w:rsidP="00E04E76">
      <w:pPr>
        <w:spacing w:after="200" w:line="480" w:lineRule="auto"/>
        <w:rPr>
          <w:i/>
          <w:szCs w:val="22"/>
        </w:rPr>
      </w:pPr>
    </w:p>
    <w:p w:rsidR="00CD21CE" w:rsidRDefault="00CD21CE" w:rsidP="00E04E76">
      <w:pPr>
        <w:spacing w:after="200" w:line="480" w:lineRule="auto"/>
        <w:rPr>
          <w:i/>
          <w:szCs w:val="22"/>
        </w:rPr>
      </w:pPr>
    </w:p>
    <w:tbl>
      <w:tblPr>
        <w:tblW w:w="16371" w:type="dxa"/>
        <w:tblInd w:w="-885" w:type="dxa"/>
        <w:tblLook w:val="04A0" w:firstRow="1" w:lastRow="0" w:firstColumn="1" w:lastColumn="0" w:noHBand="0" w:noVBand="1"/>
      </w:tblPr>
      <w:tblGrid>
        <w:gridCol w:w="917"/>
        <w:gridCol w:w="1708"/>
        <w:gridCol w:w="1244"/>
        <w:gridCol w:w="719"/>
        <w:gridCol w:w="839"/>
        <w:gridCol w:w="551"/>
        <w:gridCol w:w="1185"/>
        <w:gridCol w:w="719"/>
        <w:gridCol w:w="839"/>
        <w:gridCol w:w="551"/>
        <w:gridCol w:w="1185"/>
        <w:gridCol w:w="846"/>
        <w:gridCol w:w="839"/>
        <w:gridCol w:w="551"/>
        <w:gridCol w:w="1226"/>
        <w:gridCol w:w="1226"/>
        <w:gridCol w:w="1226"/>
      </w:tblGrid>
      <w:tr w:rsidR="00111C9B" w:rsidRPr="00E04E76" w:rsidTr="00CD21CE">
        <w:trPr>
          <w:trHeight w:val="320"/>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bookmarkStart w:id="0" w:name="_GoBack"/>
            <w:bookmarkEnd w:id="0"/>
          </w:p>
        </w:tc>
        <w:tc>
          <w:tcPr>
            <w:tcW w:w="1708" w:type="dxa"/>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44" w:type="dxa"/>
            <w:tcBorders>
              <w:top w:val="single" w:sz="4" w:space="0" w:color="auto"/>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BASELINE ASSESSMENT</w:t>
            </w:r>
          </w:p>
        </w:tc>
        <w:tc>
          <w:tcPr>
            <w:tcW w:w="719" w:type="dxa"/>
            <w:tcBorders>
              <w:top w:val="single" w:sz="4" w:space="0" w:color="auto"/>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single" w:sz="4" w:space="0" w:color="auto"/>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single" w:sz="4" w:space="0" w:color="auto"/>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single" w:sz="4" w:space="0" w:color="auto"/>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xml:space="preserve">VISIT 2 </w:t>
            </w:r>
          </w:p>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ASSESSMENT</w:t>
            </w:r>
          </w:p>
        </w:tc>
        <w:tc>
          <w:tcPr>
            <w:tcW w:w="719" w:type="dxa"/>
            <w:tcBorders>
              <w:top w:val="single" w:sz="4" w:space="0" w:color="auto"/>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single" w:sz="4" w:space="0" w:color="auto"/>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single" w:sz="4" w:space="0" w:color="auto"/>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single" w:sz="4" w:space="0" w:color="auto"/>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VISIT 3 ASSESSMENT</w:t>
            </w:r>
          </w:p>
        </w:tc>
        <w:tc>
          <w:tcPr>
            <w:tcW w:w="846" w:type="dxa"/>
            <w:tcBorders>
              <w:top w:val="single" w:sz="4" w:space="0" w:color="auto"/>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single" w:sz="4" w:space="0" w:color="auto"/>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single" w:sz="4" w:space="0" w:color="auto"/>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single" w:sz="4" w:space="0" w:color="auto"/>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baseline</w:t>
            </w:r>
          </w:p>
        </w:tc>
        <w:tc>
          <w:tcPr>
            <w:tcW w:w="1226" w:type="dxa"/>
            <w:tcBorders>
              <w:top w:val="single" w:sz="4" w:space="0" w:color="auto"/>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visit 2</w:t>
            </w:r>
          </w:p>
        </w:tc>
        <w:tc>
          <w:tcPr>
            <w:tcW w:w="1226" w:type="dxa"/>
            <w:tcBorders>
              <w:top w:val="single" w:sz="4" w:space="0" w:color="auto"/>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visit 3</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000000" w:fill="538DD5"/>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Treatment Allocation</w:t>
            </w:r>
          </w:p>
        </w:tc>
        <w:tc>
          <w:tcPr>
            <w:tcW w:w="1244" w:type="dxa"/>
            <w:tcBorders>
              <w:top w:val="nil"/>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NIH</w:t>
            </w:r>
          </w:p>
        </w:tc>
        <w:tc>
          <w:tcPr>
            <w:tcW w:w="719" w:type="dxa"/>
            <w:tcBorders>
              <w:top w:val="nil"/>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Fugl.M</w:t>
            </w:r>
          </w:p>
        </w:tc>
        <w:tc>
          <w:tcPr>
            <w:tcW w:w="839" w:type="dxa"/>
            <w:tcBorders>
              <w:top w:val="nil"/>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FIMFAM</w:t>
            </w:r>
          </w:p>
        </w:tc>
        <w:tc>
          <w:tcPr>
            <w:tcW w:w="551" w:type="dxa"/>
            <w:tcBorders>
              <w:top w:val="nil"/>
              <w:left w:val="nil"/>
              <w:bottom w:val="single" w:sz="4" w:space="0" w:color="auto"/>
              <w:right w:val="single" w:sz="4" w:space="0" w:color="auto"/>
            </w:tcBorders>
            <w:shd w:val="clear" w:color="000000" w:fill="FFC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MRS</w:t>
            </w:r>
          </w:p>
        </w:tc>
        <w:tc>
          <w:tcPr>
            <w:tcW w:w="1185" w:type="dxa"/>
            <w:tcBorders>
              <w:top w:val="nil"/>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NIH</w:t>
            </w:r>
          </w:p>
        </w:tc>
        <w:tc>
          <w:tcPr>
            <w:tcW w:w="719" w:type="dxa"/>
            <w:tcBorders>
              <w:top w:val="nil"/>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Fugl.M</w:t>
            </w:r>
          </w:p>
        </w:tc>
        <w:tc>
          <w:tcPr>
            <w:tcW w:w="839" w:type="dxa"/>
            <w:tcBorders>
              <w:top w:val="nil"/>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FIMFAM</w:t>
            </w:r>
          </w:p>
        </w:tc>
        <w:tc>
          <w:tcPr>
            <w:tcW w:w="551" w:type="dxa"/>
            <w:tcBorders>
              <w:top w:val="nil"/>
              <w:left w:val="nil"/>
              <w:bottom w:val="single" w:sz="4" w:space="0" w:color="auto"/>
              <w:right w:val="single" w:sz="4" w:space="0" w:color="auto"/>
            </w:tcBorders>
            <w:shd w:val="clear" w:color="000000" w:fill="92D05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MRS</w:t>
            </w:r>
          </w:p>
        </w:tc>
        <w:tc>
          <w:tcPr>
            <w:tcW w:w="1185" w:type="dxa"/>
            <w:tcBorders>
              <w:top w:val="nil"/>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NIH</w:t>
            </w:r>
          </w:p>
        </w:tc>
        <w:tc>
          <w:tcPr>
            <w:tcW w:w="846" w:type="dxa"/>
            <w:tcBorders>
              <w:top w:val="nil"/>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Fugl.M</w:t>
            </w:r>
          </w:p>
        </w:tc>
        <w:tc>
          <w:tcPr>
            <w:tcW w:w="839" w:type="dxa"/>
            <w:tcBorders>
              <w:top w:val="nil"/>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FIMFAM</w:t>
            </w:r>
          </w:p>
        </w:tc>
        <w:tc>
          <w:tcPr>
            <w:tcW w:w="551" w:type="dxa"/>
            <w:tcBorders>
              <w:top w:val="nil"/>
              <w:left w:val="nil"/>
              <w:bottom w:val="single" w:sz="4" w:space="0" w:color="auto"/>
              <w:right w:val="single" w:sz="4" w:space="0" w:color="auto"/>
            </w:tcBorders>
            <w:shd w:val="clear" w:color="000000" w:fill="FF0000"/>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MRS</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FIM_motor_1</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FIM_motor_2</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FIM_motor_3</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n/a</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108</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54</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LATE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23</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40</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122</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67</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120</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25</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87</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85</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n/a</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74</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118</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83</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NO TREATMENT</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54</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102</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67</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LATE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45</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53</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92</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121</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94</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125</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37</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90</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91</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EARLY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10</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29</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47</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24</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LATE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79</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124</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0</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90</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123</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0</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100</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125</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89</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90</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91</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NO TREATMENT</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93</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123</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91</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EARLY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6</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30</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79</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47</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EARLY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32</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78</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43</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EARLY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52</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121</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86</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nil"/>
              <w:left w:val="nil"/>
              <w:bottom w:val="nil"/>
              <w:right w:val="nil"/>
            </w:tcBorders>
            <w:shd w:val="clear" w:color="auto" w:fill="auto"/>
            <w:noWrap/>
            <w:vAlign w:val="bottom"/>
            <w:hideMark/>
          </w:tcPr>
          <w:p w:rsidR="00E04E76" w:rsidRPr="004D325C" w:rsidRDefault="00E04E76" w:rsidP="00E04E76">
            <w:pPr>
              <w:rPr>
                <w:rFonts w:ascii="Calibri" w:hAnsi="Calibri" w:cs="Calibri"/>
                <w:color w:val="000000"/>
                <w:sz w:val="18"/>
                <w:szCs w:val="18"/>
                <w:highlight w:val="yellow"/>
              </w:rPr>
            </w:pPr>
          </w:p>
        </w:tc>
        <w:tc>
          <w:tcPr>
            <w:tcW w:w="1708" w:type="dxa"/>
            <w:tcBorders>
              <w:top w:val="nil"/>
              <w:left w:val="single" w:sz="4" w:space="0" w:color="auto"/>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LATE EPO</w:t>
            </w:r>
          </w:p>
        </w:tc>
        <w:tc>
          <w:tcPr>
            <w:tcW w:w="1244"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45</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71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185"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4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839"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551"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31</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26" w:type="dxa"/>
            <w:tcBorders>
              <w:top w:val="nil"/>
              <w:left w:val="nil"/>
              <w:bottom w:val="single" w:sz="4" w:space="0" w:color="auto"/>
              <w:right w:val="single" w:sz="4" w:space="0" w:color="auto"/>
            </w:tcBorders>
            <w:shd w:val="clear" w:color="auto" w:fill="auto"/>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r>
      <w:tr w:rsidR="00111C9B" w:rsidRPr="00E04E76" w:rsidTr="00CD21CE">
        <w:trPr>
          <w:trHeight w:val="303"/>
        </w:trPr>
        <w:tc>
          <w:tcPr>
            <w:tcW w:w="917"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Mean</w:t>
            </w:r>
          </w:p>
        </w:tc>
        <w:tc>
          <w:tcPr>
            <w:tcW w:w="1708"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44"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48</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87</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83</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122</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84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87</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123</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57</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89</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89</w:t>
            </w:r>
          </w:p>
        </w:tc>
      </w:tr>
      <w:tr w:rsidR="00111C9B" w:rsidRPr="00E04E76" w:rsidTr="00CD21CE">
        <w:trPr>
          <w:trHeight w:val="319"/>
        </w:trPr>
        <w:tc>
          <w:tcPr>
            <w:tcW w:w="917" w:type="dxa"/>
            <w:tcBorders>
              <w:top w:val="nil"/>
              <w:left w:val="single" w:sz="4" w:space="0" w:color="auto"/>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Std Deviation</w:t>
            </w:r>
          </w:p>
        </w:tc>
        <w:tc>
          <w:tcPr>
            <w:tcW w:w="1708"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44"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5.1</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23.8</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33.5</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1.3</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3.1</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14.5</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1.0</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0.6</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1.5</w:t>
            </w:r>
          </w:p>
        </w:tc>
        <w:tc>
          <w:tcPr>
            <w:tcW w:w="84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17.6</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2.9</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0.6</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25.8</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1.7</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3.5</w:t>
            </w:r>
          </w:p>
        </w:tc>
      </w:tr>
      <w:tr w:rsidR="00111C9B" w:rsidRPr="00E04E76" w:rsidTr="00CD21CE">
        <w:trPr>
          <w:trHeight w:val="303"/>
        </w:trPr>
        <w:tc>
          <w:tcPr>
            <w:tcW w:w="917" w:type="dxa"/>
            <w:tcBorders>
              <w:top w:val="nil"/>
              <w:left w:val="single" w:sz="4" w:space="0" w:color="auto"/>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xml:space="preserve">Median </w:t>
            </w:r>
          </w:p>
        </w:tc>
        <w:tc>
          <w:tcPr>
            <w:tcW w:w="1708"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rPr>
                <w:rFonts w:ascii="Calibri" w:hAnsi="Calibri" w:cs="Calibri"/>
                <w:color w:val="000000"/>
                <w:sz w:val="18"/>
                <w:szCs w:val="18"/>
              </w:rPr>
            </w:pPr>
            <w:r w:rsidRPr="00E04E76">
              <w:rPr>
                <w:rFonts w:ascii="Calibri" w:hAnsi="Calibri" w:cs="Calibri"/>
                <w:color w:val="000000"/>
                <w:sz w:val="18"/>
                <w:szCs w:val="18"/>
              </w:rPr>
              <w:t> </w:t>
            </w:r>
          </w:p>
        </w:tc>
        <w:tc>
          <w:tcPr>
            <w:tcW w:w="1244"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7</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41</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91</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4</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71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90</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122</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185"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2</w:t>
            </w:r>
          </w:p>
        </w:tc>
        <w:tc>
          <w:tcPr>
            <w:tcW w:w="84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94</w:t>
            </w:r>
          </w:p>
        </w:tc>
        <w:tc>
          <w:tcPr>
            <w:tcW w:w="839"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125</w:t>
            </w:r>
          </w:p>
        </w:tc>
        <w:tc>
          <w:tcPr>
            <w:tcW w:w="551"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1</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51</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90</w:t>
            </w:r>
          </w:p>
        </w:tc>
        <w:tc>
          <w:tcPr>
            <w:tcW w:w="1226" w:type="dxa"/>
            <w:tcBorders>
              <w:top w:val="nil"/>
              <w:left w:val="nil"/>
              <w:bottom w:val="single" w:sz="4" w:space="0" w:color="auto"/>
              <w:right w:val="single" w:sz="4" w:space="0" w:color="auto"/>
            </w:tcBorders>
            <w:shd w:val="clear" w:color="000000" w:fill="E6B8B7"/>
            <w:noWrap/>
            <w:vAlign w:val="bottom"/>
            <w:hideMark/>
          </w:tcPr>
          <w:p w:rsidR="00E04E76" w:rsidRPr="00E04E76" w:rsidRDefault="00E04E76" w:rsidP="00E04E76">
            <w:pPr>
              <w:jc w:val="right"/>
              <w:rPr>
                <w:rFonts w:ascii="Calibri" w:hAnsi="Calibri" w:cs="Calibri"/>
                <w:color w:val="000000"/>
                <w:sz w:val="18"/>
                <w:szCs w:val="18"/>
              </w:rPr>
            </w:pPr>
            <w:r w:rsidRPr="00E04E76">
              <w:rPr>
                <w:rFonts w:ascii="Calibri" w:hAnsi="Calibri" w:cs="Calibri"/>
                <w:color w:val="000000"/>
                <w:sz w:val="18"/>
                <w:szCs w:val="18"/>
              </w:rPr>
              <w:t>91</w:t>
            </w:r>
          </w:p>
        </w:tc>
      </w:tr>
    </w:tbl>
    <w:p w:rsidR="004D3AB1" w:rsidRPr="004D3AB1" w:rsidRDefault="004D3AB1" w:rsidP="004D3AB1">
      <w:pPr>
        <w:autoSpaceDE w:val="0"/>
        <w:autoSpaceDN w:val="0"/>
        <w:adjustRightInd w:val="0"/>
        <w:rPr>
          <w:rFonts w:eastAsiaTheme="minorHAnsi"/>
          <w:lang w:eastAsia="en-US"/>
        </w:rPr>
      </w:pPr>
    </w:p>
    <w:p w:rsidR="00590751" w:rsidRDefault="00590751" w:rsidP="00590751">
      <w:pPr>
        <w:autoSpaceDE w:val="0"/>
        <w:autoSpaceDN w:val="0"/>
        <w:adjustRightInd w:val="0"/>
        <w:rPr>
          <w:rFonts w:eastAsiaTheme="minorHAnsi"/>
          <w:lang w:eastAsia="en-US"/>
        </w:rPr>
      </w:pPr>
    </w:p>
    <w:p w:rsidR="00D974E6" w:rsidRDefault="00D974E6" w:rsidP="00590751">
      <w:pPr>
        <w:autoSpaceDE w:val="0"/>
        <w:autoSpaceDN w:val="0"/>
        <w:adjustRightInd w:val="0"/>
        <w:rPr>
          <w:rFonts w:eastAsiaTheme="minorHAnsi"/>
          <w:lang w:eastAsia="en-US"/>
        </w:rPr>
      </w:pPr>
    </w:p>
    <w:p w:rsidR="00D974E6" w:rsidRDefault="00D974E6" w:rsidP="00590751">
      <w:pPr>
        <w:autoSpaceDE w:val="0"/>
        <w:autoSpaceDN w:val="0"/>
        <w:adjustRightInd w:val="0"/>
        <w:rPr>
          <w:rFonts w:eastAsiaTheme="minorHAnsi"/>
          <w:lang w:eastAsia="en-US"/>
        </w:rPr>
      </w:pPr>
    </w:p>
    <w:p w:rsidR="00D974E6" w:rsidRDefault="00D974E6" w:rsidP="00590751">
      <w:pPr>
        <w:autoSpaceDE w:val="0"/>
        <w:autoSpaceDN w:val="0"/>
        <w:adjustRightInd w:val="0"/>
        <w:rPr>
          <w:rFonts w:eastAsiaTheme="minorHAnsi"/>
          <w:lang w:eastAsia="en-US"/>
        </w:rPr>
      </w:pPr>
    </w:p>
    <w:p w:rsidR="00D974E6" w:rsidRDefault="00D974E6" w:rsidP="00590751">
      <w:pPr>
        <w:autoSpaceDE w:val="0"/>
        <w:autoSpaceDN w:val="0"/>
        <w:adjustRightInd w:val="0"/>
        <w:rPr>
          <w:rFonts w:eastAsiaTheme="minorHAnsi"/>
          <w:lang w:eastAsia="en-US"/>
        </w:rPr>
      </w:pPr>
    </w:p>
    <w:p w:rsidR="00D974E6" w:rsidRPr="00590751" w:rsidRDefault="00D974E6" w:rsidP="00590751">
      <w:pPr>
        <w:autoSpaceDE w:val="0"/>
        <w:autoSpaceDN w:val="0"/>
        <w:adjustRightInd w:val="0"/>
        <w:rPr>
          <w:rFonts w:eastAsiaTheme="minorHAnsi"/>
          <w:lang w:eastAsia="en-US"/>
        </w:rPr>
      </w:pPr>
    </w:p>
    <w:tbl>
      <w:tblPr>
        <w:tblW w:w="7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9"/>
        <w:gridCol w:w="1000"/>
        <w:gridCol w:w="1045"/>
        <w:gridCol w:w="1076"/>
        <w:gridCol w:w="1000"/>
        <w:gridCol w:w="1410"/>
      </w:tblGrid>
      <w:tr w:rsidR="00590751" w:rsidRPr="00590751">
        <w:trPr>
          <w:cantSplit/>
        </w:trPr>
        <w:tc>
          <w:tcPr>
            <w:tcW w:w="7197" w:type="dxa"/>
            <w:gridSpan w:val="6"/>
            <w:tcBorders>
              <w:top w:val="nil"/>
              <w:left w:val="nil"/>
              <w:bottom w:val="nil"/>
              <w:right w:val="nil"/>
            </w:tcBorders>
            <w:shd w:val="clear" w:color="auto" w:fill="FFFFFF"/>
          </w:tcPr>
          <w:p w:rsidR="00590751" w:rsidRPr="00590751" w:rsidRDefault="00D974E6"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Pr>
                <w:rFonts w:ascii="Arial" w:eastAsiaTheme="minorHAnsi" w:hAnsi="Arial" w:cs="Arial"/>
                <w:b/>
                <w:bCs/>
                <w:color w:val="000000"/>
                <w:sz w:val="18"/>
                <w:szCs w:val="18"/>
                <w:lang w:eastAsia="en-US"/>
              </w:rPr>
              <w:lastRenderedPageBreak/>
              <w:t xml:space="preserve">SPSS </w:t>
            </w:r>
            <w:r w:rsidR="00590751" w:rsidRPr="00590751">
              <w:rPr>
                <w:rFonts w:ascii="Arial" w:eastAsiaTheme="minorHAnsi" w:hAnsi="Arial" w:cs="Arial"/>
                <w:b/>
                <w:bCs/>
                <w:color w:val="000000"/>
                <w:sz w:val="18"/>
                <w:szCs w:val="18"/>
                <w:lang w:eastAsia="en-US"/>
              </w:rPr>
              <w:t>Descriptive Statistics</w:t>
            </w:r>
          </w:p>
        </w:tc>
      </w:tr>
      <w:tr w:rsidR="00590751" w:rsidRPr="00590751">
        <w:trPr>
          <w:cantSplit/>
        </w:trPr>
        <w:tc>
          <w:tcPr>
            <w:tcW w:w="1667" w:type="dxa"/>
            <w:tcBorders>
              <w:top w:val="single" w:sz="16" w:space="0" w:color="000000"/>
              <w:left w:val="single" w:sz="16" w:space="0" w:color="000000"/>
              <w:bottom w:val="single" w:sz="16" w:space="0" w:color="000000"/>
              <w:right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p>
        </w:tc>
        <w:tc>
          <w:tcPr>
            <w:tcW w:w="1000" w:type="dxa"/>
            <w:tcBorders>
              <w:top w:val="single" w:sz="16" w:space="0" w:color="000000"/>
              <w:left w:val="single" w:sz="16" w:space="0" w:color="000000"/>
              <w:bottom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N</w:t>
            </w:r>
          </w:p>
        </w:tc>
        <w:tc>
          <w:tcPr>
            <w:tcW w:w="1045" w:type="dxa"/>
            <w:tcBorders>
              <w:top w:val="single" w:sz="16" w:space="0" w:color="000000"/>
              <w:bottom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Minimum</w:t>
            </w:r>
          </w:p>
        </w:tc>
        <w:tc>
          <w:tcPr>
            <w:tcW w:w="1076" w:type="dxa"/>
            <w:tcBorders>
              <w:top w:val="single" w:sz="16" w:space="0" w:color="000000"/>
              <w:bottom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Maximum</w:t>
            </w:r>
          </w:p>
        </w:tc>
        <w:tc>
          <w:tcPr>
            <w:tcW w:w="1000" w:type="dxa"/>
            <w:tcBorders>
              <w:top w:val="single" w:sz="16" w:space="0" w:color="000000"/>
              <w:bottom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Mean</w:t>
            </w:r>
          </w:p>
        </w:tc>
        <w:tc>
          <w:tcPr>
            <w:tcW w:w="1409" w:type="dxa"/>
            <w:tcBorders>
              <w:top w:val="single" w:sz="16" w:space="0" w:color="000000"/>
              <w:bottom w:val="single" w:sz="16" w:space="0" w:color="000000"/>
              <w:right w:val="single" w:sz="16" w:space="0" w:color="000000"/>
            </w:tcBorders>
            <w:shd w:val="clear" w:color="auto" w:fill="FFFFFF"/>
          </w:tcPr>
          <w:p w:rsidR="00590751" w:rsidRPr="00590751" w:rsidRDefault="00590751" w:rsidP="00590751">
            <w:pPr>
              <w:autoSpaceDE w:val="0"/>
              <w:autoSpaceDN w:val="0"/>
              <w:adjustRightInd w:val="0"/>
              <w:spacing w:line="320" w:lineRule="atLeast"/>
              <w:ind w:left="60" w:right="60"/>
              <w:jc w:val="center"/>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Std. Deviation</w:t>
            </w:r>
          </w:p>
        </w:tc>
      </w:tr>
      <w:tr w:rsidR="00590751" w:rsidRPr="00590751">
        <w:trPr>
          <w:cantSplit/>
        </w:trPr>
        <w:tc>
          <w:tcPr>
            <w:tcW w:w="1667" w:type="dxa"/>
            <w:tcBorders>
              <w:top w:val="single" w:sz="16" w:space="0" w:color="000000"/>
              <w:left w:val="single" w:sz="16" w:space="0" w:color="000000"/>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NIH</w:t>
            </w:r>
          </w:p>
        </w:tc>
        <w:tc>
          <w:tcPr>
            <w:tcW w:w="1000" w:type="dxa"/>
            <w:tcBorders>
              <w:top w:val="single" w:sz="16" w:space="0" w:color="000000"/>
              <w:left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w:t>
            </w:r>
          </w:p>
        </w:tc>
        <w:tc>
          <w:tcPr>
            <w:tcW w:w="1045" w:type="dxa"/>
            <w:tcBorders>
              <w:top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2.00</w:t>
            </w:r>
          </w:p>
        </w:tc>
        <w:tc>
          <w:tcPr>
            <w:tcW w:w="1076" w:type="dxa"/>
            <w:tcBorders>
              <w:top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23.00</w:t>
            </w:r>
          </w:p>
        </w:tc>
        <w:tc>
          <w:tcPr>
            <w:tcW w:w="1000" w:type="dxa"/>
            <w:tcBorders>
              <w:top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8.2500</w:t>
            </w:r>
          </w:p>
        </w:tc>
        <w:tc>
          <w:tcPr>
            <w:tcW w:w="1409" w:type="dxa"/>
            <w:tcBorders>
              <w:top w:val="single" w:sz="16" w:space="0" w:color="000000"/>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5.08340</w:t>
            </w:r>
          </w:p>
        </w:tc>
      </w:tr>
      <w:tr w:rsidR="00590751" w:rsidRPr="00590751">
        <w:trPr>
          <w:cantSplit/>
        </w:trPr>
        <w:tc>
          <w:tcPr>
            <w:tcW w:w="1667" w:type="dxa"/>
            <w:tcBorders>
              <w:top w:val="nil"/>
              <w:left w:val="single" w:sz="16" w:space="0" w:color="000000"/>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FM</w:t>
            </w:r>
          </w:p>
        </w:tc>
        <w:tc>
          <w:tcPr>
            <w:tcW w:w="1000" w:type="dxa"/>
            <w:tcBorders>
              <w:top w:val="nil"/>
              <w:left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w:t>
            </w:r>
          </w:p>
        </w:tc>
        <w:tc>
          <w:tcPr>
            <w:tcW w:w="1045"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12.00</w:t>
            </w:r>
          </w:p>
        </w:tc>
        <w:tc>
          <w:tcPr>
            <w:tcW w:w="1076"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93.00</w:t>
            </w:r>
          </w:p>
        </w:tc>
        <w:tc>
          <w:tcPr>
            <w:tcW w:w="1000"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47.6667</w:t>
            </w:r>
          </w:p>
        </w:tc>
        <w:tc>
          <w:tcPr>
            <w:tcW w:w="1409" w:type="dxa"/>
            <w:tcBorders>
              <w:top w:val="nil"/>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23.83021</w:t>
            </w:r>
          </w:p>
        </w:tc>
      </w:tr>
      <w:tr w:rsidR="00590751" w:rsidRPr="00590751">
        <w:trPr>
          <w:cantSplit/>
        </w:trPr>
        <w:tc>
          <w:tcPr>
            <w:tcW w:w="1667" w:type="dxa"/>
            <w:tcBorders>
              <w:top w:val="nil"/>
              <w:left w:val="single" w:sz="16" w:space="0" w:color="000000"/>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FIM</w:t>
            </w:r>
          </w:p>
        </w:tc>
        <w:tc>
          <w:tcPr>
            <w:tcW w:w="1000" w:type="dxa"/>
            <w:tcBorders>
              <w:top w:val="nil"/>
              <w:left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w:t>
            </w:r>
          </w:p>
        </w:tc>
        <w:tc>
          <w:tcPr>
            <w:tcW w:w="1045"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40.00</w:t>
            </w:r>
          </w:p>
        </w:tc>
        <w:tc>
          <w:tcPr>
            <w:tcW w:w="1076"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124.00</w:t>
            </w:r>
          </w:p>
        </w:tc>
        <w:tc>
          <w:tcPr>
            <w:tcW w:w="1000"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86.5000</w:t>
            </w:r>
          </w:p>
        </w:tc>
        <w:tc>
          <w:tcPr>
            <w:tcW w:w="1409" w:type="dxa"/>
            <w:tcBorders>
              <w:top w:val="nil"/>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33.46504</w:t>
            </w:r>
          </w:p>
        </w:tc>
      </w:tr>
      <w:tr w:rsidR="00590751" w:rsidRPr="00590751">
        <w:trPr>
          <w:cantSplit/>
        </w:trPr>
        <w:tc>
          <w:tcPr>
            <w:tcW w:w="1667" w:type="dxa"/>
            <w:tcBorders>
              <w:top w:val="nil"/>
              <w:left w:val="single" w:sz="16" w:space="0" w:color="000000"/>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MRS</w:t>
            </w:r>
          </w:p>
        </w:tc>
        <w:tc>
          <w:tcPr>
            <w:tcW w:w="1000" w:type="dxa"/>
            <w:tcBorders>
              <w:top w:val="nil"/>
              <w:left w:val="single" w:sz="16" w:space="0" w:color="000000"/>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w:t>
            </w:r>
          </w:p>
        </w:tc>
        <w:tc>
          <w:tcPr>
            <w:tcW w:w="1045"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1.00</w:t>
            </w:r>
          </w:p>
        </w:tc>
        <w:tc>
          <w:tcPr>
            <w:tcW w:w="1076"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4.00</w:t>
            </w:r>
          </w:p>
        </w:tc>
        <w:tc>
          <w:tcPr>
            <w:tcW w:w="1000" w:type="dxa"/>
            <w:tcBorders>
              <w:top w:val="nil"/>
              <w:bottom w:val="nil"/>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3.0000</w:t>
            </w:r>
          </w:p>
        </w:tc>
        <w:tc>
          <w:tcPr>
            <w:tcW w:w="1409" w:type="dxa"/>
            <w:tcBorders>
              <w:top w:val="nil"/>
              <w:bottom w:val="nil"/>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1.34840</w:t>
            </w:r>
          </w:p>
        </w:tc>
      </w:tr>
      <w:tr w:rsidR="00590751" w:rsidRPr="00590751">
        <w:trPr>
          <w:cantSplit/>
        </w:trPr>
        <w:tc>
          <w:tcPr>
            <w:tcW w:w="1667" w:type="dxa"/>
            <w:tcBorders>
              <w:top w:val="nil"/>
              <w:left w:val="single" w:sz="16" w:space="0" w:color="000000"/>
              <w:bottom w:val="single" w:sz="16" w:space="0" w:color="000000"/>
              <w:right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Valid N (listwise)</w:t>
            </w:r>
          </w:p>
        </w:tc>
        <w:tc>
          <w:tcPr>
            <w:tcW w:w="1000" w:type="dxa"/>
            <w:tcBorders>
              <w:top w:val="nil"/>
              <w:left w:val="single" w:sz="16" w:space="0" w:color="000000"/>
              <w:bottom w:val="single" w:sz="16" w:space="0" w:color="000000"/>
            </w:tcBorders>
            <w:shd w:val="clear" w:color="auto" w:fill="FFFFFF"/>
            <w:vAlign w:val="center"/>
          </w:tcPr>
          <w:p w:rsidR="00590751" w:rsidRPr="00590751" w:rsidRDefault="00590751" w:rsidP="00590751">
            <w:pPr>
              <w:autoSpaceDE w:val="0"/>
              <w:autoSpaceDN w:val="0"/>
              <w:adjustRightInd w:val="0"/>
              <w:spacing w:line="320" w:lineRule="atLeast"/>
              <w:ind w:left="60" w:right="60"/>
              <w:jc w:val="right"/>
              <w:rPr>
                <w:rFonts w:ascii="Arial" w:eastAsiaTheme="minorHAnsi" w:hAnsi="Arial" w:cs="Arial"/>
                <w:color w:val="000000"/>
                <w:sz w:val="18"/>
                <w:szCs w:val="18"/>
                <w:lang w:eastAsia="en-US"/>
              </w:rPr>
            </w:pPr>
            <w:r w:rsidRPr="00590751">
              <w:rPr>
                <w:rFonts w:ascii="Arial" w:eastAsiaTheme="minorHAnsi" w:hAnsi="Arial" w:cs="Arial"/>
                <w:color w:val="000000"/>
                <w:sz w:val="18"/>
                <w:szCs w:val="18"/>
                <w:lang w:eastAsia="en-US"/>
              </w:rPr>
              <w:t>12</w:t>
            </w:r>
          </w:p>
        </w:tc>
        <w:tc>
          <w:tcPr>
            <w:tcW w:w="1045" w:type="dxa"/>
            <w:tcBorders>
              <w:top w:val="nil"/>
              <w:bottom w:val="single" w:sz="16" w:space="0" w:color="000000"/>
            </w:tcBorders>
            <w:shd w:val="clear" w:color="auto" w:fill="FFFFFF"/>
          </w:tcPr>
          <w:p w:rsidR="00590751" w:rsidRPr="00590751" w:rsidRDefault="00590751" w:rsidP="00590751">
            <w:pPr>
              <w:autoSpaceDE w:val="0"/>
              <w:autoSpaceDN w:val="0"/>
              <w:adjustRightInd w:val="0"/>
              <w:rPr>
                <w:rFonts w:eastAsiaTheme="minorHAnsi"/>
                <w:lang w:eastAsia="en-US"/>
              </w:rPr>
            </w:pPr>
          </w:p>
        </w:tc>
        <w:tc>
          <w:tcPr>
            <w:tcW w:w="1076" w:type="dxa"/>
            <w:tcBorders>
              <w:top w:val="nil"/>
              <w:bottom w:val="single" w:sz="16" w:space="0" w:color="000000"/>
            </w:tcBorders>
            <w:shd w:val="clear" w:color="auto" w:fill="FFFFFF"/>
          </w:tcPr>
          <w:p w:rsidR="00590751" w:rsidRPr="00590751" w:rsidRDefault="00590751" w:rsidP="00590751">
            <w:pPr>
              <w:autoSpaceDE w:val="0"/>
              <w:autoSpaceDN w:val="0"/>
              <w:adjustRightInd w:val="0"/>
              <w:rPr>
                <w:rFonts w:eastAsiaTheme="minorHAnsi"/>
                <w:lang w:eastAsia="en-US"/>
              </w:rPr>
            </w:pPr>
          </w:p>
        </w:tc>
        <w:tc>
          <w:tcPr>
            <w:tcW w:w="1000" w:type="dxa"/>
            <w:tcBorders>
              <w:top w:val="nil"/>
              <w:bottom w:val="single" w:sz="16" w:space="0" w:color="000000"/>
            </w:tcBorders>
            <w:shd w:val="clear" w:color="auto" w:fill="FFFFFF"/>
          </w:tcPr>
          <w:p w:rsidR="00590751" w:rsidRPr="00590751" w:rsidRDefault="00590751" w:rsidP="00590751">
            <w:pPr>
              <w:autoSpaceDE w:val="0"/>
              <w:autoSpaceDN w:val="0"/>
              <w:adjustRightInd w:val="0"/>
              <w:rPr>
                <w:rFonts w:eastAsiaTheme="minorHAnsi"/>
                <w:lang w:eastAsia="en-US"/>
              </w:rPr>
            </w:pPr>
          </w:p>
        </w:tc>
        <w:tc>
          <w:tcPr>
            <w:tcW w:w="1409" w:type="dxa"/>
            <w:tcBorders>
              <w:top w:val="nil"/>
              <w:bottom w:val="single" w:sz="16" w:space="0" w:color="000000"/>
              <w:right w:val="single" w:sz="16" w:space="0" w:color="000000"/>
            </w:tcBorders>
            <w:shd w:val="clear" w:color="auto" w:fill="FFFFFF"/>
          </w:tcPr>
          <w:p w:rsidR="00590751" w:rsidRPr="00590751" w:rsidRDefault="00590751" w:rsidP="00590751">
            <w:pPr>
              <w:autoSpaceDE w:val="0"/>
              <w:autoSpaceDN w:val="0"/>
              <w:adjustRightInd w:val="0"/>
              <w:rPr>
                <w:rFonts w:eastAsiaTheme="minorHAnsi"/>
                <w:lang w:eastAsia="en-US"/>
              </w:rPr>
            </w:pPr>
          </w:p>
        </w:tc>
      </w:tr>
    </w:tbl>
    <w:p w:rsidR="00590751" w:rsidRPr="00590751" w:rsidRDefault="00590751" w:rsidP="00590751">
      <w:pPr>
        <w:autoSpaceDE w:val="0"/>
        <w:autoSpaceDN w:val="0"/>
        <w:adjustRightInd w:val="0"/>
        <w:spacing w:line="400" w:lineRule="atLeast"/>
        <w:rPr>
          <w:rFonts w:eastAsiaTheme="minorHAnsi"/>
          <w:lang w:eastAsia="en-US"/>
        </w:rPr>
      </w:pPr>
    </w:p>
    <w:p w:rsidR="00D56813" w:rsidRPr="009626EB" w:rsidRDefault="00D974E6" w:rsidP="00CD21CE">
      <w:pPr>
        <w:spacing w:after="200" w:line="276" w:lineRule="auto"/>
      </w:pPr>
      <w:r>
        <w:rPr>
          <w:noProof/>
        </w:rPr>
        <w:drawing>
          <wp:inline distT="0" distB="0" distL="0" distR="0" wp14:anchorId="4B8FBDDD" wp14:editId="64739C40">
            <wp:extent cx="5800725" cy="301942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sectPr w:rsidR="00D56813" w:rsidRPr="009626EB" w:rsidSect="00E04E76">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F0A" w:rsidRDefault="00226F0A" w:rsidP="009626EB">
      <w:r>
        <w:separator/>
      </w:r>
    </w:p>
  </w:endnote>
  <w:endnote w:type="continuationSeparator" w:id="0">
    <w:p w:rsidR="00226F0A" w:rsidRDefault="00226F0A" w:rsidP="0096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073368"/>
      <w:docPartObj>
        <w:docPartGallery w:val="Page Numbers (Bottom of Page)"/>
        <w:docPartUnique/>
      </w:docPartObj>
    </w:sdtPr>
    <w:sdtEndPr>
      <w:rPr>
        <w:noProof/>
      </w:rPr>
    </w:sdtEndPr>
    <w:sdtContent>
      <w:p w:rsidR="00C320CB" w:rsidRDefault="00C320CB">
        <w:pPr>
          <w:pStyle w:val="Footer"/>
          <w:jc w:val="right"/>
        </w:pPr>
        <w:r>
          <w:fldChar w:fldCharType="begin"/>
        </w:r>
        <w:r>
          <w:instrText xml:space="preserve"> PAGE   \* MERGEFORMAT </w:instrText>
        </w:r>
        <w:r>
          <w:fldChar w:fldCharType="separate"/>
        </w:r>
        <w:r w:rsidR="00CD21CE">
          <w:rPr>
            <w:noProof/>
          </w:rPr>
          <w:t>3</w:t>
        </w:r>
        <w:r>
          <w:rPr>
            <w:noProof/>
          </w:rPr>
          <w:fldChar w:fldCharType="end"/>
        </w:r>
      </w:p>
    </w:sdtContent>
  </w:sdt>
  <w:p w:rsidR="00C320CB" w:rsidRDefault="00C32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F0A" w:rsidRDefault="00226F0A" w:rsidP="009626EB">
      <w:r>
        <w:separator/>
      </w:r>
    </w:p>
  </w:footnote>
  <w:footnote w:type="continuationSeparator" w:id="0">
    <w:p w:rsidR="00226F0A" w:rsidRDefault="00226F0A" w:rsidP="009626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0CB" w:rsidRDefault="00C320CB" w:rsidP="009626EB">
    <w:pPr>
      <w:pStyle w:val="Header"/>
      <w:tabs>
        <w:tab w:val="right" w:pos="10080"/>
      </w:tabs>
      <w:rPr>
        <w:rFonts w:ascii="Arial" w:hAnsi="Arial" w:cs="Arial"/>
        <w:sz w:val="20"/>
        <w:szCs w:val="20"/>
      </w:rPr>
    </w:pPr>
    <w:r w:rsidRPr="009626EB">
      <w:rPr>
        <w:rFonts w:ascii="Arial" w:hAnsi="Arial" w:cs="Arial"/>
        <w:sz w:val="20"/>
        <w:szCs w:val="20"/>
      </w:rPr>
      <w:t xml:space="preserve">EudraCT Number 2011-000123-33 / </w:t>
    </w:r>
    <w:r>
      <w:rPr>
        <w:rFonts w:ascii="Arial" w:hAnsi="Arial" w:cs="Arial"/>
        <w:sz w:val="20"/>
        <w:szCs w:val="20"/>
      </w:rPr>
      <w:t>KCH11-160</w:t>
    </w:r>
    <w:r>
      <w:rPr>
        <w:rFonts w:ascii="Arial" w:hAnsi="Arial" w:cs="Arial"/>
        <w:sz w:val="20"/>
        <w:szCs w:val="20"/>
      </w:rPr>
      <w:tab/>
      <w:t xml:space="preserve">RISC Final Report </w:t>
    </w:r>
  </w:p>
  <w:p w:rsidR="00C320CB" w:rsidRPr="009626EB" w:rsidRDefault="00C320CB" w:rsidP="009626EB">
    <w:pPr>
      <w:pStyle w:val="Header"/>
      <w:tabs>
        <w:tab w:val="right" w:pos="10080"/>
      </w:tabs>
      <w:rPr>
        <w:rFonts w:ascii="Arial" w:hAnsi="Arial" w:cs="Arial"/>
        <w:sz w:val="20"/>
        <w:szCs w:val="20"/>
      </w:rPr>
    </w:pPr>
  </w:p>
  <w:p w:rsidR="00C320CB" w:rsidRDefault="00C320CB">
    <w:pPr>
      <w:pStyle w:val="Header"/>
    </w:pPr>
    <w:r>
      <w:rPr>
        <w:noProof/>
      </w:rPr>
      <w:drawing>
        <wp:inline distT="0" distB="0" distL="0" distR="0" wp14:anchorId="25E48145" wp14:editId="4A4004D7">
          <wp:extent cx="6364605" cy="7740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4605" cy="774065"/>
                  </a:xfrm>
                  <a:prstGeom prst="rect">
                    <a:avLst/>
                  </a:prstGeom>
                  <a:noFill/>
                </pic:spPr>
              </pic:pic>
            </a:graphicData>
          </a:graphic>
        </wp:inline>
      </w:drawing>
    </w:r>
  </w:p>
  <w:p w:rsidR="00C320CB" w:rsidRDefault="00C32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E5674"/>
    <w:multiLevelType w:val="hybridMultilevel"/>
    <w:tmpl w:val="9B86E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D0679"/>
    <w:multiLevelType w:val="hybridMultilevel"/>
    <w:tmpl w:val="E8E8A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C318F"/>
    <w:multiLevelType w:val="hybridMultilevel"/>
    <w:tmpl w:val="ABCC3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087C5F"/>
    <w:multiLevelType w:val="hybridMultilevel"/>
    <w:tmpl w:val="935CC626"/>
    <w:lvl w:ilvl="0" w:tplc="3E6285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90F3C77"/>
    <w:multiLevelType w:val="hybridMultilevel"/>
    <w:tmpl w:val="F08A5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062A22"/>
    <w:multiLevelType w:val="hybridMultilevel"/>
    <w:tmpl w:val="851E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006084"/>
    <w:multiLevelType w:val="hybridMultilevel"/>
    <w:tmpl w:val="A11A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113E4"/>
    <w:multiLevelType w:val="hybridMultilevel"/>
    <w:tmpl w:val="6A5E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193637"/>
    <w:multiLevelType w:val="hybridMultilevel"/>
    <w:tmpl w:val="0BD44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982B16"/>
    <w:multiLevelType w:val="hybridMultilevel"/>
    <w:tmpl w:val="27066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C5DEF"/>
    <w:multiLevelType w:val="hybridMultilevel"/>
    <w:tmpl w:val="DEC2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E2E27"/>
    <w:multiLevelType w:val="hybridMultilevel"/>
    <w:tmpl w:val="84E2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CC29A0"/>
    <w:multiLevelType w:val="hybridMultilevel"/>
    <w:tmpl w:val="3828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381D6B"/>
    <w:multiLevelType w:val="hybridMultilevel"/>
    <w:tmpl w:val="BCB2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4D4CE3"/>
    <w:multiLevelType w:val="hybridMultilevel"/>
    <w:tmpl w:val="686A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786D1D"/>
    <w:multiLevelType w:val="hybridMultilevel"/>
    <w:tmpl w:val="A3F6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8"/>
  </w:num>
  <w:num w:numId="7">
    <w:abstractNumId w:val="7"/>
  </w:num>
  <w:num w:numId="8">
    <w:abstractNumId w:val="9"/>
  </w:num>
  <w:num w:numId="9">
    <w:abstractNumId w:val="6"/>
  </w:num>
  <w:num w:numId="10">
    <w:abstractNumId w:val="0"/>
  </w:num>
  <w:num w:numId="11">
    <w:abstractNumId w:val="12"/>
  </w:num>
  <w:num w:numId="12">
    <w:abstractNumId w:val="14"/>
  </w:num>
  <w:num w:numId="13">
    <w:abstractNumId w:val="15"/>
  </w:num>
  <w:num w:numId="14">
    <w:abstractNumId w:val="10"/>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6EB"/>
    <w:rsid w:val="00042F6A"/>
    <w:rsid w:val="00077308"/>
    <w:rsid w:val="000B26CC"/>
    <w:rsid w:val="000F5B06"/>
    <w:rsid w:val="00106D9C"/>
    <w:rsid w:val="00111C9B"/>
    <w:rsid w:val="0018077A"/>
    <w:rsid w:val="001C69E1"/>
    <w:rsid w:val="0022510A"/>
    <w:rsid w:val="00226F0A"/>
    <w:rsid w:val="002431A2"/>
    <w:rsid w:val="00267251"/>
    <w:rsid w:val="002A6DFF"/>
    <w:rsid w:val="002E27E3"/>
    <w:rsid w:val="002F42AE"/>
    <w:rsid w:val="00330387"/>
    <w:rsid w:val="003434DD"/>
    <w:rsid w:val="00346A56"/>
    <w:rsid w:val="003730D5"/>
    <w:rsid w:val="003777FA"/>
    <w:rsid w:val="003C0B84"/>
    <w:rsid w:val="003E2EBF"/>
    <w:rsid w:val="00443AFF"/>
    <w:rsid w:val="00446A30"/>
    <w:rsid w:val="004D325C"/>
    <w:rsid w:val="004D3AB1"/>
    <w:rsid w:val="004E3026"/>
    <w:rsid w:val="00505EAD"/>
    <w:rsid w:val="00514BFE"/>
    <w:rsid w:val="00522776"/>
    <w:rsid w:val="00544520"/>
    <w:rsid w:val="00574647"/>
    <w:rsid w:val="00590751"/>
    <w:rsid w:val="005A36E8"/>
    <w:rsid w:val="005D3831"/>
    <w:rsid w:val="005D6405"/>
    <w:rsid w:val="005F6FE4"/>
    <w:rsid w:val="0060652C"/>
    <w:rsid w:val="00653245"/>
    <w:rsid w:val="00690199"/>
    <w:rsid w:val="00695432"/>
    <w:rsid w:val="006B663E"/>
    <w:rsid w:val="00765470"/>
    <w:rsid w:val="00786E44"/>
    <w:rsid w:val="007B2DB5"/>
    <w:rsid w:val="007B77F8"/>
    <w:rsid w:val="007E5322"/>
    <w:rsid w:val="007E62E2"/>
    <w:rsid w:val="007F6574"/>
    <w:rsid w:val="008100D5"/>
    <w:rsid w:val="00810E2F"/>
    <w:rsid w:val="00813400"/>
    <w:rsid w:val="00814F8C"/>
    <w:rsid w:val="00867999"/>
    <w:rsid w:val="008D7371"/>
    <w:rsid w:val="00913DEC"/>
    <w:rsid w:val="009569E6"/>
    <w:rsid w:val="009626EB"/>
    <w:rsid w:val="0096317C"/>
    <w:rsid w:val="00997F0F"/>
    <w:rsid w:val="009C4214"/>
    <w:rsid w:val="00AC27FA"/>
    <w:rsid w:val="00AF40CC"/>
    <w:rsid w:val="00B1418F"/>
    <w:rsid w:val="00B1719B"/>
    <w:rsid w:val="00B17BF9"/>
    <w:rsid w:val="00B96FAF"/>
    <w:rsid w:val="00BA6539"/>
    <w:rsid w:val="00BD397D"/>
    <w:rsid w:val="00BE3E03"/>
    <w:rsid w:val="00C320CB"/>
    <w:rsid w:val="00C35215"/>
    <w:rsid w:val="00C67521"/>
    <w:rsid w:val="00CB5F6D"/>
    <w:rsid w:val="00CC5A4F"/>
    <w:rsid w:val="00CD21CE"/>
    <w:rsid w:val="00CF74E7"/>
    <w:rsid w:val="00D56813"/>
    <w:rsid w:val="00D924EA"/>
    <w:rsid w:val="00D974E6"/>
    <w:rsid w:val="00DF153E"/>
    <w:rsid w:val="00E034AF"/>
    <w:rsid w:val="00E04E76"/>
    <w:rsid w:val="00E16579"/>
    <w:rsid w:val="00E613F6"/>
    <w:rsid w:val="00E62135"/>
    <w:rsid w:val="00E92C09"/>
    <w:rsid w:val="00FD5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A99BCB8-B831-41B6-AEBC-B40F1C299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6E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6EB"/>
    <w:pPr>
      <w:tabs>
        <w:tab w:val="center" w:pos="4513"/>
        <w:tab w:val="right" w:pos="9026"/>
      </w:tabs>
    </w:pPr>
  </w:style>
  <w:style w:type="character" w:customStyle="1" w:styleId="HeaderChar">
    <w:name w:val="Header Char"/>
    <w:basedOn w:val="DefaultParagraphFont"/>
    <w:link w:val="Header"/>
    <w:uiPriority w:val="99"/>
    <w:rsid w:val="009626EB"/>
  </w:style>
  <w:style w:type="paragraph" w:styleId="Footer">
    <w:name w:val="footer"/>
    <w:basedOn w:val="Normal"/>
    <w:link w:val="FooterChar"/>
    <w:uiPriority w:val="99"/>
    <w:unhideWhenUsed/>
    <w:rsid w:val="009626EB"/>
    <w:pPr>
      <w:tabs>
        <w:tab w:val="center" w:pos="4513"/>
        <w:tab w:val="right" w:pos="9026"/>
      </w:tabs>
    </w:pPr>
  </w:style>
  <w:style w:type="character" w:customStyle="1" w:styleId="FooterChar">
    <w:name w:val="Footer Char"/>
    <w:basedOn w:val="DefaultParagraphFont"/>
    <w:link w:val="Footer"/>
    <w:uiPriority w:val="99"/>
    <w:rsid w:val="009626EB"/>
  </w:style>
  <w:style w:type="paragraph" w:styleId="BalloonText">
    <w:name w:val="Balloon Text"/>
    <w:basedOn w:val="Normal"/>
    <w:link w:val="BalloonTextChar"/>
    <w:uiPriority w:val="99"/>
    <w:semiHidden/>
    <w:unhideWhenUsed/>
    <w:rsid w:val="009626EB"/>
    <w:rPr>
      <w:rFonts w:ascii="Tahoma" w:hAnsi="Tahoma" w:cs="Tahoma"/>
      <w:sz w:val="16"/>
      <w:szCs w:val="16"/>
    </w:rPr>
  </w:style>
  <w:style w:type="character" w:customStyle="1" w:styleId="BalloonTextChar">
    <w:name w:val="Balloon Text Char"/>
    <w:basedOn w:val="DefaultParagraphFont"/>
    <w:link w:val="BalloonText"/>
    <w:uiPriority w:val="99"/>
    <w:semiHidden/>
    <w:rsid w:val="009626EB"/>
    <w:rPr>
      <w:rFonts w:ascii="Tahoma" w:hAnsi="Tahoma" w:cs="Tahoma"/>
      <w:sz w:val="16"/>
      <w:szCs w:val="16"/>
    </w:rPr>
  </w:style>
  <w:style w:type="table" w:styleId="TableGrid">
    <w:name w:val="Table Grid"/>
    <w:basedOn w:val="TableNormal"/>
    <w:uiPriority w:val="59"/>
    <w:rsid w:val="00267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74E7"/>
    <w:pPr>
      <w:ind w:left="720"/>
      <w:contextualSpacing/>
    </w:pPr>
  </w:style>
  <w:style w:type="character" w:styleId="Hyperlink">
    <w:name w:val="Hyperlink"/>
    <w:basedOn w:val="DefaultParagraphFont"/>
    <w:uiPriority w:val="99"/>
    <w:unhideWhenUsed/>
    <w:rsid w:val="0022510A"/>
    <w:rPr>
      <w:color w:val="0000FF" w:themeColor="hyperlink"/>
      <w:u w:val="single"/>
    </w:rPr>
  </w:style>
  <w:style w:type="character" w:styleId="CommentReference">
    <w:name w:val="annotation reference"/>
    <w:basedOn w:val="DefaultParagraphFont"/>
    <w:uiPriority w:val="99"/>
    <w:semiHidden/>
    <w:unhideWhenUsed/>
    <w:rsid w:val="00CB5F6D"/>
    <w:rPr>
      <w:sz w:val="16"/>
      <w:szCs w:val="16"/>
    </w:rPr>
  </w:style>
  <w:style w:type="paragraph" w:styleId="CommentText">
    <w:name w:val="annotation text"/>
    <w:basedOn w:val="Normal"/>
    <w:link w:val="CommentTextChar"/>
    <w:uiPriority w:val="99"/>
    <w:semiHidden/>
    <w:unhideWhenUsed/>
    <w:rsid w:val="00CB5F6D"/>
    <w:rPr>
      <w:sz w:val="20"/>
      <w:szCs w:val="20"/>
    </w:rPr>
  </w:style>
  <w:style w:type="character" w:customStyle="1" w:styleId="CommentTextChar">
    <w:name w:val="Comment Text Char"/>
    <w:basedOn w:val="DefaultParagraphFont"/>
    <w:link w:val="CommentText"/>
    <w:uiPriority w:val="99"/>
    <w:semiHidden/>
    <w:rsid w:val="00CB5F6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5F6D"/>
    <w:rPr>
      <w:b/>
      <w:bCs/>
    </w:rPr>
  </w:style>
  <w:style w:type="character" w:customStyle="1" w:styleId="CommentSubjectChar">
    <w:name w:val="Comment Subject Char"/>
    <w:basedOn w:val="CommentTextChar"/>
    <w:link w:val="CommentSubject"/>
    <w:uiPriority w:val="99"/>
    <w:semiHidden/>
    <w:rsid w:val="00CB5F6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Baseline</a:t>
            </a:r>
            <a:r>
              <a:rPr lang="en-GB" baseline="0"/>
              <a:t> Clinical Assessment</a:t>
            </a:r>
            <a:endParaRPr lang="en-GB"/>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Sheet1!$C$3</c:f>
              <c:strCache>
                <c:ptCount val="1"/>
                <c:pt idx="0">
                  <c:v>NIH</c:v>
                </c:pt>
              </c:strCache>
            </c:strRef>
          </c:tx>
          <c:invertIfNegative val="0"/>
          <c:val>
            <c:numRef>
              <c:f>Sheet1!$C$4:$C$15</c:f>
              <c:numCache>
                <c:formatCode>General</c:formatCode>
                <c:ptCount val="12"/>
                <c:pt idx="0">
                  <c:v>6</c:v>
                </c:pt>
                <c:pt idx="1">
                  <c:v>23</c:v>
                </c:pt>
                <c:pt idx="2">
                  <c:v>6</c:v>
                </c:pt>
                <c:pt idx="3">
                  <c:v>6</c:v>
                </c:pt>
                <c:pt idx="4">
                  <c:v>8</c:v>
                </c:pt>
                <c:pt idx="5">
                  <c:v>10</c:v>
                </c:pt>
                <c:pt idx="6">
                  <c:v>2</c:v>
                </c:pt>
                <c:pt idx="7">
                  <c:v>7</c:v>
                </c:pt>
                <c:pt idx="8">
                  <c:v>6</c:v>
                </c:pt>
                <c:pt idx="9">
                  <c:v>9</c:v>
                </c:pt>
                <c:pt idx="10">
                  <c:v>7</c:v>
                </c:pt>
                <c:pt idx="11">
                  <c:v>9</c:v>
                </c:pt>
              </c:numCache>
            </c:numRef>
          </c:val>
        </c:ser>
        <c:ser>
          <c:idx val="1"/>
          <c:order val="1"/>
          <c:tx>
            <c:strRef>
              <c:f>Sheet1!$D$3</c:f>
              <c:strCache>
                <c:ptCount val="1"/>
                <c:pt idx="0">
                  <c:v>Fugl.M</c:v>
                </c:pt>
              </c:strCache>
            </c:strRef>
          </c:tx>
          <c:invertIfNegative val="0"/>
          <c:val>
            <c:numRef>
              <c:f>Sheet1!$D$4:$D$15</c:f>
              <c:numCache>
                <c:formatCode>General</c:formatCode>
                <c:ptCount val="12"/>
                <c:pt idx="0">
                  <c:v>36</c:v>
                </c:pt>
                <c:pt idx="1">
                  <c:v>12</c:v>
                </c:pt>
                <c:pt idx="2">
                  <c:v>74</c:v>
                </c:pt>
                <c:pt idx="3">
                  <c:v>54</c:v>
                </c:pt>
                <c:pt idx="4">
                  <c:v>45</c:v>
                </c:pt>
                <c:pt idx="5">
                  <c:v>29</c:v>
                </c:pt>
                <c:pt idx="6">
                  <c:v>79</c:v>
                </c:pt>
                <c:pt idx="7">
                  <c:v>93</c:v>
                </c:pt>
                <c:pt idx="8">
                  <c:v>30</c:v>
                </c:pt>
                <c:pt idx="9">
                  <c:v>32</c:v>
                </c:pt>
                <c:pt idx="10">
                  <c:v>52</c:v>
                </c:pt>
                <c:pt idx="11">
                  <c:v>36</c:v>
                </c:pt>
              </c:numCache>
            </c:numRef>
          </c:val>
        </c:ser>
        <c:ser>
          <c:idx val="2"/>
          <c:order val="2"/>
          <c:tx>
            <c:strRef>
              <c:f>Sheet1!$E$3</c:f>
              <c:strCache>
                <c:ptCount val="1"/>
                <c:pt idx="0">
                  <c:v>FIMFAM</c:v>
                </c:pt>
              </c:strCache>
            </c:strRef>
          </c:tx>
          <c:invertIfNegative val="0"/>
          <c:val>
            <c:numRef>
              <c:f>Sheet1!$E$4:$E$15</c:f>
              <c:numCache>
                <c:formatCode>General</c:formatCode>
                <c:ptCount val="12"/>
                <c:pt idx="0">
                  <c:v>108</c:v>
                </c:pt>
                <c:pt idx="1">
                  <c:v>40</c:v>
                </c:pt>
                <c:pt idx="2">
                  <c:v>118</c:v>
                </c:pt>
                <c:pt idx="3">
                  <c:v>102</c:v>
                </c:pt>
                <c:pt idx="4">
                  <c:v>53</c:v>
                </c:pt>
                <c:pt idx="5">
                  <c:v>47</c:v>
                </c:pt>
                <c:pt idx="6">
                  <c:v>124</c:v>
                </c:pt>
                <c:pt idx="7">
                  <c:v>123</c:v>
                </c:pt>
                <c:pt idx="8">
                  <c:v>79</c:v>
                </c:pt>
                <c:pt idx="9">
                  <c:v>78</c:v>
                </c:pt>
                <c:pt idx="10">
                  <c:v>121</c:v>
                </c:pt>
                <c:pt idx="11">
                  <c:v>45</c:v>
                </c:pt>
              </c:numCache>
            </c:numRef>
          </c:val>
        </c:ser>
        <c:ser>
          <c:idx val="3"/>
          <c:order val="3"/>
          <c:tx>
            <c:strRef>
              <c:f>Sheet1!$F$3</c:f>
              <c:strCache>
                <c:ptCount val="1"/>
                <c:pt idx="0">
                  <c:v>MRS</c:v>
                </c:pt>
              </c:strCache>
            </c:strRef>
          </c:tx>
          <c:invertIfNegative val="0"/>
          <c:val>
            <c:numRef>
              <c:f>Sheet1!$F$4:$F$15</c:f>
              <c:numCache>
                <c:formatCode>General</c:formatCode>
                <c:ptCount val="12"/>
                <c:pt idx="0">
                  <c:v>4</c:v>
                </c:pt>
                <c:pt idx="1">
                  <c:v>4</c:v>
                </c:pt>
                <c:pt idx="2">
                  <c:v>2</c:v>
                </c:pt>
                <c:pt idx="3">
                  <c:v>3</c:v>
                </c:pt>
                <c:pt idx="4">
                  <c:v>4</c:v>
                </c:pt>
                <c:pt idx="5">
                  <c:v>4</c:v>
                </c:pt>
                <c:pt idx="6">
                  <c:v>1</c:v>
                </c:pt>
                <c:pt idx="7">
                  <c:v>1</c:v>
                </c:pt>
                <c:pt idx="8">
                  <c:v>4</c:v>
                </c:pt>
                <c:pt idx="9">
                  <c:v>4</c:v>
                </c:pt>
                <c:pt idx="10">
                  <c:v>1</c:v>
                </c:pt>
                <c:pt idx="11">
                  <c:v>4</c:v>
                </c:pt>
              </c:numCache>
            </c:numRef>
          </c:val>
        </c:ser>
        <c:dLbls>
          <c:showLegendKey val="0"/>
          <c:showVal val="0"/>
          <c:showCatName val="0"/>
          <c:showSerName val="0"/>
          <c:showPercent val="0"/>
          <c:showBubbleSize val="0"/>
        </c:dLbls>
        <c:gapWidth val="150"/>
        <c:shape val="box"/>
        <c:axId val="148649944"/>
        <c:axId val="148650336"/>
        <c:axId val="0"/>
      </c:bar3DChart>
      <c:catAx>
        <c:axId val="148649944"/>
        <c:scaling>
          <c:orientation val="minMax"/>
        </c:scaling>
        <c:delete val="0"/>
        <c:axPos val="b"/>
        <c:title>
          <c:tx>
            <c:rich>
              <a:bodyPr/>
              <a:lstStyle/>
              <a:p>
                <a:pPr>
                  <a:defRPr/>
                </a:pPr>
                <a:r>
                  <a:rPr lang="en-GB"/>
                  <a:t>Individual</a:t>
                </a:r>
                <a:r>
                  <a:rPr lang="en-GB" baseline="0"/>
                  <a:t> Subject  </a:t>
                </a:r>
                <a:endParaRPr lang="en-GB"/>
              </a:p>
            </c:rich>
          </c:tx>
          <c:layout/>
          <c:overlay val="0"/>
        </c:title>
        <c:majorTickMark val="out"/>
        <c:minorTickMark val="none"/>
        <c:tickLblPos val="nextTo"/>
        <c:crossAx val="148650336"/>
        <c:crosses val="autoZero"/>
        <c:auto val="1"/>
        <c:lblAlgn val="ctr"/>
        <c:lblOffset val="100"/>
        <c:noMultiLvlLbl val="0"/>
      </c:catAx>
      <c:valAx>
        <c:axId val="148650336"/>
        <c:scaling>
          <c:orientation val="minMax"/>
        </c:scaling>
        <c:delete val="0"/>
        <c:axPos val="l"/>
        <c:majorGridlines/>
        <c:title>
          <c:tx>
            <c:rich>
              <a:bodyPr rot="0" vert="horz"/>
              <a:lstStyle/>
              <a:p>
                <a:pPr>
                  <a:defRPr/>
                </a:pPr>
                <a:r>
                  <a:rPr lang="en-GB"/>
                  <a:t>Respective </a:t>
                </a:r>
              </a:p>
              <a:p>
                <a:pPr>
                  <a:defRPr/>
                </a:pPr>
                <a:r>
                  <a:rPr lang="en-GB"/>
                  <a:t>Clinical</a:t>
                </a:r>
                <a:r>
                  <a:rPr lang="en-GB" baseline="0"/>
                  <a:t> Scores</a:t>
                </a:r>
                <a:endParaRPr lang="en-GB"/>
              </a:p>
            </c:rich>
          </c:tx>
          <c:layout/>
          <c:overlay val="0"/>
        </c:title>
        <c:numFmt formatCode="General" sourceLinked="1"/>
        <c:majorTickMark val="out"/>
        <c:minorTickMark val="none"/>
        <c:tickLblPos val="nextTo"/>
        <c:crossAx val="14864994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Kings College Hospital</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ndaba mazibuko</dc:creator>
  <cp:lastModifiedBy>Pullen, Jackie</cp:lastModifiedBy>
  <cp:revision>2</cp:revision>
  <dcterms:created xsi:type="dcterms:W3CDTF">2018-09-17T09:36:00Z</dcterms:created>
  <dcterms:modified xsi:type="dcterms:W3CDTF">2018-09-17T09:36:00Z</dcterms:modified>
</cp:coreProperties>
</file>