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B1B" w:rsidRPr="00E677BD" w:rsidRDefault="001F4B1B" w:rsidP="002831C2">
      <w:pPr>
        <w:pStyle w:val="C-Heading1"/>
      </w:pPr>
      <w:bookmarkStart w:id="0" w:name="_Toc326921740"/>
      <w:r w:rsidRPr="00E677BD">
        <w:t>SYNOPSIS</w:t>
      </w:r>
      <w:bookmarkEnd w:id="0"/>
    </w:p>
    <w:tbl>
      <w:tblPr>
        <w:tblW w:w="9009"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000"/>
      </w:tblPr>
      <w:tblGrid>
        <w:gridCol w:w="2967"/>
        <w:gridCol w:w="1983"/>
        <w:gridCol w:w="1020"/>
        <w:gridCol w:w="3030"/>
        <w:gridCol w:w="9"/>
      </w:tblGrid>
      <w:tr w:rsidR="001F4B1B" w:rsidRPr="00E677BD" w:rsidTr="00902350">
        <w:trPr>
          <w:cantSplit/>
          <w:tblHeader/>
        </w:trPr>
        <w:tc>
          <w:tcPr>
            <w:tcW w:w="2967" w:type="dxa"/>
          </w:tcPr>
          <w:p w:rsidR="001F4B1B" w:rsidRPr="00E677BD" w:rsidRDefault="001F4B1B" w:rsidP="00902350">
            <w:pPr>
              <w:pStyle w:val="Synopsistext-Bold"/>
            </w:pPr>
            <w:r w:rsidRPr="00E677BD">
              <w:t xml:space="preserve">Name of Sponsor: </w:t>
            </w:r>
            <w:r w:rsidRPr="00E677BD">
              <w:br/>
            </w:r>
            <w:r w:rsidR="00C60F23" w:rsidRPr="00C60F23">
              <w:rPr>
                <w:b w:val="0"/>
              </w:rPr>
              <w:t>Clarus Therapeutics, Inc.</w:t>
            </w:r>
          </w:p>
          <w:p w:rsidR="001F4B1B" w:rsidRPr="00E677BD" w:rsidRDefault="001F4B1B" w:rsidP="00902350">
            <w:pPr>
              <w:pStyle w:val="Synopsistext"/>
            </w:pPr>
          </w:p>
        </w:tc>
        <w:tc>
          <w:tcPr>
            <w:tcW w:w="3003" w:type="dxa"/>
            <w:gridSpan w:val="2"/>
          </w:tcPr>
          <w:p w:rsidR="001F4B1B" w:rsidRPr="00E677BD" w:rsidRDefault="001F4B1B" w:rsidP="00902350">
            <w:pPr>
              <w:pStyle w:val="Synopsistext-Bold"/>
            </w:pPr>
            <w:r w:rsidRPr="00E677BD">
              <w:t>Individual Study Table</w:t>
            </w:r>
            <w:r w:rsidRPr="00E677BD">
              <w:br/>
              <w:t xml:space="preserve">Referring to Part </w:t>
            </w:r>
            <w:r w:rsidRPr="00E677BD">
              <w:br/>
              <w:t>of the Dossier</w:t>
            </w:r>
          </w:p>
        </w:tc>
        <w:tc>
          <w:tcPr>
            <w:tcW w:w="3039" w:type="dxa"/>
            <w:gridSpan w:val="2"/>
          </w:tcPr>
          <w:p w:rsidR="001F4B1B" w:rsidRPr="00E677BD" w:rsidRDefault="001F4B1B" w:rsidP="00902350">
            <w:pPr>
              <w:pStyle w:val="Synopsistext-Bold"/>
            </w:pPr>
            <w:r w:rsidRPr="00E677BD">
              <w:t>(For National Authority</w:t>
            </w:r>
            <w:r w:rsidRPr="00E677BD">
              <w:br/>
              <w:t xml:space="preserve">Use </w:t>
            </w:r>
            <w:r>
              <w:t>O</w:t>
            </w:r>
            <w:r w:rsidRPr="00E677BD">
              <w:t>nly)</w:t>
            </w:r>
          </w:p>
        </w:tc>
      </w:tr>
      <w:tr w:rsidR="001F4B1B" w:rsidRPr="00E677BD" w:rsidTr="00902350">
        <w:trPr>
          <w:cantSplit/>
          <w:tblHeader/>
        </w:trPr>
        <w:tc>
          <w:tcPr>
            <w:tcW w:w="2967" w:type="dxa"/>
          </w:tcPr>
          <w:p w:rsidR="001F4B1B" w:rsidRPr="00E677BD" w:rsidRDefault="001F4B1B" w:rsidP="00392B46">
            <w:pPr>
              <w:pStyle w:val="Synopsistext"/>
            </w:pPr>
            <w:r w:rsidRPr="00A06394">
              <w:rPr>
                <w:b/>
              </w:rPr>
              <w:t>Name of Finished Product:</w:t>
            </w:r>
            <w:r w:rsidRPr="00E677BD">
              <w:br/>
            </w:r>
            <w:r w:rsidR="00A06394">
              <w:t>CLR-610</w:t>
            </w:r>
          </w:p>
        </w:tc>
        <w:tc>
          <w:tcPr>
            <w:tcW w:w="3003" w:type="dxa"/>
            <w:gridSpan w:val="2"/>
          </w:tcPr>
          <w:p w:rsidR="001F4B1B" w:rsidRPr="00E677BD" w:rsidRDefault="001F4B1B" w:rsidP="00902350">
            <w:pPr>
              <w:pStyle w:val="Synopsistext-Bold"/>
            </w:pPr>
            <w:r w:rsidRPr="00E677BD">
              <w:t xml:space="preserve">Volume: </w:t>
            </w:r>
          </w:p>
          <w:p w:rsidR="001F4B1B" w:rsidRPr="00E677BD" w:rsidRDefault="001F4B1B" w:rsidP="00902350">
            <w:pPr>
              <w:pStyle w:val="Synopsistext"/>
            </w:pPr>
          </w:p>
        </w:tc>
        <w:tc>
          <w:tcPr>
            <w:tcW w:w="3039" w:type="dxa"/>
            <w:gridSpan w:val="2"/>
          </w:tcPr>
          <w:p w:rsidR="001F4B1B" w:rsidRPr="00E677BD" w:rsidRDefault="001F4B1B" w:rsidP="00902350">
            <w:pPr>
              <w:pStyle w:val="Synopsistext"/>
            </w:pPr>
          </w:p>
        </w:tc>
      </w:tr>
      <w:tr w:rsidR="001F4B1B" w:rsidRPr="00E677BD" w:rsidTr="00902350">
        <w:trPr>
          <w:cantSplit/>
          <w:tblHeader/>
        </w:trPr>
        <w:tc>
          <w:tcPr>
            <w:tcW w:w="2967" w:type="dxa"/>
          </w:tcPr>
          <w:p w:rsidR="001F4B1B" w:rsidRPr="00E677BD" w:rsidRDefault="001F4B1B" w:rsidP="00392B46">
            <w:pPr>
              <w:pStyle w:val="Synopsistext"/>
            </w:pPr>
            <w:r w:rsidRPr="00E677BD">
              <w:rPr>
                <w:b/>
              </w:rPr>
              <w:t>Name of Active Ingredient:</w:t>
            </w:r>
            <w:r w:rsidRPr="00E677BD">
              <w:t xml:space="preserve"> </w:t>
            </w:r>
            <w:r w:rsidRPr="00E677BD">
              <w:br/>
            </w:r>
            <w:r w:rsidR="00392B46">
              <w:t>Testosterone undecanoate (TU)</w:t>
            </w:r>
          </w:p>
        </w:tc>
        <w:tc>
          <w:tcPr>
            <w:tcW w:w="3003" w:type="dxa"/>
            <w:gridSpan w:val="2"/>
          </w:tcPr>
          <w:p w:rsidR="001F4B1B" w:rsidRPr="00E677BD" w:rsidRDefault="001F4B1B" w:rsidP="00902350">
            <w:pPr>
              <w:pStyle w:val="Synopsistext-Bold"/>
            </w:pPr>
            <w:r w:rsidRPr="00E677BD">
              <w:t xml:space="preserve">Page: </w:t>
            </w:r>
          </w:p>
          <w:p w:rsidR="001F4B1B" w:rsidRPr="00E677BD" w:rsidRDefault="001F4B1B" w:rsidP="00902350">
            <w:pPr>
              <w:pStyle w:val="Synopsistext"/>
              <w:rPr>
                <w:b/>
              </w:rPr>
            </w:pPr>
          </w:p>
        </w:tc>
        <w:tc>
          <w:tcPr>
            <w:tcW w:w="3039" w:type="dxa"/>
            <w:gridSpan w:val="2"/>
          </w:tcPr>
          <w:p w:rsidR="001F4B1B" w:rsidRPr="00E677BD" w:rsidRDefault="001F4B1B" w:rsidP="00902350">
            <w:pPr>
              <w:pStyle w:val="Synopsistext"/>
            </w:pP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top w:val="single" w:sz="6" w:space="0" w:color="auto"/>
              <w:left w:val="single" w:sz="6" w:space="0" w:color="auto"/>
              <w:bottom w:val="single" w:sz="6" w:space="0" w:color="auto"/>
              <w:right w:val="single" w:sz="6" w:space="0" w:color="auto"/>
            </w:tcBorders>
          </w:tcPr>
          <w:p w:rsidR="001F4B1B" w:rsidRPr="00E677BD" w:rsidRDefault="001F4B1B" w:rsidP="00A41242">
            <w:pPr>
              <w:pStyle w:val="Synop1"/>
              <w:spacing w:before="60" w:after="60"/>
            </w:pPr>
            <w:r w:rsidRPr="00E677BD">
              <w:rPr>
                <w:b/>
                <w:bCs/>
              </w:rPr>
              <w:t>Title of Study:</w:t>
            </w:r>
            <w:r w:rsidR="00A41242">
              <w:rPr>
                <w:b/>
                <w:bCs/>
              </w:rPr>
              <w:t xml:space="preserve"> </w:t>
            </w:r>
            <w:r w:rsidR="00A41242" w:rsidRPr="00A41242">
              <w:rPr>
                <w:bCs/>
              </w:rPr>
              <w:t>P</w:t>
            </w:r>
            <w:r w:rsidR="00C60F23">
              <w:t>hase III</w:t>
            </w:r>
            <w:r>
              <w:t>,</w:t>
            </w:r>
            <w:r w:rsidR="00C60F23">
              <w:t xml:space="preserve"> Active-Controlled, Safety and Efficacy </w:t>
            </w:r>
            <w:r w:rsidR="00D15A8C">
              <w:t>T</w:t>
            </w:r>
            <w:r w:rsidR="00C60F23">
              <w:t>rial of Oral Testosterone Undecanoate (TU) in Hypogonadal</w:t>
            </w:r>
            <w:r w:rsidR="00C92263">
              <w:t xml:space="preserve"> Men</w:t>
            </w:r>
            <w:r>
              <w:t xml:space="preserve"> </w:t>
            </w:r>
            <w:fldSimple w:instr=" DOCVARIABLE &quot;Protocol Number&quot; \* MERGEFORMAT ">
              <w:r w:rsidR="00474295">
                <w:t xml:space="preserve"> </w:t>
              </w:r>
            </w:fldSimple>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top w:val="single" w:sz="6" w:space="0" w:color="auto"/>
              <w:left w:val="single" w:sz="6" w:space="0" w:color="auto"/>
              <w:right w:val="single" w:sz="6" w:space="0" w:color="auto"/>
            </w:tcBorders>
          </w:tcPr>
          <w:p w:rsidR="001D7727" w:rsidRDefault="001F4B1B" w:rsidP="00C92263">
            <w:pPr>
              <w:pStyle w:val="Synop1"/>
              <w:rPr>
                <w:b/>
              </w:rPr>
            </w:pPr>
            <w:r w:rsidRPr="00E677BD">
              <w:rPr>
                <w:b/>
              </w:rPr>
              <w:t>Investigator(s):</w:t>
            </w:r>
            <w:r w:rsidR="00C92263">
              <w:rPr>
                <w:b/>
              </w:rPr>
              <w:t xml:space="preserve"> </w:t>
            </w:r>
          </w:p>
          <w:p w:rsidR="001F4B1B" w:rsidRPr="00E677BD" w:rsidRDefault="00C92263" w:rsidP="003E6FD8">
            <w:pPr>
              <w:pStyle w:val="Synop1"/>
              <w:rPr>
                <w:b/>
              </w:rPr>
            </w:pPr>
            <w:r>
              <w:t>This was a multicenter study in North America</w:t>
            </w:r>
            <w:r w:rsidR="00E46A22">
              <w:t xml:space="preserve"> and Germany</w:t>
            </w:r>
            <w:r>
              <w:t xml:space="preserve">. </w:t>
            </w:r>
            <w:r w:rsidR="001F4B1B" w:rsidRPr="00E677BD">
              <w:t xml:space="preserve">The list of </w:t>
            </w:r>
            <w:r w:rsidR="003E6FD8" w:rsidRPr="0069294D">
              <w:t>I</w:t>
            </w:r>
            <w:r w:rsidR="001F4B1B" w:rsidRPr="0069294D">
              <w:t>nvestigators</w:t>
            </w:r>
            <w:r w:rsidR="001F4B1B" w:rsidRPr="00E677BD">
              <w:t xml:space="preserve"> is provided in </w:t>
            </w:r>
            <w:r w:rsidR="001F4B1B" w:rsidRPr="00C92263">
              <w:rPr>
                <w:color w:val="0000FF"/>
              </w:rPr>
              <w:t>Appendix 16.1.4</w:t>
            </w:r>
            <w:r w:rsidR="001F4B1B" w:rsidRPr="00BD513A">
              <w:t xml:space="preserve"> of the full clinical study report</w:t>
            </w:r>
            <w:r w:rsidR="001F4B1B" w:rsidRPr="00E677BD">
              <w:t>.</w:t>
            </w: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top w:val="single" w:sz="6" w:space="0" w:color="auto"/>
              <w:left w:val="single" w:sz="6" w:space="0" w:color="auto"/>
              <w:bottom w:val="single" w:sz="6" w:space="0" w:color="auto"/>
              <w:right w:val="single" w:sz="6" w:space="0" w:color="auto"/>
            </w:tcBorders>
          </w:tcPr>
          <w:p w:rsidR="001F4B1B" w:rsidRPr="00E677BD" w:rsidRDefault="001F4B1B" w:rsidP="00902350">
            <w:pPr>
              <w:pStyle w:val="Synop1"/>
              <w:spacing w:before="60" w:after="60"/>
              <w:rPr>
                <w:b/>
              </w:rPr>
            </w:pPr>
            <w:r w:rsidRPr="00E677BD">
              <w:rPr>
                <w:b/>
              </w:rPr>
              <w:t xml:space="preserve">Study Center(s): </w:t>
            </w:r>
          </w:p>
          <w:p w:rsidR="001F4B1B" w:rsidRPr="00E677BD" w:rsidRDefault="001F4B1B" w:rsidP="00902350">
            <w:pPr>
              <w:pStyle w:val="Synop1"/>
              <w:spacing w:before="60" w:after="60"/>
              <w:rPr>
                <w:i/>
              </w:rPr>
            </w:pPr>
            <w:r w:rsidRPr="00E677BD">
              <w:t xml:space="preserve">The list of </w:t>
            </w:r>
            <w:r w:rsidR="00800B5C">
              <w:t xml:space="preserve">study </w:t>
            </w:r>
            <w:r w:rsidRPr="00E677BD">
              <w:t xml:space="preserve">sites is provided in </w:t>
            </w:r>
            <w:r w:rsidRPr="00392B46">
              <w:rPr>
                <w:color w:val="0000FF"/>
              </w:rPr>
              <w:t>Appendix 16.1.4</w:t>
            </w:r>
            <w:r>
              <w:t xml:space="preserve"> of the full clinical study report</w:t>
            </w:r>
            <w:r w:rsidRPr="00E677BD">
              <w:t xml:space="preserve">. </w:t>
            </w: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top w:val="single" w:sz="6" w:space="0" w:color="auto"/>
              <w:left w:val="single" w:sz="6" w:space="0" w:color="auto"/>
              <w:bottom w:val="single" w:sz="6" w:space="0" w:color="auto"/>
              <w:right w:val="single" w:sz="6" w:space="0" w:color="auto"/>
            </w:tcBorders>
          </w:tcPr>
          <w:p w:rsidR="001F4B1B" w:rsidRDefault="001F4B1B" w:rsidP="00902350">
            <w:pPr>
              <w:pStyle w:val="Synop1"/>
              <w:spacing w:before="60" w:after="60"/>
              <w:rPr>
                <w:b/>
              </w:rPr>
            </w:pPr>
            <w:r w:rsidRPr="00E677BD">
              <w:rPr>
                <w:b/>
              </w:rPr>
              <w:t>Publication:</w:t>
            </w:r>
            <w:r>
              <w:rPr>
                <w:b/>
              </w:rPr>
              <w:t xml:space="preserve"> </w:t>
            </w:r>
          </w:p>
          <w:p w:rsidR="001F4B1B" w:rsidRPr="00392B46" w:rsidRDefault="001F4B1B" w:rsidP="00392B46">
            <w:pPr>
              <w:pStyle w:val="C-BodyText"/>
              <w:rPr>
                <w:sz w:val="20"/>
                <w:szCs w:val="20"/>
              </w:rPr>
            </w:pPr>
            <w:r w:rsidRPr="00392B46">
              <w:rPr>
                <w:sz w:val="20"/>
                <w:szCs w:val="20"/>
              </w:rPr>
              <w:t>None</w:t>
            </w: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4950" w:type="dxa"/>
            <w:gridSpan w:val="2"/>
            <w:tcBorders>
              <w:top w:val="single" w:sz="6" w:space="0" w:color="auto"/>
              <w:left w:val="single" w:sz="6" w:space="0" w:color="auto"/>
              <w:bottom w:val="single" w:sz="6" w:space="0" w:color="auto"/>
              <w:right w:val="single" w:sz="6" w:space="0" w:color="auto"/>
            </w:tcBorders>
          </w:tcPr>
          <w:p w:rsidR="001F4B1B" w:rsidRPr="00E677BD" w:rsidRDefault="001F4B1B" w:rsidP="00ED0350">
            <w:pPr>
              <w:pStyle w:val="Synop1"/>
              <w:spacing w:before="60" w:after="60"/>
            </w:pPr>
            <w:r w:rsidRPr="00ED0350">
              <w:rPr>
                <w:b/>
              </w:rPr>
              <w:t>Studied Period:</w:t>
            </w:r>
            <w:r w:rsidRPr="00ED0350">
              <w:t xml:space="preserve"> </w:t>
            </w:r>
            <w:r w:rsidR="00ED0350">
              <w:t xml:space="preserve">30 July 2011 to </w:t>
            </w:r>
            <w:r w:rsidR="00344F4A" w:rsidRPr="00ED0350">
              <w:t>11 April 2013</w:t>
            </w:r>
          </w:p>
        </w:tc>
        <w:tc>
          <w:tcPr>
            <w:tcW w:w="4050" w:type="dxa"/>
            <w:gridSpan w:val="2"/>
            <w:tcBorders>
              <w:top w:val="single" w:sz="6" w:space="0" w:color="auto"/>
              <w:left w:val="single" w:sz="6" w:space="0" w:color="auto"/>
              <w:bottom w:val="single" w:sz="6" w:space="0" w:color="auto"/>
              <w:right w:val="single" w:sz="6" w:space="0" w:color="auto"/>
            </w:tcBorders>
          </w:tcPr>
          <w:p w:rsidR="001F4B1B" w:rsidRPr="00E677BD" w:rsidRDefault="001F4B1B" w:rsidP="00392B46">
            <w:pPr>
              <w:pStyle w:val="Synop1"/>
              <w:spacing w:before="60" w:after="60"/>
            </w:pPr>
            <w:r w:rsidRPr="005B677E">
              <w:rPr>
                <w:b/>
              </w:rPr>
              <w:t>Phase of Development:</w:t>
            </w:r>
            <w:r>
              <w:t xml:space="preserve"> </w:t>
            </w:r>
            <w:r w:rsidR="00392B46">
              <w:t>III</w:t>
            </w: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top w:val="single" w:sz="6" w:space="0" w:color="auto"/>
              <w:left w:val="single" w:sz="6" w:space="0" w:color="auto"/>
              <w:bottom w:val="single" w:sz="6" w:space="0" w:color="auto"/>
              <w:right w:val="single" w:sz="6" w:space="0" w:color="auto"/>
            </w:tcBorders>
          </w:tcPr>
          <w:p w:rsidR="001F4B1B" w:rsidRDefault="001F4B1B" w:rsidP="00392B46">
            <w:pPr>
              <w:pStyle w:val="Synop1"/>
              <w:spacing w:before="60" w:after="60"/>
            </w:pPr>
            <w:r w:rsidRPr="00E677BD">
              <w:rPr>
                <w:b/>
              </w:rPr>
              <w:t>Objectives:</w:t>
            </w:r>
            <w:r>
              <w:t xml:space="preserve"> </w:t>
            </w:r>
          </w:p>
          <w:p w:rsidR="00DA1101" w:rsidRPr="00303A04" w:rsidRDefault="000D0A19" w:rsidP="00392B46">
            <w:pPr>
              <w:pStyle w:val="Synop1"/>
              <w:spacing w:before="60" w:after="60"/>
              <w:rPr>
                <w:u w:val="single"/>
              </w:rPr>
            </w:pPr>
            <w:r w:rsidRPr="00303A04">
              <w:rPr>
                <w:u w:val="single"/>
              </w:rPr>
              <w:t>Primary Objective</w:t>
            </w:r>
          </w:p>
          <w:p w:rsidR="00DA1101" w:rsidRDefault="00DA1101" w:rsidP="00DA1101">
            <w:pPr>
              <w:pStyle w:val="C-TableText"/>
            </w:pPr>
            <w:r>
              <w:t xml:space="preserve">The primary objective of this study was to determine the efficacy of oral </w:t>
            </w:r>
            <w:r w:rsidR="00A44F2C">
              <w:t>testosterone undecanoate (</w:t>
            </w:r>
            <w:r>
              <w:t>TU</w:t>
            </w:r>
            <w:r w:rsidR="00A44F2C">
              <w:t>)</w:t>
            </w:r>
            <w:r>
              <w:t xml:space="preserve"> in hypogonadal men for androgen replacement therapy following approximately 12 weeks (i.e., ~90 days) of continuous therapy by identifying:</w:t>
            </w:r>
          </w:p>
          <w:p w:rsidR="00DA1101" w:rsidRDefault="00DA1101" w:rsidP="00DA1101">
            <w:pPr>
              <w:pStyle w:val="C-TableText"/>
              <w:numPr>
                <w:ilvl w:val="0"/>
                <w:numId w:val="17"/>
              </w:numPr>
            </w:pPr>
            <w:r>
              <w:t xml:space="preserve">The percentages of treated subjects that had 24-hour serum </w:t>
            </w:r>
            <w:r w:rsidR="00A44F2C">
              <w:t>testosterone (</w:t>
            </w:r>
            <w:r>
              <w:t>T</w:t>
            </w:r>
            <w:r w:rsidR="00A44F2C">
              <w:t>)</w:t>
            </w:r>
            <w:r>
              <w:t xml:space="preserve"> </w:t>
            </w:r>
            <w:r w:rsidR="00A44F2C">
              <w:t>average concentration</w:t>
            </w:r>
            <w:r w:rsidR="008D49EA">
              <w:t>s</w:t>
            </w:r>
            <w:r w:rsidR="00A44F2C">
              <w:t xml:space="preserve"> (</w:t>
            </w:r>
            <w:r>
              <w:t>C</w:t>
            </w:r>
            <w:r w:rsidRPr="00A44F2C">
              <w:rPr>
                <w:vertAlign w:val="subscript"/>
              </w:rPr>
              <w:t>avg</w:t>
            </w:r>
            <w:r w:rsidR="00A44F2C">
              <w:t>)</w:t>
            </w:r>
            <w:r>
              <w:t xml:space="preserve"> between 300 and 1000 ng/dL; and</w:t>
            </w:r>
          </w:p>
          <w:p w:rsidR="00D179FD" w:rsidRDefault="00DA1101" w:rsidP="00D179FD">
            <w:pPr>
              <w:pStyle w:val="C-TableText"/>
              <w:numPr>
                <w:ilvl w:val="0"/>
                <w:numId w:val="17"/>
              </w:numPr>
            </w:pPr>
            <w:r>
              <w:t xml:space="preserve">The percentages of treated subjects that </w:t>
            </w:r>
            <w:r w:rsidR="008D49EA">
              <w:t xml:space="preserve">had </w:t>
            </w:r>
            <w:r>
              <w:t>maximum serum T concentration (C</w:t>
            </w:r>
            <w:r w:rsidRPr="00A44F2C">
              <w:rPr>
                <w:vertAlign w:val="subscript"/>
              </w:rPr>
              <w:t>max</w:t>
            </w:r>
            <w:r>
              <w:t>) values that were (a) less than or equal to 1500 ng/dL, (b) greater than 1500 and less than or equal to 1800 ng/dL, (c) greater than 1800 and less than or equal to 2500 ng/dL, and (d) greater than 2500 ng/dL.</w:t>
            </w:r>
          </w:p>
          <w:p w:rsidR="00D179FD" w:rsidRDefault="00D179FD" w:rsidP="00D179FD">
            <w:pPr>
              <w:pStyle w:val="C-TableText"/>
            </w:pPr>
          </w:p>
          <w:p w:rsidR="00D179FD" w:rsidRPr="00A44F2C" w:rsidRDefault="00D179FD" w:rsidP="00303A04">
            <w:pPr>
              <w:pStyle w:val="C-TableText"/>
              <w:spacing w:before="60" w:after="60"/>
              <w:rPr>
                <w:u w:val="single"/>
              </w:rPr>
            </w:pPr>
            <w:r w:rsidRPr="00A44F2C">
              <w:rPr>
                <w:u w:val="single"/>
              </w:rPr>
              <w:t>Secondary Objectives</w:t>
            </w:r>
          </w:p>
          <w:p w:rsidR="00D179FD" w:rsidRPr="00D179FD" w:rsidRDefault="00D179FD" w:rsidP="00303A04">
            <w:pPr>
              <w:pStyle w:val="C-BodyText"/>
              <w:spacing w:before="0" w:after="0"/>
              <w:rPr>
                <w:sz w:val="20"/>
                <w:szCs w:val="20"/>
              </w:rPr>
            </w:pPr>
            <w:r w:rsidRPr="00D179FD">
              <w:rPr>
                <w:sz w:val="20"/>
                <w:szCs w:val="20"/>
              </w:rPr>
              <w:t>The secondary objectives of this study were the following:</w:t>
            </w:r>
          </w:p>
          <w:p w:rsidR="00D179FD" w:rsidRPr="00D179FD" w:rsidRDefault="00D179FD" w:rsidP="00D179FD">
            <w:pPr>
              <w:pStyle w:val="C-TableText"/>
              <w:numPr>
                <w:ilvl w:val="0"/>
                <w:numId w:val="18"/>
              </w:numPr>
            </w:pPr>
            <w:r w:rsidRPr="00D179FD">
              <w:t>To assess the effectiveness of dose titration at steady-state, if needed, based upon a single serum T sample obtained at 4-6 hours post</w:t>
            </w:r>
            <w:r w:rsidR="009D20F0">
              <w:t xml:space="preserve"> AM </w:t>
            </w:r>
            <w:r w:rsidRPr="00D179FD">
              <w:t>dose.</w:t>
            </w:r>
          </w:p>
          <w:p w:rsidR="00D179FD" w:rsidRPr="00D179FD" w:rsidRDefault="00D179FD" w:rsidP="00D179FD">
            <w:pPr>
              <w:pStyle w:val="C-TableText"/>
              <w:numPr>
                <w:ilvl w:val="0"/>
                <w:numId w:val="18"/>
              </w:numPr>
            </w:pPr>
            <w:r w:rsidRPr="00D179FD">
              <w:t xml:space="preserve">To confirm efficacy (i.e., consistency of serum T </w:t>
            </w:r>
            <w:r w:rsidR="00A44F2C">
              <w:t>pharmacokinetics [</w:t>
            </w:r>
            <w:r w:rsidRPr="00D179FD">
              <w:t>PK</w:t>
            </w:r>
            <w:r w:rsidR="00A44F2C">
              <w:t>]</w:t>
            </w:r>
            <w:r w:rsidRPr="00D179FD">
              <w:t xml:space="preserve">) of the </w:t>
            </w:r>
            <w:r w:rsidR="008E5289">
              <w:t>Oral TU</w:t>
            </w:r>
            <w:r w:rsidRPr="00D179FD">
              <w:t xml:space="preserve"> product for up to ~365 days of continuous therapy.</w:t>
            </w:r>
          </w:p>
          <w:p w:rsidR="00D179FD" w:rsidRPr="00D179FD" w:rsidRDefault="00D179FD" w:rsidP="00D179FD">
            <w:pPr>
              <w:pStyle w:val="C-TableText"/>
              <w:numPr>
                <w:ilvl w:val="0"/>
                <w:numId w:val="18"/>
              </w:numPr>
            </w:pPr>
            <w:r w:rsidRPr="00D179FD">
              <w:t xml:space="preserve">To define the safety profile of the </w:t>
            </w:r>
            <w:r w:rsidR="008E5289">
              <w:t>Oral TU</w:t>
            </w:r>
            <w:r w:rsidRPr="00D179FD">
              <w:t xml:space="preserve"> product for up to ~365 days of continuous therapy compared with transdermal T-gel based on:</w:t>
            </w:r>
          </w:p>
          <w:p w:rsidR="00D179FD" w:rsidRPr="00D179FD" w:rsidRDefault="00D179FD" w:rsidP="00D179FD">
            <w:pPr>
              <w:pStyle w:val="C-TableText"/>
              <w:numPr>
                <w:ilvl w:val="0"/>
                <w:numId w:val="18"/>
              </w:numPr>
              <w:tabs>
                <w:tab w:val="left" w:pos="1050"/>
              </w:tabs>
              <w:ind w:left="780" w:firstLine="0"/>
            </w:pPr>
            <w:r w:rsidRPr="00D179FD">
              <w:t>clinical chemistry and hematology - specifically lipids and hemoglobin</w:t>
            </w:r>
            <w:r w:rsidR="00A44F2C">
              <w:t xml:space="preserve"> (Hb)</w:t>
            </w:r>
            <w:r w:rsidRPr="00D179FD">
              <w:t>/hematocrit</w:t>
            </w:r>
            <w:r w:rsidR="00A44F2C">
              <w:t xml:space="preserve"> (Hct)</w:t>
            </w:r>
          </w:p>
          <w:p w:rsidR="00D179FD" w:rsidRPr="00D179FD" w:rsidRDefault="00D179FD" w:rsidP="00D179FD">
            <w:pPr>
              <w:pStyle w:val="C-TableText"/>
              <w:numPr>
                <w:ilvl w:val="0"/>
                <w:numId w:val="18"/>
              </w:numPr>
              <w:tabs>
                <w:tab w:val="left" w:pos="1050"/>
              </w:tabs>
              <w:ind w:left="1050" w:hanging="270"/>
            </w:pPr>
            <w:r w:rsidRPr="00D179FD">
              <w:t xml:space="preserve">cardiovascular biomarkers </w:t>
            </w:r>
            <w:r w:rsidR="00A44F2C">
              <w:t xml:space="preserve">(CV biomarkers) </w:t>
            </w:r>
            <w:r w:rsidRPr="00D179FD">
              <w:t xml:space="preserve">(non-inferiority analyses) between the two groups as defined in the Statistical Analysis Plan for </w:t>
            </w:r>
            <w:r w:rsidR="00A44F2C">
              <w:t>lipoprotein</w:t>
            </w:r>
            <w:r w:rsidR="008D49EA">
              <w:t>-</w:t>
            </w:r>
            <w:r w:rsidR="00A44F2C">
              <w:t xml:space="preserve">associated phospholipase A2 </w:t>
            </w:r>
            <w:r w:rsidR="00E40400">
              <w:br/>
            </w:r>
            <w:r w:rsidR="00A44F2C">
              <w:t>(</w:t>
            </w:r>
            <w:r w:rsidRPr="00D179FD">
              <w:t>Lp</w:t>
            </w:r>
            <w:r w:rsidR="00A20A6B">
              <w:t>-</w:t>
            </w:r>
            <w:r w:rsidRPr="00D179FD">
              <w:t>PLA</w:t>
            </w:r>
            <w:r w:rsidR="00A20A6B">
              <w:rPr>
                <w:vertAlign w:val="subscript"/>
              </w:rPr>
              <w:t>2</w:t>
            </w:r>
            <w:r w:rsidR="00A44F2C">
              <w:t>)</w:t>
            </w:r>
            <w:r w:rsidRPr="00D179FD">
              <w:t xml:space="preserve"> and </w:t>
            </w:r>
            <w:r w:rsidR="00A44F2C">
              <w:t>high sensitiv</w:t>
            </w:r>
            <w:r w:rsidR="008D49EA">
              <w:t>ity</w:t>
            </w:r>
            <w:r w:rsidR="00A44F2C">
              <w:t xml:space="preserve"> C</w:t>
            </w:r>
            <w:r w:rsidR="008D49EA">
              <w:t>-</w:t>
            </w:r>
            <w:r w:rsidR="00A44F2C">
              <w:t>reactive protein (</w:t>
            </w:r>
            <w:r w:rsidR="008D49EA">
              <w:t>h</w:t>
            </w:r>
            <w:r w:rsidR="008D49EA" w:rsidRPr="00D179FD">
              <w:t>s</w:t>
            </w:r>
            <w:r w:rsidR="00A20A6B">
              <w:t>-</w:t>
            </w:r>
            <w:r w:rsidRPr="00D179FD">
              <w:t>CRP</w:t>
            </w:r>
            <w:r w:rsidR="00A44F2C">
              <w:t>)</w:t>
            </w:r>
            <w:r w:rsidRPr="00D179FD">
              <w:t xml:space="preserve"> </w:t>
            </w:r>
          </w:p>
          <w:p w:rsidR="00D179FD" w:rsidRPr="00D179FD" w:rsidRDefault="00D179FD" w:rsidP="00D179FD">
            <w:pPr>
              <w:pStyle w:val="C-TableText"/>
              <w:numPr>
                <w:ilvl w:val="0"/>
                <w:numId w:val="18"/>
              </w:numPr>
              <w:tabs>
                <w:tab w:val="left" w:pos="1050"/>
              </w:tabs>
              <w:ind w:firstLine="60"/>
            </w:pPr>
            <w:r w:rsidRPr="00D179FD">
              <w:t>prostate volume</w:t>
            </w:r>
          </w:p>
          <w:p w:rsidR="00D179FD" w:rsidRPr="00D179FD" w:rsidRDefault="00D179FD" w:rsidP="00D179FD">
            <w:pPr>
              <w:pStyle w:val="C-TableText"/>
              <w:numPr>
                <w:ilvl w:val="0"/>
                <w:numId w:val="18"/>
              </w:numPr>
            </w:pPr>
            <w:r w:rsidRPr="00D179FD">
              <w:t xml:space="preserve">To determine the effect of the </w:t>
            </w:r>
            <w:r w:rsidR="008E5289">
              <w:t>Oral TU</w:t>
            </w:r>
            <w:r w:rsidRPr="00D179FD">
              <w:t xml:space="preserve"> product compared with transdermal T-gel on:</w:t>
            </w:r>
          </w:p>
          <w:p w:rsidR="00D179FD" w:rsidRPr="00D179FD" w:rsidRDefault="00D179FD" w:rsidP="00D179FD">
            <w:pPr>
              <w:pStyle w:val="C-TableText"/>
              <w:numPr>
                <w:ilvl w:val="0"/>
                <w:numId w:val="18"/>
              </w:numPr>
              <w:tabs>
                <w:tab w:val="left" w:pos="1050"/>
              </w:tabs>
              <w:ind w:firstLine="60"/>
            </w:pPr>
            <w:r w:rsidRPr="00D179FD">
              <w:t>lean body mass and bone density</w:t>
            </w:r>
          </w:p>
          <w:p w:rsidR="00D179FD" w:rsidRPr="00D179FD" w:rsidRDefault="00D179FD" w:rsidP="00D179FD">
            <w:pPr>
              <w:pStyle w:val="C-TableText"/>
              <w:numPr>
                <w:ilvl w:val="0"/>
                <w:numId w:val="18"/>
              </w:numPr>
              <w:tabs>
                <w:tab w:val="left" w:pos="1050"/>
              </w:tabs>
              <w:ind w:left="1050" w:hanging="270"/>
            </w:pPr>
            <w:r w:rsidRPr="00D179FD">
              <w:t xml:space="preserve">sexual function parameters (sexual desire, sexual enjoyment, sexual performance, sexual activity, and positive and negative </w:t>
            </w:r>
            <w:r w:rsidR="00824447">
              <w:t xml:space="preserve">sexual </w:t>
            </w:r>
            <w:r w:rsidRPr="00D179FD">
              <w:t>moods)</w:t>
            </w:r>
          </w:p>
          <w:p w:rsidR="00D179FD" w:rsidRDefault="00BC065D" w:rsidP="00D179FD">
            <w:pPr>
              <w:pStyle w:val="C-TableText"/>
              <w:numPr>
                <w:ilvl w:val="0"/>
                <w:numId w:val="18"/>
              </w:numPr>
              <w:tabs>
                <w:tab w:val="left" w:pos="1050"/>
              </w:tabs>
              <w:ind w:firstLine="60"/>
            </w:pPr>
            <w:r>
              <w:lastRenderedPageBreak/>
              <w:t>general well-being</w:t>
            </w:r>
          </w:p>
          <w:p w:rsidR="00303A04" w:rsidRDefault="00303A04" w:rsidP="00303A04">
            <w:pPr>
              <w:pStyle w:val="C-TableText"/>
              <w:tabs>
                <w:tab w:val="left" w:pos="1050"/>
              </w:tabs>
              <w:ind w:left="780"/>
            </w:pPr>
          </w:p>
          <w:p w:rsidR="00E40400" w:rsidRDefault="000060CD" w:rsidP="00E40400">
            <w:pPr>
              <w:pStyle w:val="C-TableText"/>
              <w:tabs>
                <w:tab w:val="left" w:pos="1050"/>
              </w:tabs>
              <w:rPr>
                <w:u w:val="single"/>
              </w:rPr>
            </w:pPr>
            <w:r w:rsidRPr="00303A04">
              <w:rPr>
                <w:u w:val="single"/>
              </w:rPr>
              <w:t>Exploratory Objectives</w:t>
            </w:r>
          </w:p>
          <w:p w:rsidR="00E40400" w:rsidRDefault="00E40400" w:rsidP="00E40400">
            <w:pPr>
              <w:pStyle w:val="C-TableText"/>
              <w:tabs>
                <w:tab w:val="left" w:pos="1050"/>
              </w:tabs>
              <w:rPr>
                <w:u w:val="single"/>
              </w:rPr>
            </w:pPr>
            <w:r>
              <w:t>The following were determined in the overall study population for assessment of the comparative effects between the two arms:</w:t>
            </w:r>
          </w:p>
          <w:p w:rsidR="00E40400" w:rsidRDefault="00E40400" w:rsidP="00E40400">
            <w:pPr>
              <w:pStyle w:val="C-TableText"/>
              <w:numPr>
                <w:ilvl w:val="0"/>
                <w:numId w:val="24"/>
              </w:numPr>
              <w:tabs>
                <w:tab w:val="left" w:pos="1050"/>
              </w:tabs>
              <w:rPr>
                <w:u w:val="single"/>
              </w:rPr>
            </w:pPr>
            <w:r>
              <w:t>chang</w:t>
            </w:r>
            <w:bookmarkStart w:id="1" w:name="_GoBack"/>
            <w:bookmarkEnd w:id="1"/>
            <w:r>
              <w:t xml:space="preserve">es in levels of </w:t>
            </w:r>
            <w:r w:rsidR="006B16B7">
              <w:t>lipoprotein(a)</w:t>
            </w:r>
            <w:r>
              <w:t xml:space="preserve"> (Lp[a]) and apolipoprotein </w:t>
            </w:r>
            <w:r w:rsidR="00824447">
              <w:t xml:space="preserve">A1 </w:t>
            </w:r>
            <w:r>
              <w:t>(ApoA1)</w:t>
            </w:r>
          </w:p>
          <w:p w:rsidR="00E40400" w:rsidRDefault="00E40400" w:rsidP="00E40400">
            <w:pPr>
              <w:pStyle w:val="C-TableText"/>
              <w:numPr>
                <w:ilvl w:val="0"/>
                <w:numId w:val="24"/>
              </w:numPr>
              <w:tabs>
                <w:tab w:val="left" w:pos="1050"/>
              </w:tabs>
              <w:rPr>
                <w:u w:val="single"/>
              </w:rPr>
            </w:pPr>
            <w:r>
              <w:t xml:space="preserve">relatedness of </w:t>
            </w:r>
            <w:r w:rsidR="00937FB2">
              <w:t xml:space="preserve">changes to </w:t>
            </w:r>
            <w:r>
              <w:t xml:space="preserve">relevant hematology and lipid parameters and </w:t>
            </w:r>
            <w:r w:rsidR="00824447">
              <w:t xml:space="preserve">CV </w:t>
            </w:r>
            <w:r>
              <w:t>biomarkers to both T C</w:t>
            </w:r>
            <w:r w:rsidRPr="00E40400">
              <w:rPr>
                <w:vertAlign w:val="subscript"/>
              </w:rPr>
              <w:t>max</w:t>
            </w:r>
            <w:r>
              <w:t xml:space="preserve"> of &gt; 1500 ng/</w:t>
            </w:r>
            <w:r w:rsidR="00824447">
              <w:t xml:space="preserve">dL </w:t>
            </w:r>
            <w:r>
              <w:t>and C</w:t>
            </w:r>
            <w:r w:rsidRPr="00E40400">
              <w:rPr>
                <w:vertAlign w:val="subscript"/>
              </w:rPr>
              <w:t>avg</w:t>
            </w:r>
            <w:r>
              <w:t xml:space="preserve"> of &gt; 1000 ng/</w:t>
            </w:r>
            <w:r w:rsidR="00824447">
              <w:t>dL</w:t>
            </w:r>
          </w:p>
          <w:p w:rsidR="00E40400" w:rsidRPr="00E40400" w:rsidRDefault="00E40400" w:rsidP="00E40400">
            <w:pPr>
              <w:pStyle w:val="C-TableText"/>
              <w:numPr>
                <w:ilvl w:val="0"/>
                <w:numId w:val="24"/>
              </w:numPr>
              <w:tabs>
                <w:tab w:val="left" w:pos="1050"/>
              </w:tabs>
              <w:rPr>
                <w:u w:val="single"/>
              </w:rPr>
            </w:pPr>
            <w:r>
              <w:t>relatedness of adverse events (AEs) and serious adverse events (SAEs) to a T C</w:t>
            </w:r>
            <w:r w:rsidRPr="00E40400">
              <w:rPr>
                <w:vertAlign w:val="subscript"/>
              </w:rPr>
              <w:t>max</w:t>
            </w:r>
            <w:r>
              <w:t xml:space="preserve"> &gt; 1500 ng/</w:t>
            </w:r>
            <w:r w:rsidR="00824447">
              <w:t>dL</w:t>
            </w:r>
          </w:p>
          <w:p w:rsidR="00E40400" w:rsidRDefault="00E40400" w:rsidP="00E40400">
            <w:pPr>
              <w:pStyle w:val="C-TableText"/>
              <w:tabs>
                <w:tab w:val="left" w:pos="1050"/>
              </w:tabs>
              <w:ind w:left="720"/>
            </w:pPr>
          </w:p>
          <w:p w:rsidR="00EF3DA2" w:rsidRDefault="00E40400" w:rsidP="00EF3DA2">
            <w:pPr>
              <w:pStyle w:val="C-TableText"/>
              <w:tabs>
                <w:tab w:val="left" w:pos="1050"/>
              </w:tabs>
            </w:pPr>
            <w:r>
              <w:t xml:space="preserve">In addition to the above, a sub-study </w:t>
            </w:r>
            <w:r w:rsidR="00824447">
              <w:t xml:space="preserve">was conducted </w:t>
            </w:r>
            <w:r w:rsidR="00937FB2">
              <w:t>comprised of</w:t>
            </w:r>
            <w:r>
              <w:t xml:space="preserve"> a total of approximately 60 subjects (</w:t>
            </w:r>
            <w:r w:rsidR="00E6068D">
              <w:t>≈</w:t>
            </w:r>
            <w:r>
              <w:t xml:space="preserve">30 in each treatment arm) where additional novel </w:t>
            </w:r>
            <w:r w:rsidR="00824447">
              <w:t xml:space="preserve">CV </w:t>
            </w:r>
            <w:r>
              <w:t>biomarkers were assessed.  Differences between baseline and Day 365, as well as trends during the study were evaluated</w:t>
            </w:r>
            <w:r w:rsidR="00824447">
              <w:t>:</w:t>
            </w:r>
            <w:r>
              <w:t xml:space="preserve">  </w:t>
            </w:r>
          </w:p>
          <w:p w:rsidR="00EF3DA2" w:rsidRDefault="00EF3DA2" w:rsidP="00E40400">
            <w:pPr>
              <w:pStyle w:val="C-TableText"/>
              <w:numPr>
                <w:ilvl w:val="0"/>
                <w:numId w:val="25"/>
              </w:numPr>
              <w:tabs>
                <w:tab w:val="left" w:pos="1050"/>
              </w:tabs>
            </w:pPr>
            <w:r>
              <w:t xml:space="preserve">on cholesterol efflux </w:t>
            </w:r>
            <w:r w:rsidR="00E6068D">
              <w:t>(</w:t>
            </w:r>
            <w:r w:rsidR="00E6068D">
              <w:rPr>
                <w:i/>
              </w:rPr>
              <w:t xml:space="preserve">in vitro </w:t>
            </w:r>
            <w:r w:rsidR="003C4DEE" w:rsidRPr="003C4DEE">
              <w:t>macrophage model</w:t>
            </w:r>
            <w:r w:rsidR="00E6068D">
              <w:rPr>
                <w:i/>
              </w:rPr>
              <w:t>)</w:t>
            </w:r>
          </w:p>
          <w:p w:rsidR="00EF3DA2" w:rsidRDefault="00E40400" w:rsidP="00E40400">
            <w:pPr>
              <w:pStyle w:val="C-TableText"/>
              <w:numPr>
                <w:ilvl w:val="0"/>
                <w:numId w:val="25"/>
              </w:numPr>
              <w:tabs>
                <w:tab w:val="left" w:pos="1050"/>
              </w:tabs>
            </w:pPr>
            <w:r>
              <w:t xml:space="preserve">on </w:t>
            </w:r>
            <w:r w:rsidR="00F511CA">
              <w:t>high-density lipoprotein (</w:t>
            </w:r>
            <w:r>
              <w:t>HDL</w:t>
            </w:r>
            <w:r w:rsidR="00F511CA">
              <w:t>)</w:t>
            </w:r>
            <w:r>
              <w:t xml:space="preserve"> </w:t>
            </w:r>
            <w:r w:rsidR="00EF3DA2">
              <w:t>particle number and composition</w:t>
            </w:r>
          </w:p>
          <w:p w:rsidR="000060CD" w:rsidRDefault="00E40400" w:rsidP="00E40400">
            <w:pPr>
              <w:pStyle w:val="C-TableText"/>
              <w:numPr>
                <w:ilvl w:val="0"/>
                <w:numId w:val="25"/>
              </w:numPr>
              <w:tabs>
                <w:tab w:val="left" w:pos="1050"/>
              </w:tabs>
            </w:pPr>
            <w:r>
              <w:t xml:space="preserve">on other </w:t>
            </w:r>
            <w:r w:rsidR="00824447">
              <w:t xml:space="preserve">CV </w:t>
            </w:r>
            <w:r>
              <w:t xml:space="preserve">biomarkers including: </w:t>
            </w:r>
            <w:r w:rsidR="0018698B" w:rsidRPr="0018698B">
              <w:t xml:space="preserve">serum </w:t>
            </w:r>
            <w:r w:rsidR="00824447">
              <w:t>p</w:t>
            </w:r>
            <w:r w:rsidR="0018698B" w:rsidRPr="0018698B">
              <w:t xml:space="preserve">hospholipase A2 (sPLA2), </w:t>
            </w:r>
            <w:r w:rsidR="009F4D11">
              <w:t>o</w:t>
            </w:r>
            <w:r w:rsidR="0018698B" w:rsidRPr="0018698B">
              <w:t>xid</w:t>
            </w:r>
            <w:r w:rsidR="00D44402">
              <w:t xml:space="preserve">ized </w:t>
            </w:r>
            <w:r w:rsidR="009F4D11">
              <w:t>p</w:t>
            </w:r>
            <w:r w:rsidR="00D44402">
              <w:t xml:space="preserve">hospholipids (PC ox-PL), </w:t>
            </w:r>
            <w:r w:rsidR="00737C7B">
              <w:t>immunoglobulin G (</w:t>
            </w:r>
            <w:r w:rsidR="0018698B" w:rsidRPr="0018698B">
              <w:t>IgG</w:t>
            </w:r>
            <w:r w:rsidR="00737C7B">
              <w:t>)</w:t>
            </w:r>
            <w:r w:rsidR="0018698B" w:rsidRPr="0018698B">
              <w:t xml:space="preserve"> and </w:t>
            </w:r>
            <w:r w:rsidR="00737C7B">
              <w:t>immunoglobulin M (</w:t>
            </w:r>
            <w:r w:rsidR="0018698B" w:rsidRPr="0018698B">
              <w:t>IgM</w:t>
            </w:r>
            <w:r w:rsidR="00737C7B">
              <w:t>)</w:t>
            </w:r>
            <w:r w:rsidR="0018698B" w:rsidRPr="0018698B">
              <w:t xml:space="preserve"> </w:t>
            </w:r>
            <w:r w:rsidR="00D44402">
              <w:t>apolipoprotein B1 (Apo</w:t>
            </w:r>
            <w:r w:rsidR="0018698B" w:rsidRPr="0018698B">
              <w:t>B1</w:t>
            </w:r>
            <w:r w:rsidR="00D44402">
              <w:t>)</w:t>
            </w:r>
            <w:r w:rsidR="0018698B" w:rsidRPr="0018698B">
              <w:t xml:space="preserve"> </w:t>
            </w:r>
            <w:r w:rsidR="009F4D11">
              <w:t>i</w:t>
            </w:r>
            <w:r w:rsidR="0018698B" w:rsidRPr="0018698B">
              <w:t xml:space="preserve">mmune </w:t>
            </w:r>
            <w:r w:rsidR="009F4D11">
              <w:t>c</w:t>
            </w:r>
            <w:r w:rsidR="0018698B" w:rsidRPr="0018698B">
              <w:t xml:space="preserve">omplexes, and IgG and IgM antibodies to malonyaldehyde oxidized </w:t>
            </w:r>
            <w:r w:rsidR="00D44402">
              <w:t>low-density lipoprotein (</w:t>
            </w:r>
            <w:r w:rsidR="0018698B" w:rsidRPr="0018698B">
              <w:t>LDL</w:t>
            </w:r>
            <w:r w:rsidR="00D44402">
              <w:t>)</w:t>
            </w:r>
            <w:r w:rsidR="0018698B" w:rsidRPr="0018698B">
              <w:t xml:space="preserve">, </w:t>
            </w:r>
            <w:r w:rsidR="00E6068D">
              <w:t xml:space="preserve">and </w:t>
            </w:r>
            <w:r w:rsidR="0018698B" w:rsidRPr="0018698B">
              <w:t>LDL fractionation for total and small LDL particle concentration and phenotype (by ion mobility).</w:t>
            </w:r>
            <w:r>
              <w:t xml:space="preserve"> </w:t>
            </w:r>
          </w:p>
          <w:p w:rsidR="00EF3DA2" w:rsidRPr="00392B46" w:rsidRDefault="00EF3DA2" w:rsidP="00EF3DA2">
            <w:pPr>
              <w:pStyle w:val="C-TableText"/>
              <w:tabs>
                <w:tab w:val="left" w:pos="1050"/>
              </w:tabs>
              <w:ind w:left="720"/>
            </w:pP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top w:val="single" w:sz="6" w:space="0" w:color="auto"/>
              <w:left w:val="single" w:sz="6" w:space="0" w:color="auto"/>
              <w:bottom w:val="single" w:sz="6" w:space="0" w:color="auto"/>
              <w:right w:val="single" w:sz="6" w:space="0" w:color="auto"/>
            </w:tcBorders>
          </w:tcPr>
          <w:p w:rsidR="001F4B1B" w:rsidRDefault="001F4B1B" w:rsidP="00902350">
            <w:pPr>
              <w:pStyle w:val="Synop1"/>
              <w:spacing w:before="60" w:after="60"/>
            </w:pPr>
            <w:r w:rsidRPr="00E677BD">
              <w:rPr>
                <w:b/>
              </w:rPr>
              <w:lastRenderedPageBreak/>
              <w:t>Methodology:</w:t>
            </w:r>
            <w:r>
              <w:t xml:space="preserve"> </w:t>
            </w:r>
          </w:p>
          <w:p w:rsidR="00290869" w:rsidRPr="00290869" w:rsidRDefault="00290869" w:rsidP="00290869">
            <w:pPr>
              <w:pStyle w:val="C-TableText"/>
            </w:pPr>
            <w:r w:rsidRPr="00290869">
              <w:t xml:space="preserve">This was a randomized, open-label, </w:t>
            </w:r>
            <w:r w:rsidR="005D4906">
              <w:t>2-ar</w:t>
            </w:r>
            <w:r w:rsidR="00EF3DA2">
              <w:t xml:space="preserve">m, </w:t>
            </w:r>
            <w:r w:rsidRPr="00290869">
              <w:t xml:space="preserve">active controlled, 12-month study of </w:t>
            </w:r>
            <w:r w:rsidR="008E5289">
              <w:t>Oral TU</w:t>
            </w:r>
            <w:r w:rsidRPr="00290869">
              <w:t xml:space="preserve"> </w:t>
            </w:r>
            <w:r w:rsidR="00EF3DA2">
              <w:t xml:space="preserve">that </w:t>
            </w:r>
            <w:r w:rsidRPr="00290869">
              <w:t xml:space="preserve">planned to enroll </w:t>
            </w:r>
            <w:r w:rsidR="00EF3DA2">
              <w:t xml:space="preserve">≈ </w:t>
            </w:r>
            <w:r w:rsidRPr="00290869">
              <w:t>300 hypogonadal men (</w:t>
            </w:r>
            <w:r w:rsidR="00EF3DA2">
              <w:t xml:space="preserve">≈ </w:t>
            </w:r>
            <w:r w:rsidRPr="00290869">
              <w:t>150/group) at multiple study sites</w:t>
            </w:r>
            <w:r w:rsidR="00E6068D">
              <w:t>. Incorporated in the design was</w:t>
            </w:r>
            <w:r w:rsidRPr="00290869">
              <w:t xml:space="preserve"> dose titration based on serum T </w:t>
            </w:r>
            <w:r w:rsidR="00937FB2">
              <w:t>concentration</w:t>
            </w:r>
            <w:r w:rsidRPr="00290869">
              <w:t xml:space="preserve"> assessed </w:t>
            </w:r>
            <w:r w:rsidR="00937FB2">
              <w:t xml:space="preserve">4-6 hrs post </w:t>
            </w:r>
            <w:r w:rsidR="00F71B0A">
              <w:t xml:space="preserve">AM </w:t>
            </w:r>
            <w:r w:rsidR="00937FB2">
              <w:t>dose</w:t>
            </w:r>
            <w:r w:rsidRPr="00290869">
              <w:t xml:space="preserve">.  Following a 2-visit screening period during which a serum T </w:t>
            </w:r>
            <w:r w:rsidR="00937FB2">
              <w:t>concentration</w:t>
            </w:r>
            <w:r w:rsidRPr="00290869">
              <w:t xml:space="preserve"> was measured, eligible subjects were randomized to either </w:t>
            </w:r>
            <w:r w:rsidR="008E5289">
              <w:t>Oral TU</w:t>
            </w:r>
            <w:r w:rsidRPr="00290869">
              <w:t xml:space="preserve"> (Group A) or transdermal T-gel (Group B) for dosing during Treatment Period 1 (Days 0 to 42).  Group A was initially dosed with 400</w:t>
            </w:r>
            <w:r w:rsidR="00824447">
              <w:t> </w:t>
            </w:r>
            <w:r w:rsidRPr="00290869">
              <w:t xml:space="preserve">mg T </w:t>
            </w:r>
            <w:r w:rsidR="00937FB2">
              <w:t xml:space="preserve">daily </w:t>
            </w:r>
            <w:r w:rsidRPr="00290869">
              <w:t xml:space="preserve">(two 100 mg capsules, </w:t>
            </w:r>
            <w:r w:rsidR="006A4761">
              <w:t>orally, twice a day</w:t>
            </w:r>
            <w:r w:rsidRPr="00290869">
              <w:t xml:space="preserve"> </w:t>
            </w:r>
            <w:r w:rsidR="006A4761">
              <w:t>[</w:t>
            </w:r>
            <w:r w:rsidRPr="00290869">
              <w:t>BID</w:t>
            </w:r>
            <w:r w:rsidR="006A4761">
              <w:t>]</w:t>
            </w:r>
            <w:r w:rsidRPr="00290869">
              <w:t xml:space="preserve">), and Group B was initially dosed with 5 g of transdermal 1% T-gel applied once daily to clean, dry intact skin of the shoulders and upper arms and/or abdomen. </w:t>
            </w:r>
          </w:p>
          <w:p w:rsidR="00290869" w:rsidRDefault="00290869" w:rsidP="00290869">
            <w:pPr>
              <w:pStyle w:val="C-TableText"/>
            </w:pPr>
          </w:p>
          <w:p w:rsidR="00EF3DA2" w:rsidRDefault="00EF3DA2" w:rsidP="00EF3DA2">
            <w:pPr>
              <w:pStyle w:val="C-TableText"/>
            </w:pPr>
            <w:r>
              <w:t>On Day 30 (±</w:t>
            </w:r>
            <w:r w:rsidR="00AF230D">
              <w:t xml:space="preserve"> </w:t>
            </w:r>
            <w:r>
              <w:t xml:space="preserve">3 days), 4-6 hours after the morning dose, serum T sampling was done.  Based on the T concentration in this sample, the need for dose titration was determined.  </w:t>
            </w:r>
            <w:r w:rsidR="005669E0">
              <w:t>If required, d</w:t>
            </w:r>
            <w:r>
              <w:t>ose titration occurred on Day 42 (±</w:t>
            </w:r>
            <w:r w:rsidR="00AF230D">
              <w:t xml:space="preserve"> </w:t>
            </w:r>
            <w:r>
              <w:t xml:space="preserve">3 days) for Treatment Period 2 (Days 42 to 90).  </w:t>
            </w:r>
          </w:p>
          <w:p w:rsidR="00EF3DA2" w:rsidRDefault="00EF3DA2" w:rsidP="00EF3DA2">
            <w:pPr>
              <w:pStyle w:val="C-TableText"/>
            </w:pPr>
          </w:p>
          <w:p w:rsidR="00EF3DA2" w:rsidRDefault="00EF3DA2" w:rsidP="00EF3DA2">
            <w:pPr>
              <w:pStyle w:val="C-TableText"/>
            </w:pPr>
            <w:r>
              <w:t>Those subjects whose dose was titrated on Day 42 were re-evaluated on Day 60 (±</w:t>
            </w:r>
            <w:r w:rsidR="00AF230D">
              <w:t xml:space="preserve"> </w:t>
            </w:r>
            <w:r>
              <w:t>3 days), with dose adjustments made as necessary on Day 74 (±</w:t>
            </w:r>
            <w:r w:rsidR="00AF230D">
              <w:t xml:space="preserve"> </w:t>
            </w:r>
            <w:r>
              <w:t>3 days)</w:t>
            </w:r>
            <w:r w:rsidR="007B7A67">
              <w:t xml:space="preserve">. </w:t>
            </w:r>
          </w:p>
          <w:p w:rsidR="007B7A67" w:rsidRDefault="007B7A67" w:rsidP="00EF3DA2">
            <w:pPr>
              <w:pStyle w:val="C-TableText"/>
            </w:pPr>
          </w:p>
          <w:p w:rsidR="00EF3DA2" w:rsidRDefault="00EF3DA2" w:rsidP="00EF3DA2">
            <w:pPr>
              <w:pStyle w:val="C-TableText"/>
            </w:pPr>
            <w:r>
              <w:t>Serum T sampling was performed on Day 90 (±</w:t>
            </w:r>
            <w:r w:rsidR="00AF230D">
              <w:t xml:space="preserve"> </w:t>
            </w:r>
            <w:r>
              <w:t>3 days), or for Oral TU subjects who had dose titration on Day 74, on Day 105 (±</w:t>
            </w:r>
            <w:r w:rsidR="00AF230D">
              <w:t xml:space="preserve"> </w:t>
            </w:r>
            <w:r>
              <w:t xml:space="preserve">3 days).  If the serum T level was &gt; 1800 ng/dL, the sample was repeated; subjects were to be discontinued if the second assayed T concentration was &gt; 1800 ng/dL.   </w:t>
            </w:r>
          </w:p>
          <w:p w:rsidR="00EF3DA2" w:rsidRDefault="00EF3DA2" w:rsidP="00290869">
            <w:pPr>
              <w:pStyle w:val="C-TableText"/>
            </w:pPr>
          </w:p>
          <w:p w:rsidR="00290869" w:rsidRDefault="00303A04" w:rsidP="00290869">
            <w:pPr>
              <w:pStyle w:val="C-TableText"/>
            </w:pPr>
            <w:r>
              <w:t>An addition</w:t>
            </w:r>
            <w:r w:rsidR="00F71B0A">
              <w:t>al</w:t>
            </w:r>
            <w:r>
              <w:t xml:space="preserve"> </w:t>
            </w:r>
            <w:r w:rsidR="00290869">
              <w:t xml:space="preserve">dose titration </w:t>
            </w:r>
            <w:r w:rsidR="00F71B0A">
              <w:t>rule applied</w:t>
            </w:r>
            <w:r w:rsidR="00290869">
              <w:t xml:space="preserve"> for Day 180 through end of study</w:t>
            </w:r>
            <w:r>
              <w:t xml:space="preserve"> and was </w:t>
            </w:r>
            <w:r w:rsidR="00290869">
              <w:t xml:space="preserve">applicable only to subjects whose Day 180 visit and/or Day 270 </w:t>
            </w:r>
            <w:r w:rsidR="00AF230D">
              <w:t>v</w:t>
            </w:r>
            <w:r w:rsidR="00290869">
              <w:t xml:space="preserve">isit occurred after the approval of Protocol Amendment #5.  </w:t>
            </w:r>
            <w:r w:rsidR="00E6068D">
              <w:t xml:space="preserve">Based on </w:t>
            </w:r>
            <w:r w:rsidR="00290869">
              <w:t xml:space="preserve">the </w:t>
            </w:r>
            <w:r w:rsidR="00E6068D">
              <w:t>4-6 hour post</w:t>
            </w:r>
            <w:r w:rsidR="00DF102C">
              <w:t xml:space="preserve"> AM </w:t>
            </w:r>
            <w:r w:rsidR="00E6068D">
              <w:t xml:space="preserve">dose </w:t>
            </w:r>
            <w:r w:rsidR="00290869">
              <w:t>sample collect</w:t>
            </w:r>
            <w:r w:rsidR="00E03F62">
              <w:t>ed</w:t>
            </w:r>
            <w:r w:rsidR="00290869">
              <w:t xml:space="preserve"> on Days 180 and 270, subjects with serum T &gt; 1500 ng/dL underwent a repeat analysis and dose adjustments were made.  Subjects who</w:t>
            </w:r>
            <w:r w:rsidR="00006DE2">
              <w:t xml:space="preserve">se dose was </w:t>
            </w:r>
            <w:r w:rsidR="00006DE2" w:rsidRPr="00E03F62">
              <w:t xml:space="preserve">already at 100 mg T </w:t>
            </w:r>
            <w:r w:rsidR="00290869" w:rsidRPr="00E03F62">
              <w:t>BID and</w:t>
            </w:r>
            <w:r w:rsidR="00290869">
              <w:t xml:space="preserve"> who had a confirmed 4-6 hour serum T level of &gt; 1500 ng/dL on two determinations </w:t>
            </w:r>
            <w:r w:rsidR="00290869">
              <w:lastRenderedPageBreak/>
              <w:t>following either Day 180 or 270 were discontinued.</w:t>
            </w:r>
          </w:p>
          <w:p w:rsidR="00290869" w:rsidRDefault="00290869" w:rsidP="00290869">
            <w:pPr>
              <w:pStyle w:val="C-TableText"/>
            </w:pPr>
          </w:p>
          <w:p w:rsidR="00290869" w:rsidRDefault="00290869" w:rsidP="00290869">
            <w:pPr>
              <w:pStyle w:val="C-TableText"/>
            </w:pPr>
            <w:r>
              <w:t xml:space="preserve">Subjects were confined to the clinical facility for the serial PK sampling on Day 90 or 105 from at least </w:t>
            </w:r>
            <w:r w:rsidR="009927A1">
              <w:br/>
            </w:r>
            <w:r w:rsidRPr="007B7A67">
              <w:t>one hour</w:t>
            </w:r>
            <w:r>
              <w:t xml:space="preserve"> before dosing and until after collection of the final blood sample (i.e., 24 hours after the AM dose).  On Days 30 and 365</w:t>
            </w:r>
            <w:r w:rsidR="00AF230D">
              <w:t xml:space="preserve"> (± 3 days)</w:t>
            </w:r>
            <w:r>
              <w:t>, they were confined for serial PK sampling from at least one hour before dosing until after collection of the final blood sample 12 hours after the AM dose.</w:t>
            </w:r>
          </w:p>
          <w:p w:rsidR="00290869" w:rsidRDefault="00290869" w:rsidP="00290869">
            <w:pPr>
              <w:pStyle w:val="C-TableText"/>
            </w:pPr>
          </w:p>
          <w:p w:rsidR="00290869" w:rsidRDefault="00290869" w:rsidP="00290869">
            <w:pPr>
              <w:pStyle w:val="C-TableText"/>
            </w:pPr>
            <w:r>
              <w:t xml:space="preserve">Other study procedures included Transrectal Prostate Ultrasound (TRUS), a psychosexual questionnaire (completed daily for the 7 days preceding a visit), </w:t>
            </w:r>
            <w:r w:rsidR="006A4761">
              <w:t>dual-energy x-ray absorptiometry (</w:t>
            </w:r>
            <w:r>
              <w:t>DEXA</w:t>
            </w:r>
            <w:r w:rsidR="006A4761">
              <w:t>)</w:t>
            </w:r>
            <w:r>
              <w:t xml:space="preserve"> </w:t>
            </w:r>
            <w:r w:rsidR="006A4761">
              <w:t>s</w:t>
            </w:r>
            <w:r>
              <w:t>can f</w:t>
            </w:r>
            <w:r w:rsidR="00F71B0A">
              <w:t>or</w:t>
            </w:r>
            <w:r>
              <w:t xml:space="preserve"> body composition and bone mineral density, and the Short Form Health Survey </w:t>
            </w:r>
            <w:r w:rsidR="006A4761">
              <w:t xml:space="preserve">Version </w:t>
            </w:r>
            <w:r>
              <w:t>36 (SF-36).</w:t>
            </w:r>
          </w:p>
          <w:p w:rsidR="00290869" w:rsidRDefault="00290869" w:rsidP="00290869">
            <w:pPr>
              <w:pStyle w:val="C-TableText"/>
            </w:pPr>
          </w:p>
          <w:p w:rsidR="00290869" w:rsidRPr="00E677BD" w:rsidRDefault="00290869" w:rsidP="00583BE5">
            <w:pPr>
              <w:pStyle w:val="C-TableText"/>
            </w:pPr>
            <w:r>
              <w:t xml:space="preserve">Safety measures included physical examination, vital signs, fasting laboratory analysis (hematology, chemistry, urinalysis), </w:t>
            </w:r>
            <w:r w:rsidR="00583BE5">
              <w:t xml:space="preserve">CV </w:t>
            </w:r>
            <w:r>
              <w:t>b</w:t>
            </w:r>
            <w:r w:rsidR="00576FA8">
              <w:t xml:space="preserve">iomarker monitoring </w:t>
            </w:r>
            <w:r w:rsidR="007A08C4">
              <w:t>[</w:t>
            </w:r>
            <w:r w:rsidR="00583BE5">
              <w:t>hs</w:t>
            </w:r>
            <w:r w:rsidR="00A20A6B">
              <w:t>-</w:t>
            </w:r>
            <w:r w:rsidR="00576FA8">
              <w:t>CRP, Lp</w:t>
            </w:r>
            <w:r w:rsidR="00A20A6B">
              <w:t>-</w:t>
            </w:r>
            <w:r>
              <w:t>PLA</w:t>
            </w:r>
            <w:r w:rsidR="00A20A6B">
              <w:rPr>
                <w:vertAlign w:val="subscript"/>
              </w:rPr>
              <w:t>2</w:t>
            </w:r>
            <w:r>
              <w:t>, Lp(a)</w:t>
            </w:r>
            <w:r w:rsidR="00583BE5">
              <w:t>,</w:t>
            </w:r>
            <w:r>
              <w:t xml:space="preserve"> and A</w:t>
            </w:r>
            <w:r w:rsidR="006A4761">
              <w:t>po</w:t>
            </w:r>
            <w:r>
              <w:t>A1</w:t>
            </w:r>
            <w:r w:rsidR="007A08C4">
              <w:t>]</w:t>
            </w:r>
            <w:r>
              <w:t xml:space="preserve">, measurement of sex hormone binding globulin (SHBG); </w:t>
            </w:r>
            <w:r w:rsidRPr="007B7A67">
              <w:t>lut</w:t>
            </w:r>
            <w:r w:rsidR="007B7A67" w:rsidRPr="007B7A67">
              <w:t>e</w:t>
            </w:r>
            <w:r w:rsidRPr="007B7A67">
              <w:t>inizing hormone</w:t>
            </w:r>
            <w:r>
              <w:t xml:space="preserve"> (LH), follicle-stim</w:t>
            </w:r>
            <w:r w:rsidR="00501319">
              <w:t xml:space="preserve">ulating hormone (FSH); prostate </w:t>
            </w:r>
            <w:r>
              <w:t>specific antigen (PSA), and the American Urological Association/International Prostate Symptom Score (</w:t>
            </w:r>
            <w:r w:rsidR="00AB235F">
              <w:t>AUA/I-PSS</w:t>
            </w:r>
            <w:r>
              <w:t>).</w:t>
            </w: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cantSplit/>
        </w:trPr>
        <w:tc>
          <w:tcPr>
            <w:tcW w:w="9000" w:type="dxa"/>
            <w:gridSpan w:val="4"/>
            <w:tcBorders>
              <w:top w:val="single" w:sz="6" w:space="0" w:color="auto"/>
              <w:left w:val="single" w:sz="6" w:space="0" w:color="auto"/>
              <w:bottom w:val="single" w:sz="6" w:space="0" w:color="auto"/>
              <w:right w:val="single" w:sz="6" w:space="0" w:color="auto"/>
            </w:tcBorders>
          </w:tcPr>
          <w:p w:rsidR="001F4B1B" w:rsidRDefault="001F4B1B" w:rsidP="00902350">
            <w:pPr>
              <w:pStyle w:val="Synop1"/>
              <w:spacing w:after="120"/>
            </w:pPr>
            <w:r w:rsidRPr="00EB3C7A">
              <w:rPr>
                <w:b/>
              </w:rPr>
              <w:lastRenderedPageBreak/>
              <w:t>Number of Subjects:</w:t>
            </w:r>
            <w:r>
              <w:t xml:space="preserve"> </w:t>
            </w:r>
          </w:p>
          <w:p w:rsidR="001F4B1B" w:rsidRPr="00E677BD" w:rsidRDefault="00EB3C7A" w:rsidP="0094746F">
            <w:pPr>
              <w:pStyle w:val="C-TableText"/>
            </w:pPr>
            <w:r w:rsidRPr="00EB3C7A">
              <w:t>A total of 325 subjects were enrolled and randomized in this study (</w:t>
            </w:r>
            <w:r w:rsidR="00583BE5">
              <w:t>i</w:t>
            </w:r>
            <w:r w:rsidR="006A4761">
              <w:t>ntent-to-treat [</w:t>
            </w:r>
            <w:r w:rsidRPr="00EB3C7A">
              <w:t>ITT</w:t>
            </w:r>
            <w:r w:rsidR="006A4761">
              <w:t>]</w:t>
            </w:r>
            <w:r w:rsidRPr="00EB3C7A">
              <w:t xml:space="preserve"> populatio</w:t>
            </w:r>
            <w:r>
              <w:t xml:space="preserve">n): four </w:t>
            </w:r>
            <w:r w:rsidR="008E5289">
              <w:t>subjects</w:t>
            </w:r>
            <w:r w:rsidRPr="00EB3C7A">
              <w:t xml:space="preserve"> did not receive study treatment, leaving 321 </w:t>
            </w:r>
            <w:r w:rsidR="008E5289">
              <w:t>subjects</w:t>
            </w:r>
            <w:r w:rsidRPr="00EB3C7A">
              <w:t xml:space="preserve"> who received study treatment and were included in </w:t>
            </w:r>
            <w:r w:rsidR="0037028C">
              <w:t xml:space="preserve">the </w:t>
            </w:r>
            <w:r w:rsidR="006A4761">
              <w:t>s</w:t>
            </w:r>
            <w:r w:rsidRPr="00EB3C7A">
              <w:t xml:space="preserve">afety population.  Of these subjects, 315 were included in the </w:t>
            </w:r>
            <w:r w:rsidR="00583BE5">
              <w:t>PK</w:t>
            </w:r>
            <w:r w:rsidR="00583BE5" w:rsidRPr="00EB3C7A">
              <w:t xml:space="preserve"> </w:t>
            </w:r>
            <w:r w:rsidRPr="00EB3C7A">
              <w:t xml:space="preserve">population analysis set and </w:t>
            </w:r>
            <w:r w:rsidR="0094746F">
              <w:t xml:space="preserve">146 </w:t>
            </w:r>
            <w:r w:rsidRPr="00EB3C7A">
              <w:t>were included in the efficacy analysis set</w:t>
            </w:r>
            <w:r w:rsidR="00F71B0A">
              <w:t xml:space="preserve"> (Oral TU group only)</w:t>
            </w:r>
            <w:r w:rsidRPr="00EB3C7A">
              <w:t xml:space="preserve">.   </w:t>
            </w:r>
            <w:r w:rsidR="001F4B1B" w:rsidRPr="00E677BD">
              <w:br/>
            </w: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top w:val="single" w:sz="6" w:space="0" w:color="auto"/>
              <w:left w:val="single" w:sz="6" w:space="0" w:color="auto"/>
              <w:bottom w:val="single" w:sz="6" w:space="0" w:color="auto"/>
              <w:right w:val="single" w:sz="6" w:space="0" w:color="auto"/>
            </w:tcBorders>
          </w:tcPr>
          <w:p w:rsidR="001F4B1B" w:rsidRDefault="001F4B1B" w:rsidP="00902350">
            <w:pPr>
              <w:pStyle w:val="Synop1"/>
              <w:spacing w:before="60" w:after="60"/>
            </w:pPr>
            <w:r w:rsidRPr="00E677BD">
              <w:rPr>
                <w:b/>
              </w:rPr>
              <w:t>Diagnosis and Main Criteria for Inclusion:</w:t>
            </w:r>
            <w:r>
              <w:t xml:space="preserve"> </w:t>
            </w:r>
          </w:p>
          <w:p w:rsidR="001F4B1B" w:rsidRPr="00E677BD" w:rsidRDefault="001F4B1B" w:rsidP="00902350">
            <w:pPr>
              <w:pStyle w:val="Synop1"/>
              <w:spacing w:before="60" w:after="60"/>
              <w:rPr>
                <w:u w:val="single"/>
              </w:rPr>
            </w:pPr>
            <w:r w:rsidRPr="00E677BD">
              <w:rPr>
                <w:u w:val="single"/>
              </w:rPr>
              <w:t>Inclusion Criteria:</w:t>
            </w:r>
          </w:p>
          <w:p w:rsidR="005B677E" w:rsidRDefault="005B677E" w:rsidP="005B677E">
            <w:pPr>
              <w:pStyle w:val="Synop1"/>
              <w:spacing w:before="60" w:after="60"/>
            </w:pPr>
            <w:r>
              <w:t>Subjects were required to meet the following criteria in order to be eligible for the study:</w:t>
            </w:r>
          </w:p>
          <w:p w:rsidR="005B677E" w:rsidRDefault="005B677E" w:rsidP="00CA455C">
            <w:pPr>
              <w:pStyle w:val="Synop1"/>
              <w:tabs>
                <w:tab w:val="clear" w:pos="0"/>
                <w:tab w:val="clear" w:pos="475"/>
                <w:tab w:val="left" w:pos="510"/>
              </w:tabs>
              <w:spacing w:before="60" w:after="60"/>
              <w:ind w:left="510" w:hanging="510"/>
            </w:pPr>
            <w:r>
              <w:t>1.</w:t>
            </w:r>
            <w:r>
              <w:tab/>
              <w:t>Were male, 18 to 75 years of age</w:t>
            </w:r>
            <w:r w:rsidR="00583BE5">
              <w:t>,</w:t>
            </w:r>
            <w:r>
              <w:t xml:space="preserve"> inclusive, with hypogonadism as defined by a total serum T of </w:t>
            </w:r>
            <w:r w:rsidR="00C55F18">
              <w:br/>
            </w:r>
            <w:r>
              <w:t>≤ 300 ng/dL, collected in the morning before 10:00 AM on 2 occasions within 2 weeks (on separate days).</w:t>
            </w:r>
          </w:p>
          <w:p w:rsidR="005B677E" w:rsidRDefault="005B677E" w:rsidP="00CA455C">
            <w:pPr>
              <w:pStyle w:val="Synop1"/>
              <w:tabs>
                <w:tab w:val="clear" w:pos="0"/>
                <w:tab w:val="clear" w:pos="475"/>
                <w:tab w:val="left" w:pos="510"/>
              </w:tabs>
              <w:spacing w:before="60" w:after="60"/>
              <w:ind w:left="510" w:hanging="510"/>
            </w:pPr>
            <w:r>
              <w:t>2.</w:t>
            </w:r>
            <w:r>
              <w:tab/>
              <w:t>Had adequate venous access in the left or right arm to allow collection of a number of blood samples via a venous cannula.</w:t>
            </w:r>
          </w:p>
          <w:p w:rsidR="005B677E" w:rsidRDefault="005B677E" w:rsidP="00CA455C">
            <w:pPr>
              <w:pStyle w:val="Synop1"/>
              <w:tabs>
                <w:tab w:val="clear" w:pos="0"/>
                <w:tab w:val="clear" w:pos="475"/>
                <w:tab w:val="left" w:pos="510"/>
              </w:tabs>
              <w:spacing w:before="60" w:after="60"/>
              <w:ind w:left="510" w:hanging="510"/>
            </w:pPr>
            <w:r>
              <w:t>3.</w:t>
            </w:r>
            <w:r>
              <w:tab/>
              <w:t>Were naïve to androgen-replacement therapy (or washout required), willing to temporarily cease current T treatment, or were not taking T treatment in orde</w:t>
            </w:r>
            <w:r w:rsidR="00414149">
              <w:t xml:space="preserve">r to participate in the study.  </w:t>
            </w:r>
            <w:r>
              <w:t>Subjects were required to remain off all forms of T except for study medication throughout the entire study.</w:t>
            </w:r>
          </w:p>
          <w:p w:rsidR="005B677E" w:rsidRDefault="005B677E" w:rsidP="00CA455C">
            <w:pPr>
              <w:pStyle w:val="Synop1"/>
              <w:tabs>
                <w:tab w:val="clear" w:pos="0"/>
                <w:tab w:val="clear" w:pos="475"/>
                <w:tab w:val="left" w:pos="510"/>
              </w:tabs>
              <w:spacing w:before="60" w:after="60"/>
              <w:ind w:left="510" w:hanging="510"/>
            </w:pPr>
            <w:r>
              <w:t>4.</w:t>
            </w:r>
            <w:r>
              <w:tab/>
              <w:t>If on replacement therapy for hypopituitarism or multiple endocrine deficiencies, the subject was required to be on stable doses of thyroid hormone and adrenal replacement hormones for at least 14 days prior to enrollment.</w:t>
            </w:r>
          </w:p>
          <w:p w:rsidR="001F4B1B" w:rsidRPr="00E677BD" w:rsidRDefault="005B677E" w:rsidP="00CA455C">
            <w:pPr>
              <w:pStyle w:val="Synop1"/>
              <w:tabs>
                <w:tab w:val="clear" w:pos="0"/>
                <w:tab w:val="clear" w:pos="475"/>
                <w:tab w:val="left" w:pos="510"/>
              </w:tabs>
              <w:spacing w:before="60" w:after="60"/>
              <w:ind w:left="510" w:hanging="510"/>
            </w:pPr>
            <w:r>
              <w:t>5.</w:t>
            </w:r>
            <w:r>
              <w:tab/>
              <w:t>Voluntarily gave written informed consent to participate in this study.</w:t>
            </w:r>
          </w:p>
          <w:p w:rsidR="001F4B1B" w:rsidRPr="00E677BD" w:rsidRDefault="001F4B1B" w:rsidP="00902350">
            <w:pPr>
              <w:pStyle w:val="Synop1"/>
              <w:spacing w:before="60" w:after="60"/>
              <w:rPr>
                <w:u w:val="single"/>
              </w:rPr>
            </w:pPr>
            <w:r w:rsidRPr="00E677BD">
              <w:rPr>
                <w:u w:val="single"/>
              </w:rPr>
              <w:t>Exclusion Criteria:</w:t>
            </w:r>
          </w:p>
          <w:p w:rsidR="005B677E" w:rsidRDefault="005B677E" w:rsidP="005B677E">
            <w:pPr>
              <w:pStyle w:val="Synop1"/>
              <w:spacing w:before="60" w:after="60"/>
            </w:pPr>
            <w:r>
              <w:t>Subjects meeting any of the following criteria were not eligible for participation in this study:</w:t>
            </w:r>
          </w:p>
          <w:p w:rsidR="005B677E" w:rsidRDefault="005B677E" w:rsidP="00CA455C">
            <w:pPr>
              <w:pStyle w:val="Synop1"/>
              <w:tabs>
                <w:tab w:val="clear" w:pos="0"/>
                <w:tab w:val="clear" w:pos="475"/>
                <w:tab w:val="left" w:pos="510"/>
              </w:tabs>
              <w:spacing w:before="60" w:after="60"/>
              <w:ind w:left="510" w:hanging="510"/>
            </w:pPr>
            <w:r>
              <w:t>1.</w:t>
            </w:r>
            <w:r>
              <w:tab/>
              <w:t xml:space="preserve">Oral, topical (e.g., gel or patch) or buccal T therapy within the previous </w:t>
            </w:r>
            <w:r w:rsidR="008E5289">
              <w:t>one</w:t>
            </w:r>
            <w:r>
              <w:t xml:space="preserve"> week, or intramuscular T injection of short acting duration within the previous 4 weeks. </w:t>
            </w:r>
            <w:r w:rsidR="00414149">
              <w:t xml:space="preserve"> </w:t>
            </w:r>
            <w:r>
              <w:t xml:space="preserve">Subjects previously on long-acting intramuscular T injection (i.e., </w:t>
            </w:r>
            <w:r w:rsidR="00CA455C">
              <w:t>TU</w:t>
            </w:r>
            <w:r>
              <w:t xml:space="preserve">) were eligible for participation in the study so long as they </w:t>
            </w:r>
            <w:r w:rsidR="00CA455C">
              <w:t xml:space="preserve">had </w:t>
            </w:r>
            <w:r>
              <w:t>been off the treatment for a sufficient amount of time to meet the inclusion criteria of serum T &lt; 300 ng/dL.</w:t>
            </w:r>
          </w:p>
          <w:p w:rsidR="005B677E" w:rsidRDefault="005B677E" w:rsidP="00CA455C">
            <w:pPr>
              <w:pStyle w:val="Synop1"/>
              <w:tabs>
                <w:tab w:val="clear" w:pos="0"/>
                <w:tab w:val="clear" w:pos="475"/>
                <w:tab w:val="left" w:pos="510"/>
              </w:tabs>
              <w:spacing w:before="60" w:after="60"/>
              <w:ind w:left="510" w:hanging="510"/>
            </w:pPr>
            <w:r>
              <w:t>2.</w:t>
            </w:r>
            <w:r>
              <w:tab/>
              <w:t xml:space="preserve">Significant intercurrent disease of any type, in particular liver, kidney, uncontrolled or poorly </w:t>
            </w:r>
            <w:r>
              <w:lastRenderedPageBreak/>
              <w:t>controlled heart disease</w:t>
            </w:r>
            <w:r w:rsidR="00CA455C">
              <w:t xml:space="preserve"> </w:t>
            </w:r>
            <w:r w:rsidR="00CA455C" w:rsidRPr="00CA455C">
              <w:t xml:space="preserve">including hypertension, congestive heart failure (CHF), </w:t>
            </w:r>
            <w:r w:rsidR="00CA455C">
              <w:t xml:space="preserve">or </w:t>
            </w:r>
            <w:r w:rsidR="00CA455C" w:rsidRPr="00CA455C">
              <w:t>coronary artery disease</w:t>
            </w:r>
            <w:r>
              <w:t>, or psychiatric illness.</w:t>
            </w:r>
          </w:p>
          <w:p w:rsidR="005B677E" w:rsidRDefault="005B677E" w:rsidP="00CA455C">
            <w:pPr>
              <w:pStyle w:val="Synop1"/>
              <w:tabs>
                <w:tab w:val="clear" w:pos="0"/>
                <w:tab w:val="clear" w:pos="475"/>
                <w:tab w:val="left" w:pos="510"/>
              </w:tabs>
              <w:spacing w:before="60" w:after="60"/>
              <w:ind w:left="510" w:hanging="510"/>
            </w:pPr>
            <w:r>
              <w:t>3.</w:t>
            </w:r>
            <w:r>
              <w:tab/>
              <w:t xml:space="preserve">Subjects with recent (within </w:t>
            </w:r>
            <w:r w:rsidR="00651048">
              <w:t>three</w:t>
            </w:r>
            <w:r>
              <w:t xml:space="preserve"> months) history of stroke, not incl</w:t>
            </w:r>
            <w:r w:rsidR="00EB7413">
              <w:t>uding transient ischemic attack</w:t>
            </w:r>
            <w:r>
              <w:t>.</w:t>
            </w:r>
          </w:p>
          <w:p w:rsidR="005B677E" w:rsidRDefault="005B677E" w:rsidP="00CA455C">
            <w:pPr>
              <w:pStyle w:val="Synop1"/>
              <w:tabs>
                <w:tab w:val="clear" w:pos="0"/>
                <w:tab w:val="clear" w:pos="475"/>
                <w:tab w:val="left" w:pos="510"/>
              </w:tabs>
              <w:spacing w:before="60" w:after="60"/>
              <w:ind w:left="510" w:hanging="510"/>
            </w:pPr>
            <w:r>
              <w:t>4.</w:t>
            </w:r>
            <w:r>
              <w:tab/>
              <w:t>Untreated, severe obstructive sleep apnea.</w:t>
            </w:r>
          </w:p>
          <w:p w:rsidR="005B677E" w:rsidRDefault="005B677E" w:rsidP="00CA455C">
            <w:pPr>
              <w:pStyle w:val="Synop1"/>
              <w:tabs>
                <w:tab w:val="clear" w:pos="0"/>
                <w:tab w:val="clear" w:pos="475"/>
                <w:tab w:val="left" w:pos="510"/>
              </w:tabs>
              <w:spacing w:before="60" w:after="60"/>
              <w:ind w:left="510" w:hanging="510"/>
            </w:pPr>
            <w:r>
              <w:t>5.</w:t>
            </w:r>
            <w:r>
              <w:tab/>
              <w:t xml:space="preserve">Serum transaminases </w:t>
            </w:r>
            <w:r w:rsidR="00EB7413">
              <w:t>&gt; 2 times upper limit of normal</w:t>
            </w:r>
            <w:r w:rsidR="00CA455C">
              <w:t xml:space="preserve"> (ULN)</w:t>
            </w:r>
            <w:r>
              <w:t xml:space="preserve">, serum bilirubin &gt; 2.0 mg/dL and serum creatinine &gt; 2.0 mg/dL. </w:t>
            </w:r>
          </w:p>
          <w:p w:rsidR="005B677E" w:rsidRDefault="005B677E" w:rsidP="00CA455C">
            <w:pPr>
              <w:pStyle w:val="Synop1"/>
              <w:tabs>
                <w:tab w:val="clear" w:pos="0"/>
                <w:tab w:val="clear" w:pos="475"/>
                <w:tab w:val="left" w:pos="510"/>
              </w:tabs>
              <w:spacing w:before="60" w:after="60"/>
              <w:ind w:left="510" w:hanging="510"/>
            </w:pPr>
            <w:r>
              <w:t>6.</w:t>
            </w:r>
            <w:r>
              <w:tab/>
              <w:t>Hematocrit less than 35%.</w:t>
            </w:r>
          </w:p>
          <w:p w:rsidR="005B677E" w:rsidRDefault="005B677E" w:rsidP="00CA455C">
            <w:pPr>
              <w:pStyle w:val="Synop1"/>
              <w:tabs>
                <w:tab w:val="clear" w:pos="0"/>
                <w:tab w:val="clear" w:pos="475"/>
                <w:tab w:val="left" w:pos="510"/>
              </w:tabs>
              <w:spacing w:before="60" w:after="60"/>
              <w:ind w:left="510" w:hanging="510"/>
            </w:pPr>
            <w:r>
              <w:t>7.</w:t>
            </w:r>
            <w:r>
              <w:tab/>
              <w:t xml:space="preserve">Known clinical </w:t>
            </w:r>
            <w:r w:rsidRPr="005D4906">
              <w:t>polycyth</w:t>
            </w:r>
            <w:r w:rsidR="005D4906" w:rsidRPr="005D4906">
              <w:t>a</w:t>
            </w:r>
            <w:r w:rsidRPr="005D4906">
              <w:t>emia</w:t>
            </w:r>
            <w:r>
              <w:t xml:space="preserve"> or </w:t>
            </w:r>
            <w:r w:rsidR="005D4906">
              <w:t>Hct</w:t>
            </w:r>
            <w:r>
              <w:t xml:space="preserve"> greater than 48%.</w:t>
            </w:r>
          </w:p>
          <w:p w:rsidR="005B677E" w:rsidRDefault="005B677E" w:rsidP="00CA455C">
            <w:pPr>
              <w:pStyle w:val="Synop1"/>
              <w:tabs>
                <w:tab w:val="clear" w:pos="0"/>
                <w:tab w:val="clear" w:pos="475"/>
                <w:tab w:val="left" w:pos="510"/>
              </w:tabs>
              <w:spacing w:before="60" w:after="60"/>
              <w:ind w:left="510" w:hanging="510"/>
            </w:pPr>
            <w:r>
              <w:t>8.</w:t>
            </w:r>
            <w:r>
              <w:tab/>
              <w:t>Diabetic subjects with a</w:t>
            </w:r>
            <w:r w:rsidR="00EB7413">
              <w:t xml:space="preserve"> glycos</w:t>
            </w:r>
            <w:r w:rsidR="00576FA8">
              <w:t>y</w:t>
            </w:r>
            <w:r w:rsidR="00EB7413">
              <w:t>l</w:t>
            </w:r>
            <w:r w:rsidR="00576FA8">
              <w:t>a</w:t>
            </w:r>
            <w:r w:rsidR="00EB7413">
              <w:t>ted hemoglobin</w:t>
            </w:r>
            <w:r>
              <w:t xml:space="preserve"> </w:t>
            </w:r>
            <w:r w:rsidR="00EB7413">
              <w:t>(</w:t>
            </w:r>
            <w:r>
              <w:t>HbA1c</w:t>
            </w:r>
            <w:r w:rsidR="00EB7413">
              <w:t>)</w:t>
            </w:r>
            <w:r>
              <w:t xml:space="preserve"> &gt; 9%.</w:t>
            </w:r>
          </w:p>
          <w:p w:rsidR="005B677E" w:rsidRDefault="005B677E" w:rsidP="00CA455C">
            <w:pPr>
              <w:pStyle w:val="Synop1"/>
              <w:tabs>
                <w:tab w:val="clear" w:pos="0"/>
                <w:tab w:val="clear" w:pos="475"/>
                <w:tab w:val="left" w:pos="510"/>
              </w:tabs>
              <w:spacing w:before="60" w:after="60"/>
              <w:ind w:left="510" w:hanging="510"/>
            </w:pPr>
            <w:r>
              <w:t>9.</w:t>
            </w:r>
            <w:r>
              <w:tab/>
              <w:t xml:space="preserve">Body </w:t>
            </w:r>
            <w:r w:rsidR="003A5617">
              <w:t xml:space="preserve">mass index </w:t>
            </w:r>
            <w:r>
              <w:t>(BMI) &gt; 38.</w:t>
            </w:r>
          </w:p>
          <w:p w:rsidR="005B677E" w:rsidRDefault="005B677E" w:rsidP="00CA455C">
            <w:pPr>
              <w:pStyle w:val="Synop1"/>
              <w:tabs>
                <w:tab w:val="clear" w:pos="0"/>
                <w:tab w:val="clear" w:pos="475"/>
                <w:tab w:val="left" w:pos="510"/>
              </w:tabs>
              <w:spacing w:before="60" w:after="60"/>
              <w:ind w:left="510" w:hanging="510"/>
            </w:pPr>
            <w:r>
              <w:t>10.</w:t>
            </w:r>
            <w:r>
              <w:tab/>
              <w:t xml:space="preserve">Stable doses of lipid-lowering medication for less than </w:t>
            </w:r>
            <w:r w:rsidR="00651048">
              <w:t>three</w:t>
            </w:r>
            <w:r>
              <w:t xml:space="preserve"> months.  </w:t>
            </w:r>
          </w:p>
          <w:p w:rsidR="005B677E" w:rsidRDefault="005B677E" w:rsidP="00CA455C">
            <w:pPr>
              <w:pStyle w:val="Synop1"/>
              <w:tabs>
                <w:tab w:val="clear" w:pos="0"/>
                <w:tab w:val="clear" w:pos="475"/>
                <w:tab w:val="left" w:pos="510"/>
              </w:tabs>
              <w:spacing w:before="60" w:after="60"/>
              <w:ind w:left="510" w:hanging="510"/>
            </w:pPr>
            <w:r>
              <w:t>11.</w:t>
            </w:r>
            <w:r>
              <w:tab/>
              <w:t xml:space="preserve">Stable doses of oral medication for diabetes for less than </w:t>
            </w:r>
            <w:r w:rsidR="00651048">
              <w:t>two</w:t>
            </w:r>
            <w:r>
              <w:t xml:space="preserve"> months.</w:t>
            </w:r>
          </w:p>
          <w:p w:rsidR="005B677E" w:rsidRDefault="005B677E" w:rsidP="00CA455C">
            <w:pPr>
              <w:pStyle w:val="Synop1"/>
              <w:tabs>
                <w:tab w:val="clear" w:pos="0"/>
                <w:tab w:val="clear" w:pos="475"/>
                <w:tab w:val="left" w:pos="510"/>
              </w:tabs>
              <w:spacing w:before="60" w:after="60"/>
              <w:ind w:left="510" w:hanging="510"/>
            </w:pPr>
            <w:r>
              <w:t>12.</w:t>
            </w:r>
            <w:r>
              <w:tab/>
              <w:t xml:space="preserve">Abnormal prostate digital rectal examination </w:t>
            </w:r>
            <w:r w:rsidR="00EB7413">
              <w:t xml:space="preserve">(DRE) </w:t>
            </w:r>
            <w:r>
              <w:t xml:space="preserve">(palpable nodule[s]), elevated </w:t>
            </w:r>
            <w:r w:rsidRPr="005D4906">
              <w:t>PSA (serum PSA</w:t>
            </w:r>
            <w:r w:rsidR="00C55F18">
              <w:br/>
            </w:r>
            <w:r w:rsidRPr="005D4906">
              <w:t xml:space="preserve"> &gt; 4 </w:t>
            </w:r>
            <w:r w:rsidR="00C417F1">
              <w:t>ng/mL</w:t>
            </w:r>
            <w:r w:rsidRPr="005D4906">
              <w:t xml:space="preserve">), </w:t>
            </w:r>
            <w:r w:rsidR="00EB7413" w:rsidRPr="005D4906">
              <w:t>A</w:t>
            </w:r>
            <w:r w:rsidR="00AB235F" w:rsidRPr="005D4906">
              <w:t>UA/I-PSS</w:t>
            </w:r>
            <w:r w:rsidRPr="005D4906">
              <w:t xml:space="preserve"> score ≥ 19 points (as described in the study protocol), and/or history</w:t>
            </w:r>
            <w:r>
              <w:t xml:space="preserve"> of prostate cancer.  </w:t>
            </w:r>
          </w:p>
          <w:p w:rsidR="005B677E" w:rsidRDefault="005B677E" w:rsidP="00CA455C">
            <w:pPr>
              <w:pStyle w:val="Synop1"/>
              <w:tabs>
                <w:tab w:val="clear" w:pos="0"/>
                <w:tab w:val="clear" w:pos="475"/>
                <w:tab w:val="left" w:pos="510"/>
              </w:tabs>
              <w:spacing w:before="60" w:after="60"/>
              <w:ind w:left="510" w:hanging="510"/>
            </w:pPr>
            <w:r>
              <w:t>13.</w:t>
            </w:r>
            <w:r>
              <w:tab/>
              <w:t>History of breast cancer.</w:t>
            </w:r>
          </w:p>
          <w:p w:rsidR="005B677E" w:rsidRDefault="005B677E" w:rsidP="00CA455C">
            <w:pPr>
              <w:pStyle w:val="Synop1"/>
              <w:tabs>
                <w:tab w:val="clear" w:pos="0"/>
                <w:tab w:val="clear" w:pos="475"/>
                <w:tab w:val="left" w:pos="510"/>
              </w:tabs>
              <w:spacing w:before="60" w:after="60"/>
              <w:ind w:left="510" w:hanging="510"/>
            </w:pPr>
            <w:r>
              <w:t>14.</w:t>
            </w:r>
            <w:r>
              <w:tab/>
              <w:t xml:space="preserve">History of abnormal bleeding tendencies or thrombophlebitis unrelated to venipuncture or intravenous cannulation within the previous </w:t>
            </w:r>
            <w:r w:rsidR="00651048">
              <w:t>two</w:t>
            </w:r>
            <w:r>
              <w:t xml:space="preserve"> years.</w:t>
            </w:r>
          </w:p>
          <w:p w:rsidR="005B677E" w:rsidRDefault="005B677E" w:rsidP="00CA455C">
            <w:pPr>
              <w:pStyle w:val="Synop1"/>
              <w:tabs>
                <w:tab w:val="clear" w:pos="0"/>
                <w:tab w:val="clear" w:pos="475"/>
                <w:tab w:val="left" w:pos="510"/>
              </w:tabs>
              <w:spacing w:before="60" w:after="60"/>
              <w:ind w:left="510" w:hanging="510"/>
            </w:pPr>
            <w:r>
              <w:t>15.</w:t>
            </w:r>
            <w:r>
              <w:tab/>
              <w:t xml:space="preserve">Use of dietary supplement saw palmetto or phytoestrogens and use of any dietary supplements that may increase serum T, such as androstenedione or </w:t>
            </w:r>
            <w:r w:rsidR="00B9019D">
              <w:t>dehydroepiandrosterone</w:t>
            </w:r>
            <w:r w:rsidR="003A5617">
              <w:t>,</w:t>
            </w:r>
            <w:r>
              <w:t xml:space="preserve"> within the previous </w:t>
            </w:r>
            <w:r w:rsidR="00651048">
              <w:t>four</w:t>
            </w:r>
            <w:r>
              <w:t xml:space="preserve"> weeks.</w:t>
            </w:r>
          </w:p>
          <w:p w:rsidR="005B677E" w:rsidRDefault="005B677E" w:rsidP="00CA455C">
            <w:pPr>
              <w:pStyle w:val="Synop1"/>
              <w:tabs>
                <w:tab w:val="clear" w:pos="0"/>
                <w:tab w:val="clear" w:pos="475"/>
                <w:tab w:val="left" w:pos="510"/>
              </w:tabs>
              <w:spacing w:before="60" w:after="60"/>
              <w:ind w:left="510" w:hanging="510"/>
            </w:pPr>
            <w:r>
              <w:t>16.</w:t>
            </w:r>
            <w:r>
              <w:tab/>
              <w:t>Known malabsorption syndrome and/or current treatment with oral lipase inhibitors (e.g., orlistat [Xenical]) and bile acid-binding resins (e.g., cholestyramine [Questran], colestipol [Colestid]).</w:t>
            </w:r>
          </w:p>
          <w:p w:rsidR="005B677E" w:rsidRDefault="005B677E" w:rsidP="00CA455C">
            <w:pPr>
              <w:pStyle w:val="Synop1"/>
              <w:tabs>
                <w:tab w:val="clear" w:pos="0"/>
                <w:tab w:val="clear" w:pos="475"/>
                <w:tab w:val="left" w:pos="510"/>
              </w:tabs>
              <w:spacing w:before="60" w:after="60"/>
              <w:ind w:left="510" w:hanging="510"/>
            </w:pPr>
            <w:r>
              <w:t>17.</w:t>
            </w:r>
            <w:r>
              <w:tab/>
              <w:t>Smokers who were unable to refrain from smoking during the confinement periods as required by the individual study site.</w:t>
            </w:r>
          </w:p>
          <w:p w:rsidR="005B677E" w:rsidRDefault="005B677E" w:rsidP="00CA455C">
            <w:pPr>
              <w:pStyle w:val="Synop1"/>
              <w:tabs>
                <w:tab w:val="clear" w:pos="0"/>
                <w:tab w:val="clear" w:pos="475"/>
                <w:tab w:val="left" w:pos="510"/>
              </w:tabs>
              <w:spacing w:before="60" w:after="60"/>
              <w:ind w:left="510" w:hanging="510"/>
            </w:pPr>
            <w:r>
              <w:t>18.</w:t>
            </w:r>
            <w:r>
              <w:tab/>
              <w:t xml:space="preserve">History of abuse of alcohol (i.e., &gt; 21 drinks/week) or any drug substance within the previous </w:t>
            </w:r>
            <w:r w:rsidR="00651048">
              <w:t>two</w:t>
            </w:r>
            <w:r>
              <w:t xml:space="preserve"> years.</w:t>
            </w:r>
          </w:p>
          <w:p w:rsidR="005B677E" w:rsidRDefault="005B677E" w:rsidP="00CA455C">
            <w:pPr>
              <w:pStyle w:val="Synop1"/>
              <w:tabs>
                <w:tab w:val="clear" w:pos="0"/>
                <w:tab w:val="clear" w:pos="475"/>
                <w:tab w:val="left" w:pos="510"/>
              </w:tabs>
              <w:spacing w:before="60" w:after="60"/>
              <w:ind w:left="510" w:hanging="510"/>
            </w:pPr>
            <w:r>
              <w:t>19.</w:t>
            </w:r>
            <w:r>
              <w:tab/>
              <w:t>Poor compliers or those unlikely to keep clinic appointments.</w:t>
            </w:r>
          </w:p>
          <w:p w:rsidR="005B677E" w:rsidRDefault="005B677E" w:rsidP="00CA455C">
            <w:pPr>
              <w:pStyle w:val="Synop1"/>
              <w:tabs>
                <w:tab w:val="clear" w:pos="0"/>
                <w:tab w:val="clear" w:pos="475"/>
                <w:tab w:val="left" w:pos="510"/>
              </w:tabs>
              <w:spacing w:before="60" w:after="60"/>
              <w:ind w:left="510" w:hanging="510"/>
            </w:pPr>
            <w:r>
              <w:t>20.</w:t>
            </w:r>
            <w:r>
              <w:tab/>
              <w:t>Receipt of any drug as part of a research study within 30 days of initial dose administration in this study.</w:t>
            </w:r>
          </w:p>
          <w:p w:rsidR="005B677E" w:rsidRDefault="005B677E" w:rsidP="00CA455C">
            <w:pPr>
              <w:pStyle w:val="Synop1"/>
              <w:tabs>
                <w:tab w:val="clear" w:pos="0"/>
                <w:tab w:val="clear" w:pos="475"/>
                <w:tab w:val="left" w:pos="510"/>
              </w:tabs>
              <w:spacing w:before="60" w:after="60"/>
              <w:ind w:left="510" w:hanging="510"/>
            </w:pPr>
            <w:r>
              <w:t>21.</w:t>
            </w:r>
            <w:r>
              <w:tab/>
              <w:t>Blood donation (usually 550 mL) within the 12-week period before the initial study dose.</w:t>
            </w:r>
          </w:p>
          <w:p w:rsidR="001F4B1B" w:rsidRPr="00E677BD" w:rsidRDefault="005B677E" w:rsidP="003A5617">
            <w:pPr>
              <w:pStyle w:val="Synop1"/>
              <w:tabs>
                <w:tab w:val="clear" w:pos="0"/>
                <w:tab w:val="clear" w:pos="475"/>
                <w:tab w:val="left" w:pos="510"/>
              </w:tabs>
              <w:spacing w:before="60" w:after="60"/>
              <w:ind w:left="510" w:hanging="510"/>
            </w:pPr>
            <w:r>
              <w:t>22.</w:t>
            </w:r>
            <w:r>
              <w:tab/>
              <w:t xml:space="preserve">Current use of antiandrogens, estrogens, potent oral CYP3A4 inducers (e.g., barbiturates, glucocorticoids [pharmacologic doses of glucocorticoids for replacement therapy </w:t>
            </w:r>
            <w:r w:rsidR="003A5617">
              <w:t xml:space="preserve">were </w:t>
            </w:r>
            <w:r>
              <w:t xml:space="preserve">not exclusionary]) and potent CYP3A4 inhibitors (e.g., </w:t>
            </w:r>
            <w:r w:rsidR="00B9019D">
              <w:t xml:space="preserve">human </w:t>
            </w:r>
            <w:r w:rsidR="00EE2E04">
              <w:t>immunodeficiency</w:t>
            </w:r>
            <w:r w:rsidR="00B9019D">
              <w:t xml:space="preserve"> virus</w:t>
            </w:r>
            <w:r>
              <w:t xml:space="preserve"> antivirals [indinavir, nelfinavir, ritonavir, saquinavir, delaviridine], amiodarone, ciprofloxacin, ketoconazole). </w:t>
            </w:r>
            <w:r w:rsidR="003A5617">
              <w:t>(</w:t>
            </w:r>
            <w:r>
              <w:t>Note: Short-term ciprofloxacin administration completed more than seven days prior to study visits was not exclusionary during the study.</w:t>
            </w:r>
            <w:r w:rsidR="003A5617">
              <w:t>)</w:t>
            </w: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top w:val="single" w:sz="6" w:space="0" w:color="auto"/>
              <w:left w:val="single" w:sz="6" w:space="0" w:color="auto"/>
              <w:bottom w:val="single" w:sz="6" w:space="0" w:color="auto"/>
              <w:right w:val="single" w:sz="6" w:space="0" w:color="auto"/>
            </w:tcBorders>
          </w:tcPr>
          <w:p w:rsidR="00392B46" w:rsidRDefault="001F4B1B" w:rsidP="00902350">
            <w:pPr>
              <w:pStyle w:val="Synop1"/>
              <w:spacing w:before="60" w:after="60"/>
              <w:rPr>
                <w:b/>
              </w:rPr>
            </w:pPr>
            <w:r w:rsidRPr="00E677BD">
              <w:rPr>
                <w:b/>
              </w:rPr>
              <w:lastRenderedPageBreak/>
              <w:t xml:space="preserve">Test Product: </w:t>
            </w:r>
            <w:r w:rsidR="00392B46">
              <w:t>Testosterone undecanoate (TU)</w:t>
            </w:r>
          </w:p>
          <w:p w:rsidR="00392B46" w:rsidRDefault="001F4B1B" w:rsidP="00902350">
            <w:pPr>
              <w:pStyle w:val="Synop1"/>
              <w:spacing w:before="60" w:after="60"/>
              <w:rPr>
                <w:b/>
              </w:rPr>
            </w:pPr>
            <w:r w:rsidRPr="00E677BD">
              <w:rPr>
                <w:b/>
              </w:rPr>
              <w:t>Dose:</w:t>
            </w:r>
            <w:r>
              <w:rPr>
                <w:b/>
              </w:rPr>
              <w:t xml:space="preserve"> </w:t>
            </w:r>
            <w:r w:rsidR="005B677E">
              <w:t xml:space="preserve">Total daily dose of T equivalents = 200 mg to 600 mg </w:t>
            </w:r>
          </w:p>
          <w:p w:rsidR="001F4B1B" w:rsidRPr="00392B46" w:rsidRDefault="001F4B1B" w:rsidP="00C017F4">
            <w:pPr>
              <w:pStyle w:val="C-TableText"/>
            </w:pPr>
            <w:r w:rsidRPr="00E677BD">
              <w:rPr>
                <w:b/>
              </w:rPr>
              <w:t xml:space="preserve">Mode of Administration: </w:t>
            </w:r>
            <w:r w:rsidR="00392B46">
              <w:t>Oral</w:t>
            </w:r>
            <w:r w:rsidR="00C017F4">
              <w:t>;</w:t>
            </w:r>
            <w:r w:rsidR="005D772A">
              <w:t xml:space="preserve"> </w:t>
            </w:r>
            <w:r w:rsidR="00C017F4">
              <w:t xml:space="preserve">All pre-dose meals provided to subjects during confinement at the clinical study facility consisted of a “regular diet” for all treatment periods of the study.  On Days 30, 90 or 105, and </w:t>
            </w:r>
            <w:r w:rsidR="00C017F4">
              <w:lastRenderedPageBreak/>
              <w:t xml:space="preserve">365, study medication was administered 30 minutes after initiation of the meal (i.e., not after fasting).  Prior to discharge from the clinical facility, subjects in </w:t>
            </w:r>
            <w:r w:rsidR="002C1753">
              <w:t>the Oral TU group</w:t>
            </w:r>
            <w:r w:rsidR="00C017F4">
              <w:t xml:space="preserve"> were instructed/reminded to take all oral doses of TU with food, up to 30 minutes after initiatio</w:t>
            </w:r>
            <w:r w:rsidR="002C1753">
              <w:t xml:space="preserve">n </w:t>
            </w:r>
            <w:r w:rsidR="00C017F4">
              <w:t>of a dose-related meal.  Subjects randomized to Oral TU were asked not to consume grapefruit, grapefruit juice, or grapefruit supplements throughout the study.</w:t>
            </w:r>
          </w:p>
          <w:p w:rsidR="001F4B1B" w:rsidRPr="00E677BD" w:rsidRDefault="001F4B1B" w:rsidP="00344F4A">
            <w:pPr>
              <w:pStyle w:val="Synop1"/>
              <w:spacing w:before="60" w:after="60"/>
            </w:pPr>
            <w:r w:rsidRPr="00344F4A">
              <w:rPr>
                <w:b/>
              </w:rPr>
              <w:t>Batch number(s):</w:t>
            </w:r>
            <w:r w:rsidR="00344F4A" w:rsidRPr="00344F4A">
              <w:rPr>
                <w:b/>
              </w:rPr>
              <w:t xml:space="preserve"> </w:t>
            </w:r>
            <w:r w:rsidR="00344F4A" w:rsidRPr="00344F4A">
              <w:t>100 mg bottle: 1077192, 1132167, 1229306; 150 mg bottle: 1077193, 1131846, 1077193</w:t>
            </w:r>
            <w:r w:rsidR="00344F4A">
              <w:rPr>
                <w:b/>
              </w:rPr>
              <w:t xml:space="preserve"> </w:t>
            </w:r>
          </w:p>
        </w:tc>
      </w:tr>
      <w:tr w:rsidR="001F4B1B" w:rsidRPr="003B27C5"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top w:val="single" w:sz="6" w:space="0" w:color="auto"/>
              <w:left w:val="single" w:sz="6" w:space="0" w:color="auto"/>
              <w:bottom w:val="single" w:sz="6" w:space="0" w:color="auto"/>
              <w:right w:val="single" w:sz="6" w:space="0" w:color="auto"/>
            </w:tcBorders>
          </w:tcPr>
          <w:p w:rsidR="001F4B1B" w:rsidRPr="003B27C5" w:rsidRDefault="001F4B1B" w:rsidP="00DA1101">
            <w:pPr>
              <w:pStyle w:val="Synop1"/>
              <w:spacing w:before="60" w:after="60"/>
            </w:pPr>
            <w:r w:rsidRPr="00F8723C">
              <w:rPr>
                <w:b/>
              </w:rPr>
              <w:lastRenderedPageBreak/>
              <w:t>Duration of Treatment:</w:t>
            </w:r>
            <w:r w:rsidRPr="003B27C5">
              <w:t xml:space="preserve"> </w:t>
            </w:r>
            <w:r w:rsidR="00F8723C">
              <w:t>up to 365 days</w:t>
            </w: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top w:val="single" w:sz="6" w:space="0" w:color="auto"/>
              <w:left w:val="single" w:sz="6" w:space="0" w:color="auto"/>
              <w:bottom w:val="single" w:sz="6" w:space="0" w:color="auto"/>
              <w:right w:val="single" w:sz="6" w:space="0" w:color="auto"/>
            </w:tcBorders>
          </w:tcPr>
          <w:p w:rsidR="001F4B1B" w:rsidRPr="00E677BD" w:rsidRDefault="001F4B1B" w:rsidP="00902350">
            <w:pPr>
              <w:pStyle w:val="Synop1"/>
              <w:spacing w:before="60" w:after="60"/>
            </w:pPr>
            <w:r w:rsidRPr="00E677BD">
              <w:rPr>
                <w:b/>
              </w:rPr>
              <w:t xml:space="preserve">Reference Product: </w:t>
            </w:r>
            <w:r w:rsidR="00F8723C" w:rsidRPr="00F8723C">
              <w:t>Transdermal T-gel</w:t>
            </w:r>
            <w:r w:rsidR="00F71B0A">
              <w:t xml:space="preserve"> (1%)</w:t>
            </w:r>
          </w:p>
          <w:p w:rsidR="001F4B1B" w:rsidRPr="00F8723C" w:rsidRDefault="001F4B1B" w:rsidP="00902350">
            <w:pPr>
              <w:pStyle w:val="Synop1"/>
              <w:spacing w:before="60" w:after="60"/>
            </w:pPr>
            <w:r w:rsidRPr="00E677BD">
              <w:rPr>
                <w:b/>
              </w:rPr>
              <w:t>Dose:</w:t>
            </w:r>
            <w:r>
              <w:rPr>
                <w:b/>
              </w:rPr>
              <w:t xml:space="preserve"> </w:t>
            </w:r>
            <w:r w:rsidR="00C46ADA">
              <w:t xml:space="preserve">Total daily dose of T </w:t>
            </w:r>
            <w:r w:rsidR="00F8723C">
              <w:t>= 25 to 100 mg</w:t>
            </w:r>
          </w:p>
          <w:p w:rsidR="00DA1101" w:rsidRPr="00F8723C" w:rsidRDefault="001F4B1B" w:rsidP="00DA1101">
            <w:pPr>
              <w:pStyle w:val="Synop1"/>
              <w:spacing w:before="60" w:after="60"/>
            </w:pPr>
            <w:r w:rsidRPr="00E677BD">
              <w:rPr>
                <w:b/>
              </w:rPr>
              <w:t>Mode of Administration:</w:t>
            </w:r>
            <w:r w:rsidR="00F8723C">
              <w:rPr>
                <w:b/>
              </w:rPr>
              <w:t xml:space="preserve"> </w:t>
            </w:r>
            <w:r w:rsidR="00F8723C">
              <w:t>Topical</w:t>
            </w:r>
          </w:p>
          <w:p w:rsidR="001F4B1B" w:rsidRPr="00344F4A" w:rsidRDefault="001F4B1B" w:rsidP="00DA1101">
            <w:pPr>
              <w:pStyle w:val="Synop1"/>
              <w:spacing w:before="60" w:after="60"/>
              <w:rPr>
                <w:highlight w:val="cyan"/>
              </w:rPr>
            </w:pPr>
            <w:r w:rsidRPr="006E59C9">
              <w:rPr>
                <w:b/>
              </w:rPr>
              <w:t>Batch number(s):</w:t>
            </w:r>
            <w:r w:rsidR="00344F4A" w:rsidRPr="006E59C9">
              <w:rPr>
                <w:b/>
              </w:rPr>
              <w:t xml:space="preserve"> </w:t>
            </w:r>
            <w:r w:rsidR="00344F4A" w:rsidRPr="006E59C9">
              <w:t>5g</w:t>
            </w:r>
            <w:r w:rsidR="00344F4A" w:rsidRPr="00344F4A">
              <w:t xml:space="preserve"> box:</w:t>
            </w:r>
            <w:r w:rsidR="00344F4A" w:rsidRPr="00344F4A">
              <w:rPr>
                <w:b/>
              </w:rPr>
              <w:t xml:space="preserve"> </w:t>
            </w:r>
            <w:r w:rsidR="00344F4A" w:rsidRPr="006E59C9">
              <w:t>32182,</w:t>
            </w:r>
            <w:r w:rsidR="00344F4A" w:rsidRPr="00344F4A">
              <w:t xml:space="preserve"> 32231, 80539A; 2.5g </w:t>
            </w:r>
            <w:r w:rsidR="006E59C9">
              <w:t>box: 32223, 32255, 32373, 80453A</w:t>
            </w: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top w:val="single" w:sz="6" w:space="0" w:color="auto"/>
              <w:left w:val="single" w:sz="6" w:space="0" w:color="auto"/>
              <w:right w:val="single" w:sz="6" w:space="0" w:color="auto"/>
            </w:tcBorders>
          </w:tcPr>
          <w:p w:rsidR="00DA1101" w:rsidRPr="00DA1101" w:rsidRDefault="001F4B1B" w:rsidP="00DA1101">
            <w:pPr>
              <w:pStyle w:val="Synop1"/>
              <w:spacing w:before="60" w:after="60"/>
              <w:rPr>
                <w:b/>
              </w:rPr>
            </w:pPr>
            <w:r w:rsidRPr="00E677BD">
              <w:rPr>
                <w:b/>
              </w:rPr>
              <w:t>Criteria for Evaluation:</w:t>
            </w: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left w:val="single" w:sz="6" w:space="0" w:color="auto"/>
              <w:right w:val="single" w:sz="6" w:space="0" w:color="auto"/>
            </w:tcBorders>
          </w:tcPr>
          <w:p w:rsidR="001F4B1B" w:rsidRDefault="001F4B1B" w:rsidP="00902350">
            <w:pPr>
              <w:pStyle w:val="Synop1"/>
              <w:spacing w:before="120" w:after="120"/>
              <w:rPr>
                <w:u w:val="single"/>
              </w:rPr>
            </w:pPr>
            <w:r w:rsidRPr="00E677BD">
              <w:rPr>
                <w:u w:val="single"/>
              </w:rPr>
              <w:t>Efficacy endpoint(s)</w:t>
            </w:r>
          </w:p>
          <w:p w:rsidR="00B97C04" w:rsidRDefault="00B97C04" w:rsidP="00B97C04">
            <w:pPr>
              <w:pStyle w:val="C-TableText"/>
            </w:pPr>
            <w:r>
              <w:t xml:space="preserve">The primary efficacy endpoint of the study was to determine the efficacy of </w:t>
            </w:r>
            <w:r w:rsidR="008E5289">
              <w:t>Oral TU</w:t>
            </w:r>
            <w:r>
              <w:t xml:space="preserve"> in hypogonadal men following approximately 12 weeks </w:t>
            </w:r>
            <w:r w:rsidR="00084CA6">
              <w:t>(</w:t>
            </w:r>
            <w:r>
              <w:t>i.e.</w:t>
            </w:r>
            <w:r w:rsidR="00AF0F74">
              <w:t>,</w:t>
            </w:r>
            <w:r>
              <w:t xml:space="preserve"> Day 90 or 105, </w:t>
            </w:r>
            <w:r w:rsidR="00084CA6">
              <w:t>[</w:t>
            </w:r>
            <w:r w:rsidR="00AF0F74">
              <w:t>±</w:t>
            </w:r>
            <w:r>
              <w:t xml:space="preserve"> 3 days</w:t>
            </w:r>
            <w:r w:rsidR="00084CA6">
              <w:t>])</w:t>
            </w:r>
            <w:r>
              <w:t xml:space="preserve"> of continuous therapy by identifying: </w:t>
            </w:r>
          </w:p>
          <w:p w:rsidR="002A03C4" w:rsidRDefault="002A03C4" w:rsidP="00B97C04">
            <w:pPr>
              <w:pStyle w:val="C-TableText"/>
            </w:pPr>
          </w:p>
          <w:p w:rsidR="00B97C04" w:rsidRDefault="00B97C04" w:rsidP="00B97C04">
            <w:pPr>
              <w:pStyle w:val="C-TableText"/>
              <w:numPr>
                <w:ilvl w:val="0"/>
                <w:numId w:val="21"/>
              </w:numPr>
            </w:pPr>
            <w:r>
              <w:t xml:space="preserve">The </w:t>
            </w:r>
            <w:r w:rsidR="002A03C4">
              <w:t>proportion</w:t>
            </w:r>
            <w:r>
              <w:t xml:space="preserve"> (%) of subjects whose C</w:t>
            </w:r>
            <w:r w:rsidRPr="00B97C04">
              <w:rPr>
                <w:vertAlign w:val="subscript"/>
              </w:rPr>
              <w:t>avg</w:t>
            </w:r>
            <w:r>
              <w:t xml:space="preserve"> based on the 24-hour PK sampling on Day 90 or </w:t>
            </w:r>
            <w:r w:rsidR="00C55F18">
              <w:br/>
            </w:r>
            <w:r>
              <w:t>105 (±</w:t>
            </w:r>
            <w:r w:rsidR="00AF0F74">
              <w:t xml:space="preserve"> </w:t>
            </w:r>
            <w:r>
              <w:t>3 days) were in the categories: (a) less than 300 ng/dL, (b) between 300 and 1000 ng/dL, and (c) greater than 1000 ng/dL.  In addition, the 95% confidence interval</w:t>
            </w:r>
            <w:r w:rsidR="00AF0F74">
              <w:t xml:space="preserve"> (CI)</w:t>
            </w:r>
            <w:r>
              <w:t xml:space="preserve"> for the </w:t>
            </w:r>
            <w:r w:rsidR="00AF0F74">
              <w:t xml:space="preserve">proportion </w:t>
            </w:r>
            <w:r>
              <w:t>(%) of subjects whose C</w:t>
            </w:r>
            <w:r w:rsidRPr="00B97C04">
              <w:rPr>
                <w:vertAlign w:val="subscript"/>
              </w:rPr>
              <w:t>avg</w:t>
            </w:r>
            <w:r>
              <w:t xml:space="preserve"> was between 300-1000 ng/dL was determined.</w:t>
            </w:r>
          </w:p>
          <w:p w:rsidR="00B97C04" w:rsidRDefault="002A03C4" w:rsidP="00B97C04">
            <w:pPr>
              <w:pStyle w:val="C-TableText"/>
              <w:numPr>
                <w:ilvl w:val="0"/>
                <w:numId w:val="21"/>
              </w:numPr>
            </w:pPr>
            <w:r>
              <w:t>The proportion</w:t>
            </w:r>
            <w:r w:rsidR="00B97C04">
              <w:t xml:space="preserve"> (%) of subjects and (95% CI) whose C</w:t>
            </w:r>
            <w:r w:rsidR="00B97C04" w:rsidRPr="00B97C04">
              <w:rPr>
                <w:vertAlign w:val="subscript"/>
              </w:rPr>
              <w:t>max</w:t>
            </w:r>
            <w:r w:rsidR="00AF0F74">
              <w:t>,</w:t>
            </w:r>
            <w:r w:rsidR="00B97C04">
              <w:t xml:space="preserve"> based on the 24-hour </w:t>
            </w:r>
            <w:r w:rsidR="000F0693">
              <w:t xml:space="preserve">combined </w:t>
            </w:r>
            <w:r w:rsidR="00B97C04">
              <w:t>AM and PM PK sampling on Days 90 or 105 (±</w:t>
            </w:r>
            <w:r w:rsidR="000F0693">
              <w:t xml:space="preserve"> </w:t>
            </w:r>
            <w:r w:rsidR="00B97C04">
              <w:t>3 days)</w:t>
            </w:r>
            <w:r w:rsidR="000F0693">
              <w:t>,</w:t>
            </w:r>
            <w:r w:rsidR="00B97C04">
              <w:t xml:space="preserve"> </w:t>
            </w:r>
            <w:r w:rsidR="000F0693">
              <w:t>was</w:t>
            </w:r>
            <w:r w:rsidR="00B97C04">
              <w:t>: (a) less than or equal to 1500 ng/dL, (b) greater than 1500 and less than or equal to 1800 ng/dL, (c) greater than 1800 and less than or equal to 2500 ng/dL, and (d) greater than 2500 ng/dL.</w:t>
            </w:r>
          </w:p>
          <w:p w:rsidR="00282AD7" w:rsidRDefault="00282AD7" w:rsidP="002A03C4">
            <w:pPr>
              <w:pStyle w:val="C-TableText"/>
              <w:ind w:left="720"/>
            </w:pPr>
          </w:p>
          <w:p w:rsidR="00B97C04" w:rsidRDefault="00B97C04" w:rsidP="00B97C04">
            <w:pPr>
              <w:pStyle w:val="C-TableText"/>
            </w:pPr>
            <w:r>
              <w:t>If at least 75% of the subjects’ C</w:t>
            </w:r>
            <w:r w:rsidRPr="00B97C04">
              <w:rPr>
                <w:vertAlign w:val="subscript"/>
              </w:rPr>
              <w:t>avg</w:t>
            </w:r>
            <w:r>
              <w:t xml:space="preserve"> were between 300 and 1000 ng/dL (normal range) and the lower limit of a 95% CI on the percentage of subjects in the normal range was not below 65%, then clinical efficacy was to be deemed to have been demonstrated.</w:t>
            </w:r>
          </w:p>
          <w:p w:rsidR="00B97C04" w:rsidRDefault="00B97C04" w:rsidP="00B97C04">
            <w:pPr>
              <w:pStyle w:val="C-TableText"/>
            </w:pPr>
          </w:p>
          <w:p w:rsidR="00B97C04" w:rsidRPr="00E677BD" w:rsidRDefault="00B97C04" w:rsidP="00282AD7">
            <w:pPr>
              <w:pStyle w:val="C-TableText"/>
            </w:pPr>
            <w:r>
              <w:t xml:space="preserve">The secondary efficacy </w:t>
            </w:r>
            <w:r w:rsidR="00196055">
              <w:t>endpoint</w:t>
            </w:r>
            <w:r>
              <w:t xml:space="preserve"> was based on the serum T PK evaluation (e</w:t>
            </w:r>
            <w:r w:rsidR="00576FA8">
              <w:t>.</w:t>
            </w:r>
            <w:r>
              <w:t>g.</w:t>
            </w:r>
            <w:r w:rsidR="00576FA8">
              <w:t>,</w:t>
            </w:r>
            <w:r>
              <w:t xml:space="preserve"> C</w:t>
            </w:r>
            <w:r w:rsidRPr="00196055">
              <w:rPr>
                <w:vertAlign w:val="subscript"/>
              </w:rPr>
              <w:t>avg</w:t>
            </w:r>
            <w:r>
              <w:t>) during the course of the trial</w:t>
            </w:r>
            <w:r w:rsidR="00282AD7">
              <w:t xml:space="preserve"> through approximately 365 days of </w:t>
            </w:r>
            <w:r w:rsidR="008E4F8E">
              <w:t>continuous</w:t>
            </w:r>
            <w:r w:rsidR="00282AD7">
              <w:t xml:space="preserve"> therapy.  </w:t>
            </w:r>
            <w:r w:rsidR="00F511CA" w:rsidRPr="00F511CA">
              <w:t>Pharmacokinetic analysis was provided by a PK expert and results were provided in a pharmacokinetics report.</w:t>
            </w:r>
            <w:r w:rsidR="00196055">
              <w:t xml:space="preserve">  </w:t>
            </w: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left w:val="single" w:sz="6" w:space="0" w:color="auto"/>
              <w:bottom w:val="single" w:sz="6" w:space="0" w:color="auto"/>
              <w:right w:val="single" w:sz="6" w:space="0" w:color="auto"/>
            </w:tcBorders>
          </w:tcPr>
          <w:p w:rsidR="001F4B1B" w:rsidRDefault="001F4B1B" w:rsidP="00902350">
            <w:pPr>
              <w:pStyle w:val="Synop1"/>
              <w:spacing w:before="120" w:after="120"/>
              <w:rPr>
                <w:u w:val="single"/>
              </w:rPr>
            </w:pPr>
            <w:r w:rsidRPr="00E677BD">
              <w:rPr>
                <w:u w:val="single"/>
              </w:rPr>
              <w:t>Safety endpoint(s)</w:t>
            </w:r>
          </w:p>
          <w:p w:rsidR="00414149" w:rsidRDefault="009A06F7" w:rsidP="00902350">
            <w:pPr>
              <w:pStyle w:val="Synop1"/>
              <w:spacing w:before="120" w:after="120"/>
            </w:pPr>
            <w:r>
              <w:t>T</w:t>
            </w:r>
            <w:r w:rsidRPr="009A06F7">
              <w:t xml:space="preserve">he </w:t>
            </w:r>
            <w:r>
              <w:t xml:space="preserve">primary safety endpoint was </w:t>
            </w:r>
            <w:r w:rsidR="00265210">
              <w:t>non-</w:t>
            </w:r>
            <w:r w:rsidR="002B1DD7">
              <w:t xml:space="preserve">inferiority analyses for </w:t>
            </w:r>
            <w:r w:rsidR="00B4561B">
              <w:t>h</w:t>
            </w:r>
            <w:r w:rsidRPr="009A06F7">
              <w:t>s</w:t>
            </w:r>
            <w:r w:rsidR="00A20A6B">
              <w:t>-</w:t>
            </w:r>
            <w:r w:rsidRPr="009A06F7">
              <w:t>CRP and Lp</w:t>
            </w:r>
            <w:r w:rsidR="00A20A6B">
              <w:t>-</w:t>
            </w:r>
            <w:r w:rsidRPr="009A06F7">
              <w:t>PLA</w:t>
            </w:r>
            <w:r w:rsidR="00A20A6B">
              <w:rPr>
                <w:vertAlign w:val="subscript"/>
              </w:rPr>
              <w:t>2</w:t>
            </w:r>
            <w:r>
              <w:t xml:space="preserve">. </w:t>
            </w:r>
            <w:r w:rsidR="00414149">
              <w:t xml:space="preserve"> </w:t>
            </w:r>
            <w:r>
              <w:t>Saf</w:t>
            </w:r>
            <w:r w:rsidR="00414149">
              <w:t>ety analyses also include</w:t>
            </w:r>
            <w:r w:rsidR="00F511CA">
              <w:t>d</w:t>
            </w:r>
            <w:r w:rsidR="00414149">
              <w:t xml:space="preserve"> the following:</w:t>
            </w:r>
          </w:p>
          <w:p w:rsidR="00414149" w:rsidRDefault="000F0693" w:rsidP="00414149">
            <w:pPr>
              <w:pStyle w:val="C-TableText"/>
              <w:numPr>
                <w:ilvl w:val="0"/>
                <w:numId w:val="23"/>
              </w:numPr>
            </w:pPr>
            <w:r w:rsidRPr="000F0693">
              <w:t>A repeated measure analysis of variance (ANOVA) for Lp(a)</w:t>
            </w:r>
            <w:r w:rsidR="00E03F62">
              <w:t>,</w:t>
            </w:r>
            <w:r w:rsidRPr="000F0693">
              <w:t xml:space="preserve"> ApoA1</w:t>
            </w:r>
            <w:r w:rsidR="00E03F62">
              <w:t xml:space="preserve">, </w:t>
            </w:r>
            <w:r w:rsidRPr="000F0693">
              <w:t>hs-CRP and Lp-PLA</w:t>
            </w:r>
            <w:r w:rsidRPr="000F0693">
              <w:rPr>
                <w:vertAlign w:val="subscript"/>
              </w:rPr>
              <w:t>2</w:t>
            </w:r>
            <w:r w:rsidRPr="000F0693">
              <w:t>.</w:t>
            </w:r>
          </w:p>
          <w:p w:rsidR="00414149" w:rsidRDefault="00414149" w:rsidP="00414149">
            <w:pPr>
              <w:pStyle w:val="C-TableText"/>
              <w:numPr>
                <w:ilvl w:val="0"/>
                <w:numId w:val="23"/>
              </w:numPr>
            </w:pPr>
            <w:r>
              <w:t>Correlation for all safety parameters that were most clinically relevant (</w:t>
            </w:r>
            <w:r w:rsidR="00B9019D">
              <w:t>Hct</w:t>
            </w:r>
            <w:r>
              <w:t xml:space="preserve">, lipid parameters, </w:t>
            </w:r>
            <w:r w:rsidR="00B4561B">
              <w:br/>
              <w:t>h</w:t>
            </w:r>
            <w:r>
              <w:t>s</w:t>
            </w:r>
            <w:r w:rsidR="00A20A6B">
              <w:t>-</w:t>
            </w:r>
            <w:r>
              <w:t>CRP, Lp</w:t>
            </w:r>
            <w:r w:rsidR="00A20A6B">
              <w:t>-</w:t>
            </w:r>
            <w:r>
              <w:t>PLA</w:t>
            </w:r>
            <w:r w:rsidR="00A20A6B">
              <w:rPr>
                <w:vertAlign w:val="subscript"/>
              </w:rPr>
              <w:t>2</w:t>
            </w:r>
            <w:r>
              <w:t>, PSA prostate volume</w:t>
            </w:r>
            <w:r w:rsidR="000F0693">
              <w:t>,</w:t>
            </w:r>
            <w:r>
              <w:t xml:space="preserve"> and </w:t>
            </w:r>
            <w:r w:rsidR="00AB235F">
              <w:t>AUA/I-PSS</w:t>
            </w:r>
            <w:r>
              <w:t>, by treatment group to exposure to high T levels defined as T C</w:t>
            </w:r>
            <w:r w:rsidRPr="00414149">
              <w:rPr>
                <w:vertAlign w:val="subscript"/>
              </w:rPr>
              <w:t>max</w:t>
            </w:r>
            <w:r>
              <w:t xml:space="preserve"> of &gt; 1500 ng/</w:t>
            </w:r>
            <w:r w:rsidR="000F0693">
              <w:t xml:space="preserve">dL </w:t>
            </w:r>
            <w:r>
              <w:t>and C</w:t>
            </w:r>
            <w:r w:rsidRPr="00414149">
              <w:rPr>
                <w:vertAlign w:val="subscript"/>
              </w:rPr>
              <w:t>avg</w:t>
            </w:r>
            <w:r>
              <w:t xml:space="preserve"> of &gt; 1000 ng/</w:t>
            </w:r>
            <w:r w:rsidR="000F0693">
              <w:t xml:space="preserve">dL </w:t>
            </w:r>
            <w:r>
              <w:t xml:space="preserve">with data at any sampling time from Day 90 forward).  </w:t>
            </w:r>
          </w:p>
          <w:p w:rsidR="00414149" w:rsidRDefault="00414149" w:rsidP="00414149">
            <w:pPr>
              <w:pStyle w:val="C-TableText"/>
              <w:numPr>
                <w:ilvl w:val="0"/>
                <w:numId w:val="23"/>
              </w:numPr>
            </w:pPr>
            <w:r>
              <w:t>Determination</w:t>
            </w:r>
            <w:r w:rsidR="00757997">
              <w:t xml:space="preserve"> of</w:t>
            </w:r>
            <w:r>
              <w:t xml:space="preserve"> relatedness of AEs and SAEs to a T C</w:t>
            </w:r>
            <w:r w:rsidRPr="00414149">
              <w:rPr>
                <w:vertAlign w:val="subscript"/>
              </w:rPr>
              <w:t>max</w:t>
            </w:r>
            <w:r>
              <w:t xml:space="preserve"> &gt; 1500 ng/</w:t>
            </w:r>
            <w:r w:rsidR="00757997">
              <w:t>dL.</w:t>
            </w:r>
          </w:p>
          <w:p w:rsidR="007C5035" w:rsidRDefault="007C5035" w:rsidP="00E75720">
            <w:pPr>
              <w:pStyle w:val="C-TableText"/>
              <w:numPr>
                <w:ilvl w:val="0"/>
                <w:numId w:val="23"/>
              </w:numPr>
            </w:pPr>
            <w:r>
              <w:t xml:space="preserve">Analysis of differences between treatment arms on other exploratory safety biomarker analysis in </w:t>
            </w:r>
            <w:r w:rsidR="00E03F62">
              <w:t>a</w:t>
            </w:r>
            <w:r>
              <w:t xml:space="preserve"> sub-study of 57 subjects</w:t>
            </w:r>
            <w:r w:rsidR="00E03F62">
              <w:t>.  Biomarkers included</w:t>
            </w:r>
            <w:r>
              <w:t xml:space="preserve"> </w:t>
            </w:r>
            <w:r w:rsidRPr="00265210">
              <w:t xml:space="preserve">additional inflammatory biomarkers, atherogenic </w:t>
            </w:r>
            <w:r w:rsidRPr="00265210">
              <w:lastRenderedPageBreak/>
              <w:t>lipid particles, immune response to atherogenic components of LDL along with cholesterol efflux and HDL particle number and sub-fractions</w:t>
            </w:r>
            <w:r>
              <w:t>.</w:t>
            </w:r>
          </w:p>
          <w:p w:rsidR="00E75720" w:rsidRPr="00E75720" w:rsidRDefault="00E75720" w:rsidP="00E75720">
            <w:pPr>
              <w:pStyle w:val="C-TableText"/>
              <w:ind w:left="-30" w:firstLine="30"/>
              <w:rPr>
                <w:u w:val="single"/>
              </w:rPr>
            </w:pPr>
            <w:r w:rsidRPr="00E75720">
              <w:rPr>
                <w:u w:val="single"/>
              </w:rPr>
              <w:t xml:space="preserve">Exploratory endpoint </w:t>
            </w:r>
          </w:p>
          <w:p w:rsidR="00414149" w:rsidRDefault="00414149" w:rsidP="00414149">
            <w:pPr>
              <w:pStyle w:val="C-TableText"/>
              <w:numPr>
                <w:ilvl w:val="0"/>
                <w:numId w:val="23"/>
              </w:numPr>
            </w:pPr>
            <w:r>
              <w:t xml:space="preserve">Determination </w:t>
            </w:r>
            <w:r w:rsidR="00757997">
              <w:t xml:space="preserve">or whether </w:t>
            </w:r>
            <w:r>
              <w:t xml:space="preserve">T or its primary metabolites such as </w:t>
            </w:r>
            <w:r w:rsidR="00F511CA">
              <w:t>dihydrotestosterone (</w:t>
            </w:r>
            <w:r>
              <w:t>DHT</w:t>
            </w:r>
            <w:r w:rsidR="00F511CA">
              <w:t>)</w:t>
            </w:r>
            <w:r>
              <w:t xml:space="preserve"> and </w:t>
            </w:r>
            <w:r w:rsidR="00F511CA">
              <w:t>estradiol (</w:t>
            </w:r>
            <w:r>
              <w:t>E2</w:t>
            </w:r>
            <w:r w:rsidR="00F511CA">
              <w:t>)</w:t>
            </w:r>
            <w:r>
              <w:t xml:space="preserve"> were the primary driver</w:t>
            </w:r>
            <w:r w:rsidR="00757997">
              <w:t>s</w:t>
            </w:r>
            <w:r>
              <w:t xml:space="preserve"> of change (if any) in </w:t>
            </w:r>
            <w:r w:rsidR="002C1753">
              <w:t>Hct, HDL, PSA, prostate volume, hs-CRP, and Lp-PLA</w:t>
            </w:r>
            <w:r w:rsidR="002C1753" w:rsidRPr="002C1753">
              <w:rPr>
                <w:vertAlign w:val="subscript"/>
              </w:rPr>
              <w:t>2</w:t>
            </w:r>
            <w:r w:rsidR="00757997">
              <w:t>.</w:t>
            </w:r>
          </w:p>
          <w:p w:rsidR="00414149" w:rsidRDefault="00414149" w:rsidP="00414149">
            <w:pPr>
              <w:pStyle w:val="C-TableText"/>
            </w:pPr>
          </w:p>
          <w:p w:rsidR="009A06F7" w:rsidRPr="00E677BD" w:rsidRDefault="00414149" w:rsidP="00414149">
            <w:pPr>
              <w:pStyle w:val="C-TableText"/>
            </w:pPr>
            <w:r>
              <w:t xml:space="preserve">Extent of exposure to treatment was defined as the total number of days a subject took the study drug (last dose date – first dose date +1).  </w:t>
            </w: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left w:val="single" w:sz="6" w:space="0" w:color="auto"/>
              <w:right w:val="single" w:sz="6" w:space="0" w:color="auto"/>
            </w:tcBorders>
          </w:tcPr>
          <w:p w:rsidR="001F4B1B" w:rsidRDefault="001F4B1B" w:rsidP="00902350">
            <w:pPr>
              <w:pStyle w:val="Synop1"/>
              <w:spacing w:before="120" w:after="120"/>
              <w:rPr>
                <w:u w:val="single"/>
              </w:rPr>
            </w:pPr>
            <w:r w:rsidRPr="00E677BD">
              <w:rPr>
                <w:u w:val="single"/>
              </w:rPr>
              <w:lastRenderedPageBreak/>
              <w:t>Pharmacokinetics endpoint(s)</w:t>
            </w:r>
          </w:p>
          <w:p w:rsidR="00196055" w:rsidRDefault="00B97C04" w:rsidP="00196055">
            <w:pPr>
              <w:pStyle w:val="Synop1"/>
              <w:spacing w:before="120" w:after="120"/>
            </w:pPr>
            <w:r w:rsidRPr="00B97C04">
              <w:t>Pharmacokinetic analysis was provided by a PK expert and results were provided in a pharmacokinetics report.</w:t>
            </w:r>
            <w:r w:rsidR="00196055">
              <w:t xml:space="preserve">  PK parameters included:</w:t>
            </w:r>
          </w:p>
          <w:p w:rsidR="00196055" w:rsidRPr="00445D17" w:rsidRDefault="00732B60" w:rsidP="00196055">
            <w:pPr>
              <w:pStyle w:val="C-TableText"/>
              <w:numPr>
                <w:ilvl w:val="0"/>
                <w:numId w:val="22"/>
              </w:numPr>
            </w:pPr>
            <w:r w:rsidRPr="00445D17">
              <w:t xml:space="preserve">Pharmacokinetic parameters </w:t>
            </w:r>
            <w:r w:rsidR="00196055" w:rsidRPr="00445D17">
              <w:t>C</w:t>
            </w:r>
            <w:r w:rsidR="00196055" w:rsidRPr="00445D17">
              <w:rPr>
                <w:vertAlign w:val="subscript"/>
              </w:rPr>
              <w:t>max</w:t>
            </w:r>
            <w:r w:rsidR="00196055" w:rsidRPr="00445D17">
              <w:t>, time to maximum concentration (T</w:t>
            </w:r>
            <w:r w:rsidR="00196055" w:rsidRPr="00445D17">
              <w:rPr>
                <w:vertAlign w:val="subscript"/>
              </w:rPr>
              <w:t>max</w:t>
            </w:r>
            <w:r w:rsidR="00196055" w:rsidRPr="00445D17">
              <w:t xml:space="preserve">), area under the curve </w:t>
            </w:r>
            <w:r w:rsidR="003826AF" w:rsidRPr="00445D17">
              <w:t>(</w:t>
            </w:r>
            <w:r w:rsidR="00196055" w:rsidRPr="00445D17">
              <w:t>AUC</w:t>
            </w:r>
            <w:r w:rsidR="003826AF" w:rsidRPr="00445D17">
              <w:rPr>
                <w:vertAlign w:val="subscript"/>
              </w:rPr>
              <w:t>[</w:t>
            </w:r>
            <w:r w:rsidR="00196055" w:rsidRPr="00445D17">
              <w:rPr>
                <w:vertAlign w:val="subscript"/>
              </w:rPr>
              <w:t>0-12</w:t>
            </w:r>
            <w:r w:rsidR="003826AF" w:rsidRPr="00445D17">
              <w:rPr>
                <w:vertAlign w:val="subscript"/>
              </w:rPr>
              <w:t>]</w:t>
            </w:r>
            <w:r w:rsidR="00B60959" w:rsidRPr="00B60959">
              <w:t>)</w:t>
            </w:r>
            <w:r w:rsidR="00196055" w:rsidRPr="00445D17">
              <w:t xml:space="preserve"> and C</w:t>
            </w:r>
            <w:r w:rsidR="00196055" w:rsidRPr="00445D17">
              <w:rPr>
                <w:vertAlign w:val="subscript"/>
              </w:rPr>
              <w:t>avg</w:t>
            </w:r>
            <w:r w:rsidR="00196055" w:rsidRPr="00445D17">
              <w:t xml:space="preserve"> of serum T, free T, E2, and DHT, analyzed for the </w:t>
            </w:r>
            <w:r w:rsidR="001E4975" w:rsidRPr="00445D17">
              <w:t>AM</w:t>
            </w:r>
            <w:r w:rsidR="00196055" w:rsidRPr="00445D17">
              <w:t xml:space="preserve"> dose at Visit 2 (Day 30 ±</w:t>
            </w:r>
            <w:r w:rsidRPr="00445D17">
              <w:t xml:space="preserve"> </w:t>
            </w:r>
            <w:r w:rsidR="00196055" w:rsidRPr="00445D17">
              <w:t xml:space="preserve">3 days), for both the </w:t>
            </w:r>
            <w:r w:rsidR="001E4975" w:rsidRPr="00445D17">
              <w:t>AM</w:t>
            </w:r>
            <w:r w:rsidR="00196055" w:rsidRPr="00445D17">
              <w:t xml:space="preserve"> and </w:t>
            </w:r>
            <w:r w:rsidR="001E4975" w:rsidRPr="00445D17">
              <w:t>PM</w:t>
            </w:r>
            <w:r w:rsidR="00196055" w:rsidRPr="00445D17">
              <w:t xml:space="preserve"> doses at Visit 4 (Day 90 or 105, </w:t>
            </w:r>
            <w:r w:rsidR="00B60959" w:rsidRPr="00B60959">
              <w:t>±</w:t>
            </w:r>
            <w:r w:rsidR="00445D17">
              <w:t xml:space="preserve"> </w:t>
            </w:r>
            <w:r w:rsidR="00B60959" w:rsidRPr="00B60959">
              <w:t>3 days</w:t>
            </w:r>
            <w:r w:rsidR="00196055" w:rsidRPr="00445D17">
              <w:t xml:space="preserve">), and for the </w:t>
            </w:r>
            <w:r w:rsidR="001E4975" w:rsidRPr="00445D17">
              <w:t>AM</w:t>
            </w:r>
            <w:r w:rsidR="00196055" w:rsidRPr="00445D17">
              <w:t xml:space="preserve"> dose at Visit 7 (Day 365 </w:t>
            </w:r>
            <w:r w:rsidR="00B60959" w:rsidRPr="00B60959">
              <w:t>±</w:t>
            </w:r>
            <w:r w:rsidR="00445D17">
              <w:t xml:space="preserve"> </w:t>
            </w:r>
            <w:r w:rsidR="00B60959" w:rsidRPr="00B60959">
              <w:t>7 days</w:t>
            </w:r>
            <w:r w:rsidR="00196055" w:rsidRPr="00445D17">
              <w:t>).</w:t>
            </w:r>
          </w:p>
          <w:p w:rsidR="00196055" w:rsidRPr="00445D17" w:rsidRDefault="00196055" w:rsidP="00196055">
            <w:pPr>
              <w:pStyle w:val="C-TableText"/>
              <w:numPr>
                <w:ilvl w:val="0"/>
                <w:numId w:val="22"/>
              </w:numPr>
            </w:pPr>
            <w:r w:rsidRPr="00445D17">
              <w:t>P</w:t>
            </w:r>
            <w:r w:rsidR="00B9019D" w:rsidRPr="00445D17">
              <w:t>harmacokinetic</w:t>
            </w:r>
            <w:r w:rsidRPr="00445D17">
              <w:t xml:space="preserve"> parameters AUC</w:t>
            </w:r>
            <w:r w:rsidRPr="00445D17">
              <w:rPr>
                <w:vertAlign w:val="subscript"/>
              </w:rPr>
              <w:t>(0-24)</w:t>
            </w:r>
            <w:r w:rsidRPr="00445D17">
              <w:t xml:space="preserve"> and C</w:t>
            </w:r>
            <w:r w:rsidRPr="00445D17">
              <w:rPr>
                <w:vertAlign w:val="subscript"/>
              </w:rPr>
              <w:t>avg</w:t>
            </w:r>
            <w:r w:rsidRPr="00445D17">
              <w:t xml:space="preserve"> for the entire 24-hour period for </w:t>
            </w:r>
            <w:r w:rsidR="00732B60" w:rsidRPr="00445D17">
              <w:t>serum</w:t>
            </w:r>
            <w:r w:rsidRPr="00445D17">
              <w:t xml:space="preserve"> free T, E2, FSH, LH, and DHT, analyzed on Visit 4 (Day 90 or 105, </w:t>
            </w:r>
            <w:r w:rsidR="00B60959" w:rsidRPr="00B60959">
              <w:t>±</w:t>
            </w:r>
            <w:r w:rsidR="00445D17">
              <w:t xml:space="preserve"> </w:t>
            </w:r>
            <w:r w:rsidR="00B60959" w:rsidRPr="00B60959">
              <w:t>3 days</w:t>
            </w:r>
            <w:r w:rsidRPr="00445D17">
              <w:t>).</w:t>
            </w:r>
          </w:p>
          <w:p w:rsidR="00B97C04" w:rsidRPr="00E677BD" w:rsidRDefault="00196055" w:rsidP="009A06F7">
            <w:pPr>
              <w:pStyle w:val="C-TableText"/>
              <w:numPr>
                <w:ilvl w:val="0"/>
                <w:numId w:val="22"/>
              </w:numPr>
            </w:pPr>
            <w:r w:rsidRPr="00445D17">
              <w:t>Ratio of DHT/T, calculated for each interval where serial PK sampling was scheduled (Visit 2, Visit 4, and Visit 7), as the ratio of the AUC for DHT to the AUC for serum Total T.</w:t>
            </w:r>
            <w:r>
              <w:t xml:space="preserve"> </w:t>
            </w:r>
          </w:p>
        </w:tc>
      </w:tr>
      <w:tr w:rsidR="001F4B1B" w:rsidRPr="00E677BD" w:rsidTr="009023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gridAfter w:val="1"/>
          <w:wAfter w:w="9" w:type="dxa"/>
        </w:trPr>
        <w:tc>
          <w:tcPr>
            <w:tcW w:w="9000" w:type="dxa"/>
            <w:gridSpan w:val="4"/>
            <w:tcBorders>
              <w:top w:val="single" w:sz="6" w:space="0" w:color="auto"/>
              <w:left w:val="single" w:sz="6" w:space="0" w:color="auto"/>
              <w:bottom w:val="single" w:sz="6" w:space="0" w:color="auto"/>
              <w:right w:val="single" w:sz="6" w:space="0" w:color="auto"/>
            </w:tcBorders>
          </w:tcPr>
          <w:p w:rsidR="001F4B1B" w:rsidRDefault="001F4B1B" w:rsidP="00902350">
            <w:pPr>
              <w:pStyle w:val="Synop1"/>
              <w:spacing w:before="60" w:after="60"/>
            </w:pPr>
            <w:r w:rsidRPr="00E677BD">
              <w:rPr>
                <w:b/>
              </w:rPr>
              <w:t>Statistical Methods:</w:t>
            </w:r>
            <w:r>
              <w:t xml:space="preserve"> </w:t>
            </w:r>
          </w:p>
          <w:p w:rsidR="00EB33D7" w:rsidRDefault="00EB33D7" w:rsidP="00EB33D7">
            <w:pPr>
              <w:pStyle w:val="C-TableText"/>
            </w:pPr>
            <w:r w:rsidRPr="00EB33D7">
              <w:t>All analyses were presented by treatment group (</w:t>
            </w:r>
            <w:r w:rsidR="008E5289">
              <w:t>Oral TU</w:t>
            </w:r>
            <w:r w:rsidRPr="00EB33D7">
              <w:t xml:space="preserve"> and </w:t>
            </w:r>
            <w:r w:rsidR="002D4285">
              <w:t>t</w:t>
            </w:r>
            <w:r w:rsidRPr="00EB33D7">
              <w:t xml:space="preserve">ransdermal T-gel).  Continuous data were summarized using descriptive statistics (n, mean, standard deviation </w:t>
            </w:r>
            <w:r w:rsidR="00732B60">
              <w:t>[</w:t>
            </w:r>
            <w:r w:rsidRPr="00EB33D7">
              <w:t>S</w:t>
            </w:r>
            <w:r w:rsidR="002D4285">
              <w:t>td</w:t>
            </w:r>
            <w:r w:rsidR="00732B60">
              <w:t>]</w:t>
            </w:r>
            <w:r w:rsidRPr="00EB33D7">
              <w:t>, median, minimum, and maxi</w:t>
            </w:r>
            <w:r w:rsidR="00576FA8">
              <w:t>m</w:t>
            </w:r>
            <w:r w:rsidRPr="00EB33D7">
              <w:t>um).  If relevant, 95% CI</w:t>
            </w:r>
            <w:r w:rsidR="00AF0F74">
              <w:t>s</w:t>
            </w:r>
            <w:r w:rsidRPr="00EB33D7">
              <w:t xml:space="preserve"> were provided.  Categorical data </w:t>
            </w:r>
            <w:r w:rsidR="00732B60" w:rsidRPr="00EB33D7">
              <w:t>w</w:t>
            </w:r>
            <w:r w:rsidR="00732B60">
              <w:t>ere</w:t>
            </w:r>
            <w:r w:rsidR="00732B60" w:rsidRPr="00EB33D7">
              <w:t xml:space="preserve"> </w:t>
            </w:r>
            <w:r w:rsidRPr="00EB33D7">
              <w:t xml:space="preserve">described using frequencies and percentages, with percentages based on the frequencies of subjects in the analysis set for whom there were non-missing data, unless otherwise specified.  </w:t>
            </w:r>
            <w:r w:rsidR="00F511CA">
              <w:t xml:space="preserve">For </w:t>
            </w:r>
            <w:r w:rsidR="00DA3773">
              <w:t xml:space="preserve">the </w:t>
            </w:r>
            <w:r w:rsidR="00F511CA">
              <w:t>non-inferiority analysis, 1-</w:t>
            </w:r>
            <w:r w:rsidRPr="00EB33D7">
              <w:t>sided hypothesis tests at the 0.05 level of significance were used; other analyses (including efficacy a</w:t>
            </w:r>
            <w:r w:rsidR="00F511CA">
              <w:t xml:space="preserve">nalyses) were performed using </w:t>
            </w:r>
            <w:r w:rsidR="00C55F18">
              <w:br/>
            </w:r>
            <w:r w:rsidR="00F511CA">
              <w:t>2-</w:t>
            </w:r>
            <w:r w:rsidRPr="00EB33D7">
              <w:t xml:space="preserve">sided hypothesis tests at the 0.05 level of significance.  All data were presented in by-subject listings.  Data that </w:t>
            </w:r>
            <w:r w:rsidR="00DA3773" w:rsidRPr="00EB33D7">
              <w:t>w</w:t>
            </w:r>
            <w:r w:rsidR="00DA3773">
              <w:t>ere</w:t>
            </w:r>
            <w:r w:rsidR="00DA3773" w:rsidRPr="00EB33D7">
              <w:t xml:space="preserve"> </w:t>
            </w:r>
            <w:r w:rsidRPr="00EB33D7">
              <w:t>only listed (not summarized) were specified in the analysis section.  Counts of “missing” were to be presented on the tables if at least 1 treatment group had missing data.</w:t>
            </w:r>
          </w:p>
          <w:p w:rsidR="00EB33D7" w:rsidRPr="00EB33D7" w:rsidRDefault="00EB33D7" w:rsidP="00EB33D7">
            <w:pPr>
              <w:pStyle w:val="C-TableText"/>
            </w:pPr>
          </w:p>
          <w:p w:rsidR="00EB33D7" w:rsidRPr="00EB33D7" w:rsidRDefault="00EB33D7" w:rsidP="00EB33D7">
            <w:pPr>
              <w:pStyle w:val="C-TableText"/>
            </w:pPr>
            <w:r w:rsidRPr="00EB33D7">
              <w:t>For purposes of calculating study day, days on study, etc., the day of the first dose of study drug was designated as study Day 1.  Study day was calculated as [date of event – date of first dose of study drug + 1].  For the purpose of converting days to years or months, one year = 365.25 days, and one month = 30.44 days.</w:t>
            </w:r>
          </w:p>
          <w:p w:rsidR="00EB33D7" w:rsidRDefault="00EB33D7" w:rsidP="00EB33D7">
            <w:pPr>
              <w:pStyle w:val="C-TableText"/>
            </w:pPr>
          </w:p>
          <w:p w:rsidR="00EB33D7" w:rsidRPr="00EB33D7" w:rsidRDefault="00EB33D7" w:rsidP="00EB33D7">
            <w:pPr>
              <w:pStyle w:val="C-TableText"/>
            </w:pPr>
            <w:r w:rsidRPr="00EB33D7">
              <w:t xml:space="preserve">Unless otherwise stated, missing data were not imputed.  Partial dates recorded on the </w:t>
            </w:r>
            <w:r w:rsidR="002D4285">
              <w:t>electronic case report form (</w:t>
            </w:r>
            <w:r>
              <w:t>e</w:t>
            </w:r>
            <w:r w:rsidRPr="00EB33D7">
              <w:t>CRF</w:t>
            </w:r>
            <w:r w:rsidR="002D4285">
              <w:t>)</w:t>
            </w:r>
            <w:r w:rsidRPr="00EB33D7">
              <w:t xml:space="preserve"> (e.g., missing day or missing day and month), were not to be imputed unless specified otherwise.  Only actual measurements obtained at each study visit will be used to summarize efficacy and safety results.  </w:t>
            </w:r>
          </w:p>
          <w:p w:rsidR="00EB33D7" w:rsidRDefault="00EB33D7" w:rsidP="00EB33D7">
            <w:pPr>
              <w:pStyle w:val="C-TableText"/>
            </w:pPr>
          </w:p>
          <w:p w:rsidR="00EB33D7" w:rsidRPr="00EB33D7" w:rsidRDefault="00EB33D7" w:rsidP="00EB33D7">
            <w:pPr>
              <w:pStyle w:val="C-TableText"/>
            </w:pPr>
            <w:r w:rsidRPr="00EB33D7">
              <w:t>The baseline value for safety analys</w:t>
            </w:r>
            <w:r w:rsidR="00DA3773">
              <w:t>e</w:t>
            </w:r>
            <w:r w:rsidRPr="00EB33D7">
              <w:t>s was defined as the last non-missing measurement obtained prior to the first dose of study drug.  For efficacy analys</w:t>
            </w:r>
            <w:r w:rsidR="00DA3773">
              <w:t>e</w:t>
            </w:r>
            <w:r w:rsidRPr="00EB33D7">
              <w:t>s, the baseline was the average of all pre-treatment samples collected on Day 0 and/or Day 1.</w:t>
            </w:r>
          </w:p>
          <w:p w:rsidR="00EB33D7" w:rsidRDefault="00EB33D7" w:rsidP="00EB33D7">
            <w:pPr>
              <w:pStyle w:val="C-TableText"/>
            </w:pPr>
          </w:p>
          <w:p w:rsidR="00EB33D7" w:rsidRDefault="00EB33D7" w:rsidP="00EB33D7">
            <w:pPr>
              <w:pStyle w:val="C-TableText"/>
            </w:pPr>
            <w:r w:rsidRPr="00EB33D7">
              <w:t xml:space="preserve">Nominal study visits (days or months relative to Baseline) were used to summarize data.  Ranges for study </w:t>
            </w:r>
            <w:r w:rsidRPr="00EB33D7">
              <w:lastRenderedPageBreak/>
              <w:t>day intervals (“windows”) were not used to re-assign visit numbers in relation to the start of therapy.</w:t>
            </w:r>
          </w:p>
          <w:p w:rsidR="00EB33D7" w:rsidRPr="00EB33D7" w:rsidRDefault="00EB33D7" w:rsidP="00EB33D7">
            <w:pPr>
              <w:pStyle w:val="C-TableText"/>
            </w:pPr>
          </w:p>
          <w:p w:rsidR="001F4B1B" w:rsidRPr="00E677BD" w:rsidRDefault="00EB33D7" w:rsidP="00EB33D7">
            <w:pPr>
              <w:pStyle w:val="C-TableText"/>
            </w:pPr>
            <w:r w:rsidRPr="00EB33D7">
              <w:t>There were no planned analyses by center.</w:t>
            </w:r>
          </w:p>
        </w:tc>
      </w:tr>
    </w:tbl>
    <w:p w:rsidR="00E75720" w:rsidRDefault="00E75720" w:rsidP="00025817">
      <w:pPr>
        <w:pStyle w:val="Synop1"/>
        <w:spacing w:before="60" w:after="120"/>
        <w:rPr>
          <w:b/>
        </w:rPr>
        <w:sectPr w:rsidR="00E75720" w:rsidSect="00A16D58">
          <w:headerReference w:type="default" r:id="rId8"/>
          <w:footerReference w:type="default" r:id="rId9"/>
          <w:footnotePr>
            <w:numFmt w:val="lowerRoman"/>
            <w:numStart w:val="2"/>
          </w:footnotePr>
          <w:endnotePr>
            <w:numFmt w:val="decimal"/>
          </w:endnotePr>
          <w:pgSz w:w="12240" w:h="15840"/>
          <w:pgMar w:top="1440" w:right="1440" w:bottom="1440" w:left="1800" w:header="720" w:footer="720" w:gutter="0"/>
          <w:cols w:space="720"/>
          <w:noEndnote/>
        </w:sectPr>
      </w:pPr>
    </w:p>
    <w:tbl>
      <w:tblPr>
        <w:tblW w:w="9000" w:type="dxa"/>
        <w:tblInd w:w="120" w:type="dxa"/>
        <w:tblLayout w:type="fixed"/>
        <w:tblCellMar>
          <w:left w:w="120" w:type="dxa"/>
          <w:right w:w="120" w:type="dxa"/>
        </w:tblCellMar>
        <w:tblLook w:val="0000"/>
      </w:tblPr>
      <w:tblGrid>
        <w:gridCol w:w="9000"/>
      </w:tblGrid>
      <w:tr w:rsidR="001F4B1B" w:rsidRPr="00E677BD" w:rsidTr="00E75720">
        <w:tc>
          <w:tcPr>
            <w:tcW w:w="9000" w:type="dxa"/>
            <w:tcBorders>
              <w:top w:val="single" w:sz="6" w:space="0" w:color="auto"/>
              <w:left w:val="single" w:sz="6" w:space="0" w:color="auto"/>
              <w:bottom w:val="single" w:sz="6" w:space="0" w:color="auto"/>
              <w:right w:val="single" w:sz="6" w:space="0" w:color="auto"/>
            </w:tcBorders>
          </w:tcPr>
          <w:p w:rsidR="001F4B1B" w:rsidRPr="00025817" w:rsidRDefault="001F4B1B" w:rsidP="00025817">
            <w:pPr>
              <w:pStyle w:val="Synop1"/>
              <w:spacing w:before="60" w:after="120"/>
              <w:rPr>
                <w:b/>
              </w:rPr>
            </w:pPr>
            <w:r w:rsidRPr="00E23ACB">
              <w:rPr>
                <w:b/>
              </w:rPr>
              <w:lastRenderedPageBreak/>
              <w:t>SUMMARY OF RESULTS</w:t>
            </w:r>
          </w:p>
        </w:tc>
      </w:tr>
      <w:tr w:rsidR="001F4B1B" w:rsidRPr="00E677BD" w:rsidTr="00E75720">
        <w:tc>
          <w:tcPr>
            <w:tcW w:w="9000" w:type="dxa"/>
            <w:tcBorders>
              <w:top w:val="single" w:sz="6" w:space="0" w:color="auto"/>
              <w:left w:val="single" w:sz="6" w:space="0" w:color="auto"/>
              <w:bottom w:val="single" w:sz="6" w:space="0" w:color="auto"/>
              <w:right w:val="single" w:sz="6" w:space="0" w:color="auto"/>
            </w:tcBorders>
          </w:tcPr>
          <w:p w:rsidR="001F4B1B" w:rsidRPr="000B6B7D" w:rsidRDefault="001F4B1B" w:rsidP="00991484">
            <w:pPr>
              <w:pStyle w:val="C-TableText"/>
              <w:rPr>
                <w:u w:val="single"/>
              </w:rPr>
            </w:pPr>
            <w:r w:rsidRPr="000B6B7D">
              <w:rPr>
                <w:u w:val="single"/>
              </w:rPr>
              <w:t>Disposition of Subjects/ Demographics</w:t>
            </w:r>
          </w:p>
          <w:p w:rsidR="00025817" w:rsidRDefault="004C1E46" w:rsidP="00991484">
            <w:pPr>
              <w:pStyle w:val="C-TableText"/>
            </w:pPr>
            <w:r w:rsidRPr="004C1E46">
              <w:t>A total of 325 subjects were enrolled and randomized in thi</w:t>
            </w:r>
            <w:r>
              <w:t xml:space="preserve">s study (ITT population): four </w:t>
            </w:r>
            <w:r w:rsidR="008E5289">
              <w:t>subjects</w:t>
            </w:r>
            <w:r w:rsidRPr="004C1E46">
              <w:t xml:space="preserve"> did not receive study treatment, leaving 321 </w:t>
            </w:r>
            <w:r w:rsidR="008E5289">
              <w:t>subjects</w:t>
            </w:r>
            <w:r w:rsidRPr="004C1E46">
              <w:t xml:space="preserve"> who received study treatment and were included in </w:t>
            </w:r>
            <w:r w:rsidR="00546365">
              <w:t>s</w:t>
            </w:r>
            <w:r w:rsidRPr="004C1E46">
              <w:t xml:space="preserve">afety population.  Of these subjects, 315 were included in the </w:t>
            </w:r>
            <w:r w:rsidR="001674D1">
              <w:t>PK</w:t>
            </w:r>
            <w:r w:rsidRPr="004C1E46">
              <w:t xml:space="preserve"> population analysis set and </w:t>
            </w:r>
            <w:r w:rsidR="00EA372F">
              <w:t xml:space="preserve">146 </w:t>
            </w:r>
            <w:r w:rsidRPr="004C1E46">
              <w:t>were included in the efficacy analysis set</w:t>
            </w:r>
            <w:r w:rsidR="00E75720">
              <w:t xml:space="preserve"> (Oral TU group only)</w:t>
            </w:r>
            <w:r w:rsidRPr="004C1E46">
              <w:t xml:space="preserve">.  </w:t>
            </w:r>
            <w:r w:rsidR="00546365" w:rsidRPr="00546365">
              <w:t xml:space="preserve">A total of 300 subjects completed the treatment period from </w:t>
            </w:r>
            <w:r w:rsidR="002D48F1">
              <w:t>D</w:t>
            </w:r>
            <w:r w:rsidR="00546365" w:rsidRPr="00546365">
              <w:t xml:space="preserve">ay 0 to </w:t>
            </w:r>
            <w:r w:rsidR="002D48F1">
              <w:t>D</w:t>
            </w:r>
            <w:r w:rsidR="00546365" w:rsidRPr="00546365">
              <w:t>ay 90 while 262 subjects completed the safety follow-up</w:t>
            </w:r>
            <w:r w:rsidR="00AB235F">
              <w:t xml:space="preserve"> and entire study</w:t>
            </w:r>
            <w:r w:rsidR="00546365" w:rsidRPr="00546365">
              <w:t xml:space="preserve">.  </w:t>
            </w:r>
            <w:r w:rsidRPr="004C1E46">
              <w:t>The most common reasons for study discontinuation prior to completion of the overall study period were withdrawal of consent (</w:t>
            </w:r>
            <w:r w:rsidR="00B00A37" w:rsidRPr="004C1E46">
              <w:t>27</w:t>
            </w:r>
            <w:r w:rsidR="00B00A37">
              <w:t> </w:t>
            </w:r>
            <w:r w:rsidRPr="004C1E46">
              <w:t xml:space="preserve">subjects, 8.3%), lost to follow-up (12 subjects, 3.7%), and AEs (11 subjects, 3.4%).  The number of subjects who completed the overall study were similar between the </w:t>
            </w:r>
            <w:r w:rsidR="008E5289">
              <w:t>Oral TU</w:t>
            </w:r>
            <w:r w:rsidRPr="004C1E46">
              <w:t xml:space="preserve"> and</w:t>
            </w:r>
            <w:r w:rsidR="00546365">
              <w:t xml:space="preserve"> transdermal T-gel group (129 [</w:t>
            </w:r>
            <w:r w:rsidRPr="004C1E46">
              <w:t>79.6%</w:t>
            </w:r>
            <w:r w:rsidR="00546365">
              <w:t>]</w:t>
            </w:r>
            <w:r w:rsidRPr="004C1E46">
              <w:t xml:space="preserve"> and 133 </w:t>
            </w:r>
            <w:r w:rsidR="00546365">
              <w:t>[</w:t>
            </w:r>
            <w:r w:rsidRPr="004C1E46">
              <w:t>81.6%</w:t>
            </w:r>
            <w:r w:rsidR="00546365">
              <w:t>]</w:t>
            </w:r>
            <w:r w:rsidRPr="004C1E46">
              <w:t xml:space="preserve">, respectively).  A slightly higher percentage of </w:t>
            </w:r>
            <w:r w:rsidR="008E5289">
              <w:t>subjects</w:t>
            </w:r>
            <w:r w:rsidRPr="004C1E46">
              <w:t xml:space="preserve"> in the </w:t>
            </w:r>
            <w:r w:rsidR="008E5289">
              <w:t>Oral TU</w:t>
            </w:r>
            <w:r w:rsidRPr="004C1E46">
              <w:t xml:space="preserve"> group discontinued the study due to AEs (4.3%) than in the transdermal T-gel group (2.5%).   </w:t>
            </w:r>
          </w:p>
          <w:p w:rsidR="00991484" w:rsidRDefault="00991484" w:rsidP="00991484">
            <w:pPr>
              <w:pStyle w:val="C-TableText"/>
            </w:pPr>
          </w:p>
          <w:p w:rsidR="00102169" w:rsidRDefault="002D4285" w:rsidP="00546365">
            <w:pPr>
              <w:pStyle w:val="C-TableText"/>
            </w:pPr>
            <w:r>
              <w:t>The mean age (Std)</w:t>
            </w:r>
            <w:r w:rsidR="00102169" w:rsidRPr="00102169">
              <w:t xml:space="preserve"> </w:t>
            </w:r>
            <w:r w:rsidR="003E205D">
              <w:t xml:space="preserve">and BMI (Std) </w:t>
            </w:r>
            <w:r w:rsidR="00102169" w:rsidRPr="00102169">
              <w:t xml:space="preserve">of the </w:t>
            </w:r>
            <w:r w:rsidR="00546365">
              <w:t>s</w:t>
            </w:r>
            <w:r w:rsidR="00102169" w:rsidRPr="00102169">
              <w:t>afety population was 54.9 (11.10) years</w:t>
            </w:r>
            <w:r w:rsidR="003E205D">
              <w:t xml:space="preserve"> and 29.95 (3.927), respectively</w:t>
            </w:r>
            <w:r w:rsidR="00102169" w:rsidRPr="00102169">
              <w:t>.  Overall, 269 subjects (83.8%) were white, and 287 subjects (89.4%) were not Hispanic or Latino.  A total of 118 subjects (36.8%) were pre-diabetic, 63 subjects (19.6%) were diabetic, 142 subjects (44.2%) were hypertensive, and 140 subjects (43.6%) were taking a lipid</w:t>
            </w:r>
            <w:r w:rsidR="00B00A37">
              <w:t>-</w:t>
            </w:r>
            <w:r w:rsidR="00102169" w:rsidRPr="00102169">
              <w:t xml:space="preserve">lowering agent.  </w:t>
            </w:r>
            <w:r w:rsidR="006177EB">
              <w:t xml:space="preserve">The two treatment groups were balanced at baseline. </w:t>
            </w:r>
          </w:p>
          <w:p w:rsidR="00243BE5" w:rsidRDefault="00243BE5" w:rsidP="00546365">
            <w:pPr>
              <w:pStyle w:val="C-TableText"/>
            </w:pPr>
          </w:p>
          <w:p w:rsidR="0087221D" w:rsidRDefault="0087221D" w:rsidP="00546365">
            <w:pPr>
              <w:pStyle w:val="C-TableText"/>
              <w:rPr>
                <w:u w:val="single"/>
              </w:rPr>
            </w:pPr>
            <w:r w:rsidRPr="0087221D">
              <w:rPr>
                <w:u w:val="single"/>
              </w:rPr>
              <w:t>Concomitant Medications</w:t>
            </w:r>
          </w:p>
          <w:p w:rsidR="0087221D" w:rsidRDefault="0087221D" w:rsidP="00B00A37">
            <w:pPr>
              <w:pStyle w:val="C-TableText"/>
            </w:pPr>
            <w:r w:rsidRPr="0087221D">
              <w:t>At least 1 concomitant medicatio</w:t>
            </w:r>
            <w:r w:rsidR="000C485A">
              <w:t>n was taken by 83</w:t>
            </w:r>
            <w:r w:rsidRPr="0087221D">
              <w:t>.</w:t>
            </w:r>
            <w:r w:rsidR="000C485A">
              <w:t>3</w:t>
            </w:r>
            <w:r w:rsidRPr="0087221D">
              <w:t xml:space="preserve">% of subjects in the </w:t>
            </w:r>
            <w:r w:rsidR="008E5289">
              <w:t>Oral TU</w:t>
            </w:r>
            <w:r w:rsidRPr="0087221D">
              <w:t xml:space="preserve"> group and by 89.0% of subjects in the transdermal T-gel group.  The most frequently used concomitant medications by </w:t>
            </w:r>
            <w:r>
              <w:t>class</w:t>
            </w:r>
            <w:r w:rsidRPr="0087221D">
              <w:t xml:space="preserve"> were lipid</w:t>
            </w:r>
            <w:r w:rsidR="00B00A37">
              <w:t>-</w:t>
            </w:r>
            <w:r w:rsidRPr="0087221D">
              <w:t>modifying agents (4</w:t>
            </w:r>
            <w:r w:rsidR="000C485A">
              <w:t>3</w:t>
            </w:r>
            <w:r w:rsidRPr="0087221D">
              <w:t>.</w:t>
            </w:r>
            <w:r w:rsidR="000C485A">
              <w:t>2</w:t>
            </w:r>
            <w:r w:rsidRPr="0087221D">
              <w:t xml:space="preserve">%, </w:t>
            </w:r>
            <w:r w:rsidR="000C485A">
              <w:t>70</w:t>
            </w:r>
            <w:r w:rsidRPr="0087221D">
              <w:t xml:space="preserve">/162 </w:t>
            </w:r>
            <w:r w:rsidR="008E5289">
              <w:t>Oral TU</w:t>
            </w:r>
            <w:r w:rsidRPr="0087221D">
              <w:t xml:space="preserve">; 47.9%, 78/163 transdermal T-gel), agents acting on the renin-angiotensin system (33.3%, 54/162 </w:t>
            </w:r>
            <w:r w:rsidR="008E5289">
              <w:t>Oral TU</w:t>
            </w:r>
            <w:r w:rsidRPr="0087221D">
              <w:t xml:space="preserve">; 36.2%, 59/163 transdermal T-gel), vitamins (34.0%, 55/162 </w:t>
            </w:r>
            <w:r w:rsidR="008E5289">
              <w:t>Oral TU</w:t>
            </w:r>
            <w:r w:rsidRPr="0087221D">
              <w:t>; 28.8%, 47/163 transdermal T-gel), and analgesics (29.</w:t>
            </w:r>
            <w:r w:rsidR="000C485A">
              <w:t>6</w:t>
            </w:r>
            <w:r w:rsidRPr="0087221D">
              <w:t>%, 4</w:t>
            </w:r>
            <w:r w:rsidR="000C485A">
              <w:t>8</w:t>
            </w:r>
            <w:r w:rsidRPr="0087221D">
              <w:t>/16</w:t>
            </w:r>
            <w:r w:rsidR="000C485A">
              <w:t>2</w:t>
            </w:r>
            <w:r w:rsidRPr="0087221D">
              <w:t xml:space="preserve"> </w:t>
            </w:r>
            <w:r w:rsidR="008E5289">
              <w:t>Oral TU</w:t>
            </w:r>
            <w:r w:rsidRPr="0087221D">
              <w:t>; 29.4%, 48/16</w:t>
            </w:r>
            <w:r w:rsidR="000C485A">
              <w:t>3</w:t>
            </w:r>
            <w:r w:rsidRPr="0087221D">
              <w:t xml:space="preserve"> transdermal T-gel).  </w:t>
            </w:r>
          </w:p>
          <w:p w:rsidR="00EA372F" w:rsidRDefault="00EA372F" w:rsidP="00B00A37">
            <w:pPr>
              <w:pStyle w:val="C-TableText"/>
            </w:pPr>
          </w:p>
          <w:p w:rsidR="00EA372F" w:rsidRPr="00EA372F" w:rsidRDefault="00EA372F" w:rsidP="00B00A37">
            <w:pPr>
              <w:pStyle w:val="C-TableText"/>
              <w:rPr>
                <w:u w:val="single"/>
              </w:rPr>
            </w:pPr>
            <w:r w:rsidRPr="00EA372F">
              <w:rPr>
                <w:u w:val="single"/>
              </w:rPr>
              <w:t>Treatment Compliance</w:t>
            </w:r>
          </w:p>
          <w:p w:rsidR="00EA372F" w:rsidRPr="0087221D" w:rsidRDefault="000604AD" w:rsidP="00B00A37">
            <w:pPr>
              <w:pStyle w:val="C-TableText"/>
            </w:pPr>
            <w:r>
              <w:t xml:space="preserve">Treatment compliance was high with the mean (Std) percentages of compliance for subjects in the overall study for the Oral TU </w:t>
            </w:r>
            <w:r w:rsidRPr="00BF15E4">
              <w:t>and transdermal T-gel group being</w:t>
            </w:r>
            <w:r>
              <w:t xml:space="preserve"> 94.64% (17.33) and 92.02% (12.779), respectively.  The mean (Std) average total daily doses taken in the overall study for the Oral TU and transdermal T-gel groups were 350.47 (96.149) mg/day and 5.60 (1.562) grams/day, respectively.</w:t>
            </w:r>
          </w:p>
        </w:tc>
      </w:tr>
      <w:tr w:rsidR="001F4B1B" w:rsidRPr="00E677BD" w:rsidTr="00E75720">
        <w:tc>
          <w:tcPr>
            <w:tcW w:w="9000" w:type="dxa"/>
            <w:tcBorders>
              <w:top w:val="single" w:sz="6" w:space="0" w:color="auto"/>
              <w:left w:val="single" w:sz="6" w:space="0" w:color="auto"/>
              <w:bottom w:val="single" w:sz="6" w:space="0" w:color="auto"/>
              <w:right w:val="single" w:sz="6" w:space="0" w:color="auto"/>
            </w:tcBorders>
          </w:tcPr>
          <w:p w:rsidR="001F4B1B" w:rsidRPr="00E677BD" w:rsidRDefault="001F4B1B" w:rsidP="00902350">
            <w:pPr>
              <w:pStyle w:val="Synop1"/>
              <w:spacing w:before="60" w:after="60"/>
            </w:pPr>
            <w:r w:rsidRPr="00E677BD">
              <w:rPr>
                <w:b/>
                <w:u w:val="single"/>
              </w:rPr>
              <w:t>Efficacy Results</w:t>
            </w:r>
          </w:p>
          <w:p w:rsidR="001F4B1B" w:rsidRDefault="000B6B7D" w:rsidP="000B6B7D">
            <w:pPr>
              <w:pStyle w:val="C-TableText"/>
              <w:rPr>
                <w:u w:val="single"/>
              </w:rPr>
            </w:pPr>
            <w:r w:rsidRPr="000B6B7D">
              <w:rPr>
                <w:u w:val="single"/>
              </w:rPr>
              <w:t xml:space="preserve">Psychosexual Questionnaire Data of Sexual Desire, Sexual Enjoyment With and Without a Partner, Sexual Activity Score, </w:t>
            </w:r>
            <w:r w:rsidR="00B00A37">
              <w:rPr>
                <w:u w:val="single"/>
              </w:rPr>
              <w:t>S</w:t>
            </w:r>
            <w:r w:rsidR="00B00A37" w:rsidRPr="00B00A37">
              <w:rPr>
                <w:u w:val="single"/>
              </w:rPr>
              <w:t xml:space="preserve">exual </w:t>
            </w:r>
            <w:r w:rsidR="00B00A37">
              <w:rPr>
                <w:u w:val="single"/>
              </w:rPr>
              <w:t>P</w:t>
            </w:r>
            <w:r w:rsidR="00B00A37" w:rsidRPr="00B00A37">
              <w:rPr>
                <w:u w:val="single"/>
              </w:rPr>
              <w:t xml:space="preserve">erformance for </w:t>
            </w:r>
            <w:r w:rsidR="00B00A37">
              <w:rPr>
                <w:u w:val="single"/>
              </w:rPr>
              <w:t>E</w:t>
            </w:r>
            <w:r w:rsidR="00B00A37" w:rsidRPr="00B00A37">
              <w:rPr>
                <w:u w:val="single"/>
              </w:rPr>
              <w:t xml:space="preserve">xperience an </w:t>
            </w:r>
            <w:r w:rsidR="00B00A37">
              <w:rPr>
                <w:u w:val="single"/>
              </w:rPr>
              <w:t>E</w:t>
            </w:r>
            <w:r w:rsidR="00B00A37" w:rsidRPr="00B00A37">
              <w:rPr>
                <w:u w:val="single"/>
              </w:rPr>
              <w:t>rection (</w:t>
            </w:r>
            <w:r w:rsidR="00B00A37">
              <w:rPr>
                <w:u w:val="single"/>
              </w:rPr>
              <w:t>S</w:t>
            </w:r>
            <w:r w:rsidR="00B00A37" w:rsidRPr="00B00A37">
              <w:rPr>
                <w:u w:val="single"/>
              </w:rPr>
              <w:t xml:space="preserve">atisfaction with </w:t>
            </w:r>
            <w:r w:rsidR="00B00A37">
              <w:rPr>
                <w:u w:val="single"/>
              </w:rPr>
              <w:t>E</w:t>
            </w:r>
            <w:r w:rsidR="00B00A37" w:rsidRPr="00B00A37">
              <w:rPr>
                <w:u w:val="single"/>
              </w:rPr>
              <w:t xml:space="preserve">rection </w:t>
            </w:r>
            <w:r w:rsidR="00B00A37">
              <w:rPr>
                <w:u w:val="single"/>
              </w:rPr>
              <w:t>D</w:t>
            </w:r>
            <w:r w:rsidR="00B00A37" w:rsidRPr="00B00A37">
              <w:rPr>
                <w:u w:val="single"/>
              </w:rPr>
              <w:t xml:space="preserve">uration and </w:t>
            </w:r>
            <w:r w:rsidR="00B00A37">
              <w:rPr>
                <w:u w:val="single"/>
              </w:rPr>
              <w:t>P</w:t>
            </w:r>
            <w:r w:rsidR="00B00A37" w:rsidRPr="00B00A37">
              <w:rPr>
                <w:u w:val="single"/>
              </w:rPr>
              <w:t xml:space="preserve">ercent </w:t>
            </w:r>
            <w:r w:rsidR="00B00A37">
              <w:rPr>
                <w:u w:val="single"/>
              </w:rPr>
              <w:t>F</w:t>
            </w:r>
            <w:r w:rsidR="00B00A37" w:rsidRPr="00B00A37">
              <w:rPr>
                <w:u w:val="single"/>
              </w:rPr>
              <w:t xml:space="preserve">ull </w:t>
            </w:r>
            <w:r w:rsidR="00B00A37">
              <w:rPr>
                <w:u w:val="single"/>
              </w:rPr>
              <w:t>E</w:t>
            </w:r>
            <w:r w:rsidR="00B00A37" w:rsidRPr="00B00A37">
              <w:rPr>
                <w:u w:val="single"/>
              </w:rPr>
              <w:t xml:space="preserve">rection), </w:t>
            </w:r>
            <w:r w:rsidRPr="000B6B7D">
              <w:rPr>
                <w:u w:val="single"/>
              </w:rPr>
              <w:t>and Positive and Negative Sexual Mood</w:t>
            </w:r>
          </w:p>
          <w:p w:rsidR="000B6B7D" w:rsidRDefault="000B6B7D" w:rsidP="000B6B7D">
            <w:pPr>
              <w:pStyle w:val="C-TableText"/>
            </w:pPr>
            <w:r>
              <w:t>P</w:t>
            </w:r>
            <w:r w:rsidRPr="000B6B7D">
              <w:t xml:space="preserve">sychosexual questionnaire data </w:t>
            </w:r>
            <w:r>
              <w:t>was</w:t>
            </w:r>
            <w:r w:rsidRPr="000B6B7D">
              <w:t xml:space="preserve"> compar</w:t>
            </w:r>
            <w:r>
              <w:t>ed</w:t>
            </w:r>
            <w:r w:rsidRPr="000B6B7D">
              <w:t xml:space="preserve"> </w:t>
            </w:r>
            <w:r>
              <w:t xml:space="preserve">for </w:t>
            </w:r>
            <w:r w:rsidRPr="000B6B7D">
              <w:t xml:space="preserve">change from baseline </w:t>
            </w:r>
            <w:r w:rsidR="00221CBF">
              <w:t>for all study visits</w:t>
            </w:r>
            <w:r w:rsidRPr="000B6B7D">
              <w:t xml:space="preserve"> between </w:t>
            </w:r>
            <w:r w:rsidR="00577E0A">
              <w:t xml:space="preserve">the </w:t>
            </w:r>
            <w:r w:rsidR="008E5289">
              <w:t>Oral TU</w:t>
            </w:r>
            <w:r w:rsidRPr="000B6B7D">
              <w:t xml:space="preserve"> and transdermal T-gel</w:t>
            </w:r>
            <w:r w:rsidR="00577E0A">
              <w:t xml:space="preserve"> group</w:t>
            </w:r>
            <w:r w:rsidRPr="000B6B7D">
              <w:t xml:space="preserve">.  There were no statistically significant differences between </w:t>
            </w:r>
            <w:r w:rsidR="008E5289">
              <w:t>Oral TU</w:t>
            </w:r>
            <w:r w:rsidRPr="000B6B7D">
              <w:t xml:space="preserve"> and transdermal T-gel for any of the psychosexual questionnaire parameters.   </w:t>
            </w:r>
          </w:p>
          <w:p w:rsidR="00243BE5" w:rsidRDefault="00243BE5" w:rsidP="000B6B7D">
            <w:pPr>
              <w:pStyle w:val="C-TableText"/>
            </w:pPr>
          </w:p>
          <w:p w:rsidR="00577E0A" w:rsidRPr="00577E0A" w:rsidRDefault="00577E0A" w:rsidP="000B6B7D">
            <w:pPr>
              <w:pStyle w:val="C-TableText"/>
              <w:rPr>
                <w:u w:val="single"/>
              </w:rPr>
            </w:pPr>
            <w:r w:rsidRPr="00577E0A">
              <w:rPr>
                <w:u w:val="single"/>
              </w:rPr>
              <w:t>Short</w:t>
            </w:r>
            <w:r>
              <w:rPr>
                <w:u w:val="single"/>
              </w:rPr>
              <w:t xml:space="preserve"> Form Health S</w:t>
            </w:r>
            <w:r w:rsidRPr="00577E0A">
              <w:rPr>
                <w:u w:val="single"/>
              </w:rPr>
              <w:t>u</w:t>
            </w:r>
            <w:r>
              <w:rPr>
                <w:u w:val="single"/>
              </w:rPr>
              <w:t>r</w:t>
            </w:r>
            <w:r w:rsidRPr="00577E0A">
              <w:rPr>
                <w:u w:val="single"/>
              </w:rPr>
              <w:t>vey-36</w:t>
            </w:r>
          </w:p>
          <w:p w:rsidR="00AB235F" w:rsidRDefault="00577E0A" w:rsidP="00AB235F">
            <w:pPr>
              <w:pStyle w:val="C-TableText"/>
            </w:pPr>
            <w:r>
              <w:t xml:space="preserve">Well-being questionnaire data </w:t>
            </w:r>
            <w:r w:rsidRPr="00577E0A">
              <w:t>for physical functioning, role limitations due to physical problems</w:t>
            </w:r>
            <w:r w:rsidR="00B00A37">
              <w:t xml:space="preserve"> and emotional problems</w:t>
            </w:r>
            <w:r w:rsidRPr="00577E0A">
              <w:t xml:space="preserve">, social functioning, mental health, energy/vitality, bodily pain, and general health perception </w:t>
            </w:r>
            <w:r>
              <w:t xml:space="preserve">were </w:t>
            </w:r>
            <w:r w:rsidRPr="00577E0A">
              <w:t>summarized</w:t>
            </w:r>
            <w:r>
              <w:t xml:space="preserve"> and compared between the </w:t>
            </w:r>
            <w:r w:rsidR="008E5289">
              <w:t>Oral TU</w:t>
            </w:r>
            <w:r>
              <w:t xml:space="preserve"> and tran</w:t>
            </w:r>
            <w:r w:rsidR="00576FA8">
              <w:t>s</w:t>
            </w:r>
            <w:r>
              <w:t xml:space="preserve">dermal T-gel group. </w:t>
            </w:r>
            <w:r w:rsidR="00AB235F">
              <w:t xml:space="preserve"> There were statistically significant differences between the </w:t>
            </w:r>
            <w:r w:rsidR="008E5289">
              <w:t>Oral TU</w:t>
            </w:r>
            <w:r w:rsidR="00AB235F">
              <w:t xml:space="preserve"> and transdermal T-gel group, in favor of </w:t>
            </w:r>
            <w:r w:rsidR="008E5289">
              <w:t>Oral TU</w:t>
            </w:r>
            <w:r w:rsidR="00AB235F">
              <w:t>, for the following well</w:t>
            </w:r>
            <w:r w:rsidR="00B00A37">
              <w:t>-</w:t>
            </w:r>
            <w:r w:rsidR="00AB235F">
              <w:t xml:space="preserve">being (SF-36) questionnaire parameters: physical functioning (p = </w:t>
            </w:r>
            <w:r w:rsidR="001674D1">
              <w:t>0</w:t>
            </w:r>
            <w:r w:rsidR="00AB235F">
              <w:t xml:space="preserve">.0334), role limitations due to physical and emotional problems (p  = </w:t>
            </w:r>
            <w:r w:rsidR="001674D1">
              <w:t>0</w:t>
            </w:r>
            <w:r w:rsidR="00AB235F">
              <w:t xml:space="preserve">.0068 and </w:t>
            </w:r>
            <w:r w:rsidR="001674D1">
              <w:t>0</w:t>
            </w:r>
            <w:r w:rsidR="00AB235F">
              <w:t xml:space="preserve">.0018, respectively), social functioning (p = </w:t>
            </w:r>
            <w:r w:rsidR="001674D1">
              <w:t>0</w:t>
            </w:r>
            <w:r w:rsidR="00AB235F">
              <w:t xml:space="preserve">.0260), and energy/vitality (p = </w:t>
            </w:r>
            <w:r w:rsidR="001674D1">
              <w:t>0</w:t>
            </w:r>
            <w:r w:rsidR="00AB235F">
              <w:t xml:space="preserve">.0108).  There were no statistically significant differences between the </w:t>
            </w:r>
            <w:r w:rsidR="008E5289">
              <w:t>Oral TU</w:t>
            </w:r>
            <w:r w:rsidR="00AB235F">
              <w:t xml:space="preserve"> and transdermal T-gel group f</w:t>
            </w:r>
            <w:r w:rsidR="00221CBF">
              <w:t xml:space="preserve">or any of the other </w:t>
            </w:r>
            <w:r w:rsidR="00AB235F">
              <w:t xml:space="preserve">SF-36 questionnaire parameters.    </w:t>
            </w:r>
            <w:r>
              <w:t xml:space="preserve"> </w:t>
            </w:r>
          </w:p>
          <w:p w:rsidR="00243BE5" w:rsidRDefault="00243BE5" w:rsidP="00AB235F">
            <w:pPr>
              <w:pStyle w:val="C-TableText"/>
            </w:pPr>
          </w:p>
          <w:p w:rsidR="00577E0A" w:rsidRDefault="00577E0A" w:rsidP="00577E0A">
            <w:pPr>
              <w:pStyle w:val="C-TableText"/>
              <w:rPr>
                <w:u w:val="single"/>
              </w:rPr>
            </w:pPr>
            <w:r w:rsidRPr="00FA5F51">
              <w:rPr>
                <w:u w:val="single"/>
              </w:rPr>
              <w:t xml:space="preserve">Bone Mineral Density and </w:t>
            </w:r>
            <w:r w:rsidR="00C66151">
              <w:rPr>
                <w:u w:val="single"/>
              </w:rPr>
              <w:t>Total Body Composition</w:t>
            </w:r>
          </w:p>
          <w:p w:rsidR="00AB235F" w:rsidRPr="000B6B7D" w:rsidRDefault="002D4285" w:rsidP="00EA372F">
            <w:pPr>
              <w:pStyle w:val="C-TableText"/>
              <w:keepNext/>
              <w:keepLines/>
              <w:widowControl w:val="0"/>
            </w:pPr>
            <w:r>
              <w:t xml:space="preserve">Dual-energy x-ray absorptiometry (DEXA) </w:t>
            </w:r>
            <w:r w:rsidR="008837FB" w:rsidRPr="00FA5F51">
              <w:t xml:space="preserve">scans </w:t>
            </w:r>
            <w:r w:rsidR="00FA5F51" w:rsidRPr="00FA5F51">
              <w:t xml:space="preserve">were performed at baseline and </w:t>
            </w:r>
            <w:r w:rsidR="009561A1">
              <w:t>V</w:t>
            </w:r>
            <w:r w:rsidR="00FA5F51" w:rsidRPr="00FA5F51">
              <w:t xml:space="preserve">isits 5, 7, and early withdrawal.  </w:t>
            </w:r>
            <w:r w:rsidR="001674D1">
              <w:t>At German study sites, DEXA scans were only obtained at Visit 1 and Visit 7</w:t>
            </w:r>
            <w:r w:rsidR="00AB235F">
              <w:t xml:space="preserve">.  There were no statistically significant differences between the </w:t>
            </w:r>
            <w:r w:rsidR="008E5289">
              <w:t>Oral TU</w:t>
            </w:r>
            <w:r w:rsidR="00AB235F">
              <w:t xml:space="preserve"> and transdermal T-gel group for spine bone mineral </w:t>
            </w:r>
            <w:r w:rsidR="00AB235F">
              <w:lastRenderedPageBreak/>
              <w:t xml:space="preserve">density (p = </w:t>
            </w:r>
            <w:r w:rsidR="005141B1">
              <w:t>0</w:t>
            </w:r>
            <w:r w:rsidR="00AB235F">
              <w:t xml:space="preserve">.6002).  </w:t>
            </w:r>
            <w:r w:rsidR="005141B1">
              <w:t xml:space="preserve">There were statistically significant differences between the Oral TU and transdermal T-gel group, with the Oral TU group having a greater increase in </w:t>
            </w:r>
            <w:r w:rsidR="008837FB">
              <w:t xml:space="preserve">hip </w:t>
            </w:r>
            <w:r w:rsidR="005141B1">
              <w:t>bone density (p = 0.0019)</w:t>
            </w:r>
            <w:r w:rsidR="00DC6231">
              <w:t xml:space="preserve"> and</w:t>
            </w:r>
            <w:r w:rsidR="005141B1">
              <w:t xml:space="preserve"> lean mass (p &lt; 0.0001), and greater loss of fat mass (p = 0.0056) compared </w:t>
            </w:r>
            <w:r w:rsidR="008837FB">
              <w:t xml:space="preserve">with </w:t>
            </w:r>
            <w:r w:rsidR="005141B1">
              <w:t>transdermal T-gel.</w:t>
            </w:r>
            <w:r w:rsidR="00DC6231">
              <w:t xml:space="preserve"> </w:t>
            </w:r>
            <w:r w:rsidR="00CE7CA1">
              <w:t xml:space="preserve">These difference are not only statistically significant but also, clinically meaningful.  </w:t>
            </w:r>
            <w:r w:rsidR="00DC6231" w:rsidRPr="00DC6231">
              <w:t>During the course of the study, for the Oral TU group</w:t>
            </w:r>
            <w:r w:rsidR="003530CD">
              <w:t>,</w:t>
            </w:r>
            <w:r w:rsidR="00DC6231" w:rsidRPr="00DC6231">
              <w:t xml:space="preserve"> the lean mass increased by 3.158 </w:t>
            </w:r>
            <w:r w:rsidR="003530CD">
              <w:t xml:space="preserve">kg </w:t>
            </w:r>
            <w:r w:rsidR="00DC6231" w:rsidRPr="00DC6231">
              <w:t xml:space="preserve">(2.6969) from a baseline of </w:t>
            </w:r>
            <w:r w:rsidR="003530CD">
              <w:t>59.431 kg (7.7731)</w:t>
            </w:r>
            <w:r w:rsidR="00DC6231" w:rsidRPr="00DC6231">
              <w:t xml:space="preserve">, and the fat mass decreased by 2.404 </w:t>
            </w:r>
            <w:r w:rsidR="003530CD">
              <w:t xml:space="preserve">kg </w:t>
            </w:r>
            <w:r w:rsidR="00DC6231" w:rsidRPr="00DC6231">
              <w:t xml:space="preserve">(3.6444) from a baseline of 30.972 </w:t>
            </w:r>
            <w:r w:rsidR="003530CD">
              <w:t>kg (9.0418).</w:t>
            </w:r>
            <w:r w:rsidR="00DC6231" w:rsidRPr="00DC6231">
              <w:t xml:space="preserve">  </w:t>
            </w:r>
            <w:r w:rsidR="005141B1">
              <w:t xml:space="preserve"> </w:t>
            </w:r>
          </w:p>
        </w:tc>
      </w:tr>
      <w:tr w:rsidR="001F4B1B" w:rsidRPr="00E677BD" w:rsidTr="00E75720">
        <w:trPr>
          <w:cantSplit/>
        </w:trPr>
        <w:tc>
          <w:tcPr>
            <w:tcW w:w="9000" w:type="dxa"/>
            <w:tcBorders>
              <w:top w:val="single" w:sz="6" w:space="0" w:color="auto"/>
              <w:left w:val="single" w:sz="6" w:space="0" w:color="auto"/>
              <w:bottom w:val="single" w:sz="6" w:space="0" w:color="auto"/>
              <w:right w:val="single" w:sz="6" w:space="0" w:color="auto"/>
            </w:tcBorders>
          </w:tcPr>
          <w:p w:rsidR="001F4B1B" w:rsidRPr="00E677BD" w:rsidRDefault="001F4B1B" w:rsidP="00902350">
            <w:pPr>
              <w:pStyle w:val="Synop1"/>
              <w:spacing w:before="60" w:after="60"/>
            </w:pPr>
            <w:r w:rsidRPr="00E677BD">
              <w:rPr>
                <w:b/>
                <w:u w:val="single"/>
              </w:rPr>
              <w:lastRenderedPageBreak/>
              <w:t>Pharmacokinetic Results</w:t>
            </w:r>
          </w:p>
          <w:p w:rsidR="001F4B1B" w:rsidRDefault="007E7BFE" w:rsidP="002D4285">
            <w:pPr>
              <w:pStyle w:val="C-InstructionText"/>
            </w:pPr>
            <w:r>
              <w:t>The results from this study support the following PK efficacy conclusions:</w:t>
            </w:r>
          </w:p>
          <w:p w:rsidR="00843D19" w:rsidRDefault="00843D19" w:rsidP="00843D19">
            <w:pPr>
              <w:pStyle w:val="C-TableText"/>
              <w:numPr>
                <w:ilvl w:val="0"/>
                <w:numId w:val="28"/>
              </w:numPr>
            </w:pPr>
            <w:r>
              <w:t>The efficacy objective of the study was met by achieving a serum total T C</w:t>
            </w:r>
            <w:r w:rsidRPr="00A7352F">
              <w:rPr>
                <w:vertAlign w:val="subscript"/>
              </w:rPr>
              <w:t>avg</w:t>
            </w:r>
            <w:r>
              <w:t xml:space="preserve"> in the eugonadal range in 83.6% of the Oral </w:t>
            </w:r>
            <w:r w:rsidR="008837FB">
              <w:t>TU-</w:t>
            </w:r>
            <w:r>
              <w:t xml:space="preserve">treated subjects.  The lower limit of the 95% </w:t>
            </w:r>
            <w:r w:rsidR="00AF0F74">
              <w:t>CI</w:t>
            </w:r>
            <w:r>
              <w:t xml:space="preserve"> was 76.5%.  The success rate validated the proposed titration scheme as an effective means of controlling C</w:t>
            </w:r>
            <w:r w:rsidRPr="00A7352F">
              <w:rPr>
                <w:vertAlign w:val="subscript"/>
              </w:rPr>
              <w:t>avg</w:t>
            </w:r>
            <w:r>
              <w:t xml:space="preserve"> concentrations by adjusting the administered dose based on the total T concentration in a single, status indicating blood sample collected 4-6 hours post dose.</w:t>
            </w:r>
          </w:p>
          <w:p w:rsidR="00843D19" w:rsidRDefault="00843D19" w:rsidP="00843D19">
            <w:pPr>
              <w:pStyle w:val="C-TableText"/>
              <w:numPr>
                <w:ilvl w:val="0"/>
                <w:numId w:val="28"/>
              </w:numPr>
            </w:pPr>
            <w:r>
              <w:t xml:space="preserve">The </w:t>
            </w:r>
            <w:r w:rsidR="008837FB">
              <w:t>safety-</w:t>
            </w:r>
            <w:r>
              <w:t>related objective of avoiding a significant number of C</w:t>
            </w:r>
            <w:r w:rsidRPr="00F923F3">
              <w:rPr>
                <w:vertAlign w:val="subscript"/>
              </w:rPr>
              <w:t xml:space="preserve">max </w:t>
            </w:r>
            <w:r>
              <w:t xml:space="preserve">concentrations in excess of 1500 ng/mL was not met.  Approximately 40% of the Oral </w:t>
            </w:r>
            <w:r w:rsidR="008837FB">
              <w:t>TU-</w:t>
            </w:r>
            <w:r>
              <w:t>treated subjects had C</w:t>
            </w:r>
            <w:r w:rsidRPr="00F923F3">
              <w:rPr>
                <w:vertAlign w:val="subscript"/>
              </w:rPr>
              <w:t>max</w:t>
            </w:r>
            <w:r>
              <w:t xml:space="preserve"> values in excess of a 1500 ng/dL threshold, instead of the 15% or fewer that was targeted.  The titration scheme for adjusting the administered dose based on the serum T concentration in the status sample collected 4-6 hours post dose was not validated as an adequately effective protocol to control C</w:t>
            </w:r>
            <w:r w:rsidRPr="00F923F3">
              <w:rPr>
                <w:vertAlign w:val="subscript"/>
              </w:rPr>
              <w:t>max</w:t>
            </w:r>
            <w:r>
              <w:rPr>
                <w:vertAlign w:val="subscript"/>
              </w:rPr>
              <w:t>.</w:t>
            </w:r>
            <w:r>
              <w:t xml:space="preserve"> </w:t>
            </w:r>
          </w:p>
          <w:p w:rsidR="00DF102C" w:rsidRDefault="00DB11D9" w:rsidP="00DF102C">
            <w:pPr>
              <w:pStyle w:val="C-TableText"/>
              <w:numPr>
                <w:ilvl w:val="0"/>
                <w:numId w:val="28"/>
              </w:numPr>
              <w:rPr>
                <w:szCs w:val="20"/>
              </w:rPr>
            </w:pPr>
            <w:r w:rsidRPr="00DB11D9">
              <w:t>High C</w:t>
            </w:r>
            <w:r w:rsidRPr="00DF102C">
              <w:rPr>
                <w:vertAlign w:val="subscript"/>
              </w:rPr>
              <w:t>max</w:t>
            </w:r>
            <w:r w:rsidRPr="00DB11D9">
              <w:t xml:space="preserve"> concentrations following </w:t>
            </w:r>
            <w:r w:rsidR="00DF102C">
              <w:t>O</w:t>
            </w:r>
            <w:r w:rsidRPr="00DB11D9">
              <w:t xml:space="preserve">ral TU appeared to be an infrequent occurrence in most </w:t>
            </w:r>
            <w:r w:rsidR="003C4DEE">
              <w:t>subjects, and the detection of one event was not a strong indicator that a similar event would be detected at a subsequent clinic visit.  When high C</w:t>
            </w:r>
            <w:r w:rsidR="003C4DEE" w:rsidRPr="00DF102C">
              <w:rPr>
                <w:vertAlign w:val="subscript"/>
              </w:rPr>
              <w:t>max</w:t>
            </w:r>
            <w:r w:rsidR="003C4DEE">
              <w:t xml:space="preserve"> values did occur, they generally remained in that range for only a small fraction of a dosing interval.</w:t>
            </w:r>
          </w:p>
          <w:p w:rsidR="00DF102C" w:rsidRDefault="003C4DEE" w:rsidP="00DF102C">
            <w:pPr>
              <w:pStyle w:val="C-TableText"/>
              <w:numPr>
                <w:ilvl w:val="0"/>
                <w:numId w:val="28"/>
              </w:numPr>
              <w:rPr>
                <w:szCs w:val="20"/>
              </w:rPr>
            </w:pPr>
            <w:r>
              <w:t>The titration process was demonstrated to be an effective means of controlling systemic exposures to total T, although the designation of the appropriate limits for dose adjustment, and the timing of collection of the monitoring sample need additional optimization.  Testosterone concentrations responded in a dose proportional manner to dosage adjustments.</w:t>
            </w:r>
          </w:p>
          <w:p w:rsidR="00843D19" w:rsidRDefault="008837FB" w:rsidP="00843D19">
            <w:pPr>
              <w:pStyle w:val="C-TableText"/>
              <w:numPr>
                <w:ilvl w:val="0"/>
                <w:numId w:val="28"/>
              </w:numPr>
            </w:pPr>
            <w:r w:rsidRPr="00DB11D9">
              <w:rPr>
                <w:szCs w:val="20"/>
              </w:rPr>
              <w:t>Maximum concentration (</w:t>
            </w:r>
            <w:r w:rsidR="00843D19" w:rsidRPr="00DB11D9">
              <w:rPr>
                <w:szCs w:val="20"/>
              </w:rPr>
              <w:t>C</w:t>
            </w:r>
            <w:r w:rsidR="00843D19" w:rsidRPr="00DB11D9">
              <w:rPr>
                <w:szCs w:val="20"/>
                <w:vertAlign w:val="subscript"/>
              </w:rPr>
              <w:t>max</w:t>
            </w:r>
            <w:r w:rsidRPr="00DB11D9">
              <w:rPr>
                <w:szCs w:val="20"/>
              </w:rPr>
              <w:t>)</w:t>
            </w:r>
            <w:r w:rsidR="00843D19" w:rsidRPr="00DB11D9">
              <w:rPr>
                <w:szCs w:val="20"/>
              </w:rPr>
              <w:t xml:space="preserve"> and C</w:t>
            </w:r>
            <w:r w:rsidR="00843D19" w:rsidRPr="00DB11D9">
              <w:rPr>
                <w:szCs w:val="20"/>
                <w:vertAlign w:val="subscript"/>
              </w:rPr>
              <w:t>avg</w:t>
            </w:r>
            <w:r w:rsidR="00843D19" w:rsidRPr="00DB11D9">
              <w:rPr>
                <w:szCs w:val="20"/>
              </w:rPr>
              <w:t xml:space="preserve"> for total T following Oral TU administration were highly correlated with each other, and both correlated well with the</w:t>
            </w:r>
            <w:r w:rsidR="00843D19">
              <w:t xml:space="preserve"> concentration in the status sample collected 4-6 hours post dose.  </w:t>
            </w:r>
            <w:r w:rsidRPr="008837FB">
              <w:t>Maximum concentration (</w:t>
            </w:r>
            <w:r w:rsidR="00843D19">
              <w:t>C</w:t>
            </w:r>
            <w:r w:rsidR="00843D19" w:rsidRPr="00A7352F">
              <w:rPr>
                <w:vertAlign w:val="subscript"/>
              </w:rPr>
              <w:t>max</w:t>
            </w:r>
            <w:r>
              <w:t>)</w:t>
            </w:r>
            <w:r w:rsidR="00843D19">
              <w:t xml:space="preserve"> was approximately 2.5 x C</w:t>
            </w:r>
            <w:r w:rsidR="00843D19" w:rsidRPr="004B331A">
              <w:rPr>
                <w:vertAlign w:val="subscript"/>
              </w:rPr>
              <w:t>avg</w:t>
            </w:r>
            <w:r w:rsidR="00843D19">
              <w:t xml:space="preserve"> and approximately 2.3 x C</w:t>
            </w:r>
            <w:r w:rsidR="00843D19">
              <w:rPr>
                <w:vertAlign w:val="subscript"/>
              </w:rPr>
              <w:t>4-6</w:t>
            </w:r>
            <w:r w:rsidR="00843D19">
              <w:t>, while C</w:t>
            </w:r>
            <w:r w:rsidR="00843D19" w:rsidRPr="004B331A">
              <w:rPr>
                <w:vertAlign w:val="subscript"/>
              </w:rPr>
              <w:t>avg</w:t>
            </w:r>
            <w:r w:rsidR="00843D19">
              <w:t xml:space="preserve"> was approximately 0.87 x C</w:t>
            </w:r>
            <w:r w:rsidR="00843D19">
              <w:rPr>
                <w:vertAlign w:val="subscript"/>
              </w:rPr>
              <w:t>4-6</w:t>
            </w:r>
            <w:r w:rsidR="00843D19">
              <w:t xml:space="preserve">.  </w:t>
            </w:r>
            <w:r>
              <w:t>Time to m</w:t>
            </w:r>
            <w:r w:rsidRPr="008837FB">
              <w:t>aximum concentration (</w:t>
            </w:r>
            <w:r w:rsidR="00843D19">
              <w:t>T</w:t>
            </w:r>
            <w:r w:rsidR="00843D19" w:rsidRPr="004B331A">
              <w:rPr>
                <w:vertAlign w:val="subscript"/>
              </w:rPr>
              <w:t>max</w:t>
            </w:r>
            <w:r>
              <w:t>)</w:t>
            </w:r>
            <w:r w:rsidR="00843D19">
              <w:t xml:space="preserve"> occurred 3-6 hours post dose in approximately 75% of the subjects.</w:t>
            </w:r>
          </w:p>
          <w:p w:rsidR="00843D19" w:rsidRDefault="00843D19" w:rsidP="00843D19">
            <w:pPr>
              <w:pStyle w:val="C-TableText"/>
              <w:numPr>
                <w:ilvl w:val="0"/>
                <w:numId w:val="28"/>
              </w:numPr>
            </w:pPr>
            <w:r>
              <w:t xml:space="preserve">The </w:t>
            </w:r>
            <w:r w:rsidR="00126006">
              <w:t xml:space="preserve">pharmacokinetics </w:t>
            </w:r>
            <w:r>
              <w:t xml:space="preserve">of Oral TU were stable over an extended time period (&gt; 9 months) of chronic dosing.  Steady state exposures for the Oral TU treatment subjects did not change between Day 90 (after at least 1 month on the maintenance dose) and Day 365 (after at least 10 months on the maintenance dose). </w:t>
            </w:r>
          </w:p>
          <w:p w:rsidR="00843D19" w:rsidRDefault="00843D19" w:rsidP="00843D19">
            <w:pPr>
              <w:pStyle w:val="C-TableText"/>
              <w:numPr>
                <w:ilvl w:val="0"/>
                <w:numId w:val="28"/>
              </w:numPr>
            </w:pPr>
            <w:r>
              <w:t xml:space="preserve">The </w:t>
            </w:r>
            <w:r w:rsidR="00126006">
              <w:t xml:space="preserve">pharmacokinetics </w:t>
            </w:r>
            <w:r>
              <w:t>of total T were not dependent on age, race, ethnicity</w:t>
            </w:r>
            <w:r w:rsidR="00126006">
              <w:t>,</w:t>
            </w:r>
            <w:r>
              <w:t xml:space="preserve"> or BMI.  A trend for lower body weight to correlate with higher T exposure following Oral TU dosing, while statistically significant, was not strong enough to be a helpful tool for selecting the </w:t>
            </w:r>
            <w:r w:rsidR="00EE2E04">
              <w:t>appropriate</w:t>
            </w:r>
            <w:r>
              <w:t xml:space="preserve"> Oral TU dose.  Titration to the proper Oral TU dose is required for all therapeutic candidates. </w:t>
            </w:r>
          </w:p>
          <w:p w:rsidR="00843D19" w:rsidRDefault="00843D19" w:rsidP="00843D19">
            <w:pPr>
              <w:pStyle w:val="C-TableText"/>
              <w:numPr>
                <w:ilvl w:val="0"/>
                <w:numId w:val="28"/>
              </w:numPr>
            </w:pPr>
            <w:r>
              <w:t>The fat content of the meal can affect the T oral bioavailability from Oral TU.  On average, the PM dose of Oral TU resulted in higher systemic exposures to T than did the AM dose, possibly because of likely fat content differences between a typical evening meal as compared to breakfast.  However, nearly half of the Oral TU subjects did not have higher exposures after the PM dose, and approximately 1/3 of subjects had systemic exposures following the AM and PM doses that were within ±</w:t>
            </w:r>
            <w:r w:rsidR="00126006">
              <w:t xml:space="preserve"> </w:t>
            </w:r>
            <w:r>
              <w:t>20% of each other.  The differences in AM and PM bioavailability were not considered clinically meaningful.</w:t>
            </w:r>
          </w:p>
          <w:p w:rsidR="00843D19" w:rsidRDefault="00843D19" w:rsidP="00843D19">
            <w:pPr>
              <w:pStyle w:val="C-TableText"/>
              <w:numPr>
                <w:ilvl w:val="0"/>
                <w:numId w:val="28"/>
              </w:numPr>
            </w:pPr>
            <w:r w:rsidRPr="001D207F">
              <w:t xml:space="preserve">Overall, the </w:t>
            </w:r>
            <w:r>
              <w:t>O</w:t>
            </w:r>
            <w:r w:rsidRPr="001D207F">
              <w:t>ral TU formulation was an effective method for treating hypogonadal men, but the dose titration scheme, as employed in this study, requires adjustment in order to control both C</w:t>
            </w:r>
            <w:r w:rsidRPr="001D207F">
              <w:rPr>
                <w:vertAlign w:val="subscript"/>
              </w:rPr>
              <w:t>avg</w:t>
            </w:r>
            <w:r w:rsidRPr="001D207F">
              <w:t xml:space="preserve"> and C</w:t>
            </w:r>
            <w:r w:rsidRPr="001D207F">
              <w:rPr>
                <w:vertAlign w:val="subscript"/>
              </w:rPr>
              <w:t>max</w:t>
            </w:r>
            <w:r w:rsidRPr="001D207F">
              <w:t xml:space="preserve">. </w:t>
            </w:r>
            <w:r>
              <w:t xml:space="preserve"> </w:t>
            </w:r>
            <w:r w:rsidRPr="001D207F">
              <w:t>The C</w:t>
            </w:r>
            <w:r w:rsidRPr="001D207F">
              <w:rPr>
                <w:vertAlign w:val="subscript"/>
              </w:rPr>
              <w:t>avg</w:t>
            </w:r>
            <w:r w:rsidRPr="001D207F">
              <w:t xml:space="preserve"> observed in </w:t>
            </w:r>
            <w:r>
              <w:t>O</w:t>
            </w:r>
            <w:r w:rsidRPr="001D207F">
              <w:t>ral TU subjects was in the upper range of normal (628 ng/dL) and was closely correlated with the C</w:t>
            </w:r>
            <w:r w:rsidRPr="001D207F">
              <w:rPr>
                <w:vertAlign w:val="subscript"/>
              </w:rPr>
              <w:t>max</w:t>
            </w:r>
            <w:r w:rsidRPr="001D207F">
              <w:t>.  Thus, there is a high probability that a revised dose titration scheme can achieve a T C</w:t>
            </w:r>
            <w:r w:rsidRPr="001D207F">
              <w:rPr>
                <w:vertAlign w:val="subscript"/>
              </w:rPr>
              <w:t>avg</w:t>
            </w:r>
            <w:r w:rsidRPr="001D207F">
              <w:t xml:space="preserve"> still in the normal range, but with lower C</w:t>
            </w:r>
            <w:r w:rsidRPr="001D207F">
              <w:rPr>
                <w:vertAlign w:val="subscript"/>
              </w:rPr>
              <w:t>max</w:t>
            </w:r>
            <w:r w:rsidRPr="001D207F">
              <w:t xml:space="preserve"> values.</w:t>
            </w:r>
          </w:p>
          <w:p w:rsidR="00843D19" w:rsidRPr="002D4285" w:rsidRDefault="00843D19" w:rsidP="00843D19">
            <w:pPr>
              <w:pStyle w:val="C-TableText"/>
              <w:ind w:left="720"/>
            </w:pPr>
          </w:p>
        </w:tc>
      </w:tr>
      <w:tr w:rsidR="001F4B1B" w:rsidRPr="00E677BD" w:rsidTr="00E75720">
        <w:tc>
          <w:tcPr>
            <w:tcW w:w="9000" w:type="dxa"/>
            <w:tcBorders>
              <w:top w:val="single" w:sz="6" w:space="0" w:color="auto"/>
              <w:left w:val="single" w:sz="6" w:space="0" w:color="auto"/>
              <w:bottom w:val="single" w:sz="6" w:space="0" w:color="auto"/>
              <w:right w:val="single" w:sz="6" w:space="0" w:color="auto"/>
            </w:tcBorders>
          </w:tcPr>
          <w:p w:rsidR="001F4B1B" w:rsidRPr="00CC1007" w:rsidRDefault="001F4B1B" w:rsidP="00EA372F">
            <w:pPr>
              <w:pStyle w:val="C-TableText"/>
              <w:keepNext/>
              <w:rPr>
                <w:u w:val="single"/>
              </w:rPr>
            </w:pPr>
            <w:r w:rsidRPr="00CC1007">
              <w:rPr>
                <w:b/>
                <w:u w:val="single"/>
              </w:rPr>
              <w:lastRenderedPageBreak/>
              <w:t>Safety Results</w:t>
            </w:r>
            <w:r w:rsidRPr="00CC1007">
              <w:rPr>
                <w:u w:val="single"/>
              </w:rPr>
              <w:t xml:space="preserve"> </w:t>
            </w:r>
          </w:p>
          <w:p w:rsidR="001F4B1B" w:rsidRPr="0031280B" w:rsidRDefault="00FA5F51" w:rsidP="00506CC1">
            <w:pPr>
              <w:pStyle w:val="C-TableText"/>
              <w:rPr>
                <w:u w:val="single"/>
              </w:rPr>
            </w:pPr>
            <w:r w:rsidRPr="0031280B">
              <w:rPr>
                <w:u w:val="single"/>
              </w:rPr>
              <w:t>Extent of Exposure</w:t>
            </w:r>
          </w:p>
          <w:p w:rsidR="0029780D" w:rsidRDefault="00533F62" w:rsidP="00506CC1">
            <w:pPr>
              <w:pStyle w:val="C-TableText"/>
            </w:pPr>
            <w:r w:rsidRPr="0031280B">
              <w:t>The mean (S</w:t>
            </w:r>
            <w:r w:rsidR="00F80611" w:rsidRPr="0031280B">
              <w:t>td</w:t>
            </w:r>
            <w:r w:rsidRPr="0031280B">
              <w:t>) total time</w:t>
            </w:r>
            <w:r w:rsidR="00126006">
              <w:t>s</w:t>
            </w:r>
            <w:r w:rsidRPr="0031280B">
              <w:t xml:space="preserve"> of exposure in days for the </w:t>
            </w:r>
            <w:r w:rsidR="008E5289" w:rsidRPr="0031280B">
              <w:t>Oral TU</w:t>
            </w:r>
            <w:r w:rsidRPr="0031280B">
              <w:t xml:space="preserve"> and transdermal T-gel group were 321.74 </w:t>
            </w:r>
            <w:r w:rsidR="00126006">
              <w:t xml:space="preserve">days </w:t>
            </w:r>
            <w:r w:rsidRPr="0031280B">
              <w:t xml:space="preserve">(99.476) and 333.61 </w:t>
            </w:r>
            <w:r w:rsidR="00126006">
              <w:t xml:space="preserve">days </w:t>
            </w:r>
            <w:r w:rsidRPr="0031280B">
              <w:t xml:space="preserve">(86.321), respectively.  </w:t>
            </w:r>
          </w:p>
          <w:p w:rsidR="000604AD" w:rsidRPr="0031280B" w:rsidRDefault="000604AD" w:rsidP="00506CC1">
            <w:pPr>
              <w:pStyle w:val="C-TableText"/>
            </w:pPr>
          </w:p>
          <w:p w:rsidR="00533F62" w:rsidRPr="0031280B" w:rsidRDefault="00175D05" w:rsidP="00506CC1">
            <w:pPr>
              <w:pStyle w:val="C-TableText"/>
              <w:rPr>
                <w:u w:val="single"/>
              </w:rPr>
            </w:pPr>
            <w:r w:rsidRPr="0031280B">
              <w:rPr>
                <w:u w:val="single"/>
              </w:rPr>
              <w:t>Summary of Treatment-Emergent Adverse Events</w:t>
            </w:r>
          </w:p>
          <w:p w:rsidR="00EB62A3" w:rsidRPr="00D53751" w:rsidRDefault="00EB62A3" w:rsidP="00506CC1">
            <w:pPr>
              <w:pStyle w:val="C-TableText"/>
            </w:pPr>
            <w:r w:rsidRPr="0031280B">
              <w:t xml:space="preserve">A </w:t>
            </w:r>
            <w:r w:rsidRPr="00D53751">
              <w:t>total of 2</w:t>
            </w:r>
            <w:r w:rsidR="00B61192" w:rsidRPr="00D53751">
              <w:t>10</w:t>
            </w:r>
            <w:r w:rsidRPr="00D53751">
              <w:t xml:space="preserve"> subjects (6</w:t>
            </w:r>
            <w:r w:rsidR="00B61192" w:rsidRPr="00D53751">
              <w:t>5</w:t>
            </w:r>
            <w:r w:rsidRPr="00D53751">
              <w:t>.</w:t>
            </w:r>
            <w:r w:rsidR="00B61192" w:rsidRPr="00D53751">
              <w:t>4</w:t>
            </w:r>
            <w:r w:rsidRPr="00D53751">
              <w:t xml:space="preserve">%) had at least one TEAE.  The incidence of TEAEs was similar </w:t>
            </w:r>
            <w:r w:rsidR="008E4F8E" w:rsidRPr="00D53751">
              <w:t>between</w:t>
            </w:r>
            <w:r w:rsidRPr="00D53751">
              <w:t xml:space="preserve"> the transdermal T-gel (6</w:t>
            </w:r>
            <w:r w:rsidR="00B61192" w:rsidRPr="00D53751">
              <w:t>2</w:t>
            </w:r>
            <w:r w:rsidRPr="00D53751">
              <w:t>.</w:t>
            </w:r>
            <w:r w:rsidR="00B61192" w:rsidRPr="00D53751">
              <w:t>5</w:t>
            </w:r>
            <w:r w:rsidRPr="00D53751">
              <w:t xml:space="preserve">%, </w:t>
            </w:r>
            <w:r w:rsidR="00B61192" w:rsidRPr="00D53751">
              <w:t>100</w:t>
            </w:r>
            <w:r w:rsidRPr="00D53751">
              <w:t>/160 subjects) and Oral TU (6</w:t>
            </w:r>
            <w:r w:rsidR="00B61192" w:rsidRPr="00D53751">
              <w:t>8</w:t>
            </w:r>
            <w:r w:rsidRPr="00D53751">
              <w:t>.</w:t>
            </w:r>
            <w:r w:rsidR="00B61192" w:rsidRPr="00D53751">
              <w:t>3</w:t>
            </w:r>
            <w:r w:rsidRPr="00D53751">
              <w:t>%, 1</w:t>
            </w:r>
            <w:r w:rsidR="00B61192" w:rsidRPr="00D53751">
              <w:t>10</w:t>
            </w:r>
            <w:r w:rsidRPr="00D53751">
              <w:t>/161 subjects)</w:t>
            </w:r>
            <w:r w:rsidR="00126006">
              <w:t xml:space="preserve"> groups</w:t>
            </w:r>
            <w:r w:rsidRPr="00D53751">
              <w:t xml:space="preserve">.  In total, 17 subjects (5.3%) had a serious TEAE.  A total of 13 subjects (4.0%) had a TEAE that led to study </w:t>
            </w:r>
            <w:r w:rsidR="00126006">
              <w:t xml:space="preserve">drug </w:t>
            </w:r>
            <w:r w:rsidRPr="00D53751">
              <w:t>discontinuation; 8 subjects (5.0%) in the Oral TU group and 5 subjects (3.1%) in the transdermal T-gel group.  There were no reported TEAEs that led to death in either treatment group.</w:t>
            </w:r>
          </w:p>
          <w:p w:rsidR="00EB62A3" w:rsidRPr="00D53751" w:rsidRDefault="00EB62A3" w:rsidP="00506CC1">
            <w:pPr>
              <w:pStyle w:val="C-TableText"/>
            </w:pPr>
          </w:p>
          <w:p w:rsidR="00175D05" w:rsidRPr="00D53751" w:rsidRDefault="00175D05" w:rsidP="00506CC1">
            <w:pPr>
              <w:pStyle w:val="C-TableText"/>
            </w:pPr>
            <w:r w:rsidRPr="00D53751">
              <w:t xml:space="preserve">The most frequently reported classes of TEAEs for all </w:t>
            </w:r>
            <w:r w:rsidR="008E5289" w:rsidRPr="00D53751">
              <w:t>subjects</w:t>
            </w:r>
            <w:r w:rsidRPr="00D53751">
              <w:t xml:space="preserve"> were infections and infestations (2</w:t>
            </w:r>
            <w:r w:rsidR="00B61192" w:rsidRPr="00D53751">
              <w:t>2</w:t>
            </w:r>
            <w:r w:rsidRPr="00D53751">
              <w:t>.</w:t>
            </w:r>
            <w:r w:rsidR="00B61192" w:rsidRPr="00D53751">
              <w:t>1</w:t>
            </w:r>
            <w:r w:rsidRPr="00D53751">
              <w:t xml:space="preserve">%), gastrointestinal disorders (13.7%), reproductive system and breast disorders (10.9%), </w:t>
            </w:r>
            <w:r w:rsidR="00126006" w:rsidRPr="00D53751">
              <w:t>musculoskeletal and connective tissue disorders (10.6%)</w:t>
            </w:r>
            <w:r w:rsidR="00126006">
              <w:t xml:space="preserve">, and </w:t>
            </w:r>
            <w:r w:rsidRPr="00D53751">
              <w:t xml:space="preserve">investigations (10.3%).  The most frequently reported TEAEs across </w:t>
            </w:r>
            <w:r w:rsidR="00C712E4" w:rsidRPr="00D53751">
              <w:t xml:space="preserve">treatment groups </w:t>
            </w:r>
            <w:r w:rsidRPr="00D53751">
              <w:t>were polycythaemia (5.9%), hypertension (5.3%), nasopharyngitis (5.</w:t>
            </w:r>
            <w:r w:rsidR="00B61192" w:rsidRPr="00D53751">
              <w:t>3</w:t>
            </w:r>
            <w:r w:rsidRPr="00D53751">
              <w:t xml:space="preserve">%), and upper respiratory tract infection (4.7%). </w:t>
            </w:r>
          </w:p>
          <w:p w:rsidR="00C712E4" w:rsidRPr="00D53751" w:rsidRDefault="00C712E4" w:rsidP="00506CC1">
            <w:pPr>
              <w:pStyle w:val="C-TableText"/>
            </w:pPr>
          </w:p>
          <w:p w:rsidR="00EB62A3" w:rsidRPr="0031280B" w:rsidRDefault="00682E26" w:rsidP="00506CC1">
            <w:pPr>
              <w:pStyle w:val="C-TableText"/>
            </w:pPr>
            <w:r w:rsidRPr="00D53751">
              <w:t>The incidence of polycythaemia was higher in the Oral TU group (8.1%, 13/161) than the transdermal T-gel group (3.8%, 6/160).  The incidences of several gastrointestinal disorder AEs were higher with Oral TU than transdermal T-gel namely, diarrhea (5.6%, 9/161vs. 1.9%, 3/160), abdominal discomfort (3.1%, 5/161 vs. none)</w:t>
            </w:r>
            <w:r w:rsidR="00F70C26">
              <w:t>,</w:t>
            </w:r>
            <w:r w:rsidRPr="00D53751">
              <w:t xml:space="preserve"> and eructation (2.5%, 4/161 vs. none).  The incidence of nausea was the same in both groups at 2.5%</w:t>
            </w:r>
            <w:r w:rsidR="00B61192" w:rsidRPr="00D53751">
              <w:t xml:space="preserve"> (4/161 Oral TU; 4/160 transdermal T-gel)</w:t>
            </w:r>
            <w:r w:rsidRPr="00D53751">
              <w:t xml:space="preserve">.  The incidence of peripheral edema was also higher in the oral TU group than the transdermal T-gel group (5.6%, 9/161 vs. 1.3%, 2/160).  Although the incidence of TEAE in the </w:t>
            </w:r>
            <w:r w:rsidR="00B61192" w:rsidRPr="00D53751">
              <w:t>i</w:t>
            </w:r>
            <w:r w:rsidRPr="00D53751">
              <w:t xml:space="preserve">nfections and </w:t>
            </w:r>
            <w:r w:rsidR="00B61192" w:rsidRPr="00D53751">
              <w:t>i</w:t>
            </w:r>
            <w:r w:rsidRPr="00D53751">
              <w:t>nfestations system organ class was similar between O</w:t>
            </w:r>
            <w:r w:rsidR="00B61192" w:rsidRPr="00D53751">
              <w:t>ral TU and transdermal T-gel (24</w:t>
            </w:r>
            <w:r w:rsidRPr="00D53751">
              <w:t>.</w:t>
            </w:r>
            <w:r w:rsidR="00B61192" w:rsidRPr="00D53751">
              <w:t>2</w:t>
            </w:r>
            <w:r w:rsidRPr="00D53751">
              <w:t>%, 3</w:t>
            </w:r>
            <w:r w:rsidR="00B61192" w:rsidRPr="00D53751">
              <w:t>9</w:t>
            </w:r>
            <w:r w:rsidRPr="00D53751">
              <w:t>/161 vs. 20%, 32/160), the incidence of upper respiratory tract infection was somewhat higher in the Oral TU (6.8%, 11/161) group than the transdermal T-gel (2.5%, 4/160) group.  Acne and hypertension incidences were more common in the transdermal T-gel group than</w:t>
            </w:r>
            <w:r w:rsidRPr="0031280B">
              <w:t xml:space="preserve"> the Oral TU group, with the incidences of acne being 2.5% (4/160) and 0.6% (1/161), respectively</w:t>
            </w:r>
            <w:r w:rsidR="00F70C26">
              <w:t>,</w:t>
            </w:r>
            <w:r w:rsidRPr="0031280B">
              <w:t xml:space="preserve"> and the incidences of hypertension being 6.9% (11/160) and 3.7% ( 6/161), respectively.  The incidence of prostatomegaly was similar between the two groups (Oral TU = 5.6%, 9/161; transdermal T-gel = 3.1%, 5/160).</w:t>
            </w:r>
          </w:p>
          <w:p w:rsidR="00682E26" w:rsidRPr="0031280B" w:rsidRDefault="00682E26" w:rsidP="00506CC1">
            <w:pPr>
              <w:pStyle w:val="C-TableText"/>
            </w:pPr>
          </w:p>
          <w:p w:rsidR="006B32E5" w:rsidRPr="0031280B" w:rsidRDefault="00DB7266" w:rsidP="00506CC1">
            <w:pPr>
              <w:pStyle w:val="C-TableText"/>
              <w:rPr>
                <w:color w:val="000000"/>
              </w:rPr>
            </w:pPr>
            <w:r w:rsidRPr="0031280B">
              <w:rPr>
                <w:color w:val="000000"/>
              </w:rPr>
              <w:t>Treatment emergent adverse events were also analyzed by system organ class, preferred term, treatment group</w:t>
            </w:r>
            <w:r w:rsidR="00F70C26">
              <w:rPr>
                <w:color w:val="000000"/>
              </w:rPr>
              <w:t>,</w:t>
            </w:r>
            <w:r w:rsidRPr="0031280B">
              <w:rPr>
                <w:color w:val="000000"/>
              </w:rPr>
              <w:t xml:space="preserve"> and serum T C</w:t>
            </w:r>
            <w:r w:rsidRPr="0031280B">
              <w:rPr>
                <w:color w:val="000000"/>
                <w:vertAlign w:val="subscript"/>
              </w:rPr>
              <w:t>max</w:t>
            </w:r>
            <w:r w:rsidRPr="0031280B">
              <w:rPr>
                <w:color w:val="000000"/>
              </w:rPr>
              <w:t xml:space="preserve"> levels in order to determine </w:t>
            </w:r>
            <w:r w:rsidR="000604AD">
              <w:rPr>
                <w:color w:val="000000"/>
              </w:rPr>
              <w:t xml:space="preserve">whether the TEAE was more frequently associated with an elevated </w:t>
            </w:r>
            <w:r w:rsidR="00AD4FAF" w:rsidRPr="0031280B">
              <w:rPr>
                <w:color w:val="000000"/>
              </w:rPr>
              <w:t>C</w:t>
            </w:r>
            <w:r w:rsidR="00AD4FAF" w:rsidRPr="0031280B">
              <w:rPr>
                <w:color w:val="000000"/>
                <w:vertAlign w:val="subscript"/>
              </w:rPr>
              <w:t>max</w:t>
            </w:r>
            <w:r w:rsidR="00AD4FAF">
              <w:rPr>
                <w:color w:val="000000"/>
              </w:rPr>
              <w:t xml:space="preserve"> level</w:t>
            </w:r>
            <w:r w:rsidRPr="0031280B">
              <w:rPr>
                <w:color w:val="000000"/>
              </w:rPr>
              <w:t xml:space="preserve">.  </w:t>
            </w:r>
            <w:r w:rsidR="00AD4FAF" w:rsidRPr="00561FB1">
              <w:rPr>
                <w:color w:val="000000"/>
              </w:rPr>
              <w:t>For all analyses, for Visits 2, 4, and 7, the C</w:t>
            </w:r>
            <w:r w:rsidR="00AD4FAF" w:rsidRPr="00561FB1">
              <w:rPr>
                <w:color w:val="000000"/>
                <w:vertAlign w:val="subscript"/>
              </w:rPr>
              <w:t>max</w:t>
            </w:r>
            <w:r w:rsidR="00AD4FAF" w:rsidRPr="00561FB1">
              <w:rPr>
                <w:color w:val="000000"/>
              </w:rPr>
              <w:t xml:space="preserve"> was based on the 12- or 24</w:t>
            </w:r>
            <w:r w:rsidR="00AD4FAF">
              <w:rPr>
                <w:color w:val="000000"/>
              </w:rPr>
              <w:t>-</w:t>
            </w:r>
            <w:r w:rsidR="00AD4FAF" w:rsidRPr="00561FB1">
              <w:rPr>
                <w:color w:val="000000"/>
              </w:rPr>
              <w:t>hr PK assessment performed during the visit, but for Visits 5 and 6</w:t>
            </w:r>
            <w:r w:rsidR="00AD4FAF">
              <w:rPr>
                <w:color w:val="000000"/>
              </w:rPr>
              <w:t>,</w:t>
            </w:r>
            <w:r w:rsidR="00AD4FAF" w:rsidRPr="00561FB1">
              <w:rPr>
                <w:color w:val="000000"/>
              </w:rPr>
              <w:t xml:space="preserve"> the C</w:t>
            </w:r>
            <w:r w:rsidR="00AD4FAF" w:rsidRPr="00561FB1">
              <w:rPr>
                <w:color w:val="000000"/>
                <w:vertAlign w:val="subscript"/>
              </w:rPr>
              <w:t>max</w:t>
            </w:r>
            <w:r w:rsidR="00AD4FAF" w:rsidRPr="00561FB1">
              <w:rPr>
                <w:color w:val="000000"/>
              </w:rPr>
              <w:t xml:space="preserve"> category was estimated based on the measured C</w:t>
            </w:r>
            <w:r w:rsidR="00AD4FAF" w:rsidRPr="00C8337D">
              <w:rPr>
                <w:color w:val="000000"/>
                <w:vertAlign w:val="subscript"/>
              </w:rPr>
              <w:t>4-6</w:t>
            </w:r>
            <w:r w:rsidR="00AD4FAF">
              <w:rPr>
                <w:color w:val="000000"/>
              </w:rPr>
              <w:t xml:space="preserve"> value.  </w:t>
            </w:r>
            <w:r w:rsidR="006B32E5" w:rsidRPr="0031280B">
              <w:rPr>
                <w:color w:val="000000"/>
              </w:rPr>
              <w:t>It is important to note that when a subject had more than one AE of the same type, that count was added to the high C</w:t>
            </w:r>
            <w:r w:rsidR="00B60959" w:rsidRPr="00B60959">
              <w:rPr>
                <w:color w:val="000000"/>
                <w:vertAlign w:val="subscript"/>
              </w:rPr>
              <w:t>max</w:t>
            </w:r>
            <w:r w:rsidR="006B32E5" w:rsidRPr="0031280B">
              <w:rPr>
                <w:color w:val="000000"/>
              </w:rPr>
              <w:t xml:space="preserve"> box.  For AEs which occurred repeatedly in an individual, this could create the impression that the AE was frequently associated with a high C</w:t>
            </w:r>
            <w:r w:rsidR="00B60959" w:rsidRPr="00B60959">
              <w:rPr>
                <w:color w:val="000000"/>
                <w:vertAlign w:val="subscript"/>
              </w:rPr>
              <w:t>max</w:t>
            </w:r>
            <w:r w:rsidR="006B32E5" w:rsidRPr="0031280B">
              <w:rPr>
                <w:color w:val="000000"/>
              </w:rPr>
              <w:t>.</w:t>
            </w:r>
            <w:r w:rsidR="00960FB4">
              <w:rPr>
                <w:color w:val="000000"/>
              </w:rPr>
              <w:t xml:space="preserve">  C</w:t>
            </w:r>
            <w:r w:rsidR="00960FB4" w:rsidRPr="00A87A26">
              <w:rPr>
                <w:color w:val="000000"/>
                <w:vertAlign w:val="subscript"/>
              </w:rPr>
              <w:t>max</w:t>
            </w:r>
            <w:r w:rsidR="00960FB4">
              <w:rPr>
                <w:color w:val="000000"/>
              </w:rPr>
              <w:t xml:space="preserve"> also correlates with C</w:t>
            </w:r>
            <w:r w:rsidR="00960FB4">
              <w:rPr>
                <w:color w:val="000000"/>
                <w:vertAlign w:val="subscript"/>
              </w:rPr>
              <w:t>avg</w:t>
            </w:r>
            <w:r w:rsidR="00960FB4">
              <w:rPr>
                <w:color w:val="000000"/>
              </w:rPr>
              <w:t>, so associations with high C</w:t>
            </w:r>
            <w:r w:rsidR="00960FB4" w:rsidRPr="008612E6">
              <w:rPr>
                <w:color w:val="000000"/>
                <w:vertAlign w:val="subscript"/>
              </w:rPr>
              <w:t>max</w:t>
            </w:r>
            <w:r w:rsidR="00960FB4">
              <w:rPr>
                <w:color w:val="000000"/>
              </w:rPr>
              <w:t xml:space="preserve"> may just reflect associations with high T exposure.</w:t>
            </w:r>
          </w:p>
          <w:p w:rsidR="006B32E5" w:rsidRPr="0031280B" w:rsidRDefault="006B32E5" w:rsidP="00506CC1">
            <w:pPr>
              <w:pStyle w:val="C-TableText"/>
              <w:rPr>
                <w:color w:val="000000"/>
              </w:rPr>
            </w:pPr>
          </w:p>
          <w:p w:rsidR="00533F62" w:rsidRDefault="00DB7266" w:rsidP="00506CC1">
            <w:pPr>
              <w:pStyle w:val="C-TableText"/>
              <w:rPr>
                <w:color w:val="000000"/>
              </w:rPr>
            </w:pPr>
            <w:r w:rsidRPr="0031280B">
              <w:rPr>
                <w:color w:val="000000"/>
              </w:rPr>
              <w:t>A total of 50 subjects (</w:t>
            </w:r>
            <w:r w:rsidRPr="00D53751">
              <w:rPr>
                <w:color w:val="000000"/>
              </w:rPr>
              <w:t>45.</w:t>
            </w:r>
            <w:r w:rsidR="00B61192" w:rsidRPr="00D53751">
              <w:rPr>
                <w:color w:val="000000"/>
              </w:rPr>
              <w:t xml:space="preserve">5 </w:t>
            </w:r>
            <w:r w:rsidRPr="00D53751">
              <w:rPr>
                <w:color w:val="000000"/>
              </w:rPr>
              <w:t>%)</w:t>
            </w:r>
            <w:r w:rsidRPr="0031280B">
              <w:rPr>
                <w:color w:val="000000"/>
              </w:rPr>
              <w:t xml:space="preserve"> in the </w:t>
            </w:r>
            <w:r w:rsidR="008E5289" w:rsidRPr="0031280B">
              <w:rPr>
                <w:color w:val="000000"/>
              </w:rPr>
              <w:t>Oral TU</w:t>
            </w:r>
            <w:r w:rsidRPr="0031280B">
              <w:rPr>
                <w:color w:val="000000"/>
              </w:rPr>
              <w:t xml:space="preserve"> group and 14 </w:t>
            </w:r>
            <w:r w:rsidRPr="00D53751">
              <w:rPr>
                <w:color w:val="000000"/>
              </w:rPr>
              <w:t>subjec</w:t>
            </w:r>
            <w:r w:rsidR="00A119E8" w:rsidRPr="00D53751">
              <w:rPr>
                <w:color w:val="000000"/>
              </w:rPr>
              <w:t>ts (14.</w:t>
            </w:r>
            <w:r w:rsidR="00B61192" w:rsidRPr="00D53751">
              <w:rPr>
                <w:color w:val="000000"/>
              </w:rPr>
              <w:t>0</w:t>
            </w:r>
            <w:r w:rsidR="00A119E8" w:rsidRPr="00D53751">
              <w:rPr>
                <w:color w:val="000000"/>
              </w:rPr>
              <w:t>%)</w:t>
            </w:r>
            <w:r w:rsidR="00A119E8" w:rsidRPr="0031280B">
              <w:rPr>
                <w:color w:val="000000"/>
              </w:rPr>
              <w:t xml:space="preserve"> in the transdermal T-</w:t>
            </w:r>
            <w:r w:rsidRPr="0031280B">
              <w:rPr>
                <w:color w:val="000000"/>
              </w:rPr>
              <w:t>gel group had C</w:t>
            </w:r>
            <w:r w:rsidRPr="0031280B">
              <w:rPr>
                <w:color w:val="000000"/>
                <w:vertAlign w:val="subscript"/>
              </w:rPr>
              <w:t xml:space="preserve">max </w:t>
            </w:r>
            <w:r w:rsidRPr="0031280B">
              <w:rPr>
                <w:color w:val="000000"/>
              </w:rPr>
              <w:t xml:space="preserve">values &gt; 1500 ng/dL.  Out of 13 total subjects who experienced polycythaemia in the </w:t>
            </w:r>
            <w:r w:rsidR="008E5289" w:rsidRPr="0031280B">
              <w:rPr>
                <w:color w:val="000000"/>
              </w:rPr>
              <w:t>Oral TU</w:t>
            </w:r>
            <w:r w:rsidRPr="0031280B">
              <w:rPr>
                <w:color w:val="000000"/>
              </w:rPr>
              <w:t xml:space="preserve"> group, 6 subjects (46.2%) had C</w:t>
            </w:r>
            <w:r w:rsidRPr="0031280B">
              <w:rPr>
                <w:color w:val="000000"/>
                <w:vertAlign w:val="subscript"/>
              </w:rPr>
              <w:t xml:space="preserve">max </w:t>
            </w:r>
            <w:r w:rsidRPr="0031280B">
              <w:rPr>
                <w:color w:val="000000"/>
              </w:rPr>
              <w:t xml:space="preserve">values &gt; 1500 ng/dL while only 1 subject (16.7%) in the transdermal </w:t>
            </w:r>
            <w:r w:rsidR="00371475" w:rsidRPr="0031280B">
              <w:rPr>
                <w:color w:val="000000"/>
              </w:rPr>
              <w:br/>
            </w:r>
            <w:r w:rsidRPr="0031280B">
              <w:rPr>
                <w:color w:val="000000"/>
              </w:rPr>
              <w:t>T-gel group had a C</w:t>
            </w:r>
            <w:r w:rsidRPr="0031280B">
              <w:rPr>
                <w:color w:val="000000"/>
                <w:vertAlign w:val="subscript"/>
              </w:rPr>
              <w:t xml:space="preserve">max </w:t>
            </w:r>
            <w:r w:rsidRPr="0031280B">
              <w:rPr>
                <w:color w:val="000000"/>
              </w:rPr>
              <w:t>value &gt;</w:t>
            </w:r>
            <w:r w:rsidR="009561A1" w:rsidRPr="0031280B">
              <w:rPr>
                <w:color w:val="000000"/>
              </w:rPr>
              <w:t xml:space="preserve"> 1500 ng/dL</w:t>
            </w:r>
            <w:r w:rsidRPr="0031280B">
              <w:rPr>
                <w:color w:val="000000"/>
              </w:rPr>
              <w:t xml:space="preserve">.  Several TEAEs in the gastrointestinal disorder class for the </w:t>
            </w:r>
            <w:r w:rsidR="008E5289" w:rsidRPr="0031280B">
              <w:rPr>
                <w:color w:val="000000"/>
              </w:rPr>
              <w:t>Oral TU</w:t>
            </w:r>
            <w:r w:rsidRPr="0031280B">
              <w:rPr>
                <w:color w:val="000000"/>
              </w:rPr>
              <w:t xml:space="preserve"> group occurred at a frequency of greater than 50% in subjects whose C</w:t>
            </w:r>
            <w:r w:rsidRPr="0031280B">
              <w:rPr>
                <w:color w:val="000000"/>
                <w:vertAlign w:val="subscript"/>
              </w:rPr>
              <w:t xml:space="preserve">max </w:t>
            </w:r>
            <w:r w:rsidRPr="0031280B">
              <w:rPr>
                <w:color w:val="000000"/>
              </w:rPr>
              <w:t>value was &gt; 1500 ng/dL.  These included abdominal discomfort (80.0%</w:t>
            </w:r>
            <w:r w:rsidR="00B55A0F">
              <w:rPr>
                <w:color w:val="000000"/>
              </w:rPr>
              <w:t>, 4/5</w:t>
            </w:r>
            <w:r w:rsidRPr="0031280B">
              <w:rPr>
                <w:color w:val="000000"/>
              </w:rPr>
              <w:t>), diarrhea (55.6%</w:t>
            </w:r>
            <w:r w:rsidR="00B55A0F">
              <w:rPr>
                <w:color w:val="000000"/>
              </w:rPr>
              <w:t>, 5/9</w:t>
            </w:r>
            <w:r w:rsidRPr="0031280B">
              <w:rPr>
                <w:color w:val="000000"/>
              </w:rPr>
              <w:t>), and eructation (50.0%</w:t>
            </w:r>
            <w:r w:rsidR="00B55A0F">
              <w:rPr>
                <w:color w:val="000000"/>
              </w:rPr>
              <w:t>, 2/4</w:t>
            </w:r>
            <w:r w:rsidRPr="0031280B">
              <w:rPr>
                <w:color w:val="000000"/>
              </w:rPr>
              <w:t xml:space="preserve">).  </w:t>
            </w:r>
            <w:r w:rsidR="006B32E5" w:rsidRPr="0031280B">
              <w:rPr>
                <w:color w:val="000000"/>
              </w:rPr>
              <w:t xml:space="preserve">No subjects in the transdermal </w:t>
            </w:r>
            <w:r w:rsidR="009561A1" w:rsidRPr="0031280B">
              <w:rPr>
                <w:color w:val="000000"/>
              </w:rPr>
              <w:t>T-gel group experienced abdominal discomfort or eructation and for the three subjects in the transderma</w:t>
            </w:r>
            <w:r w:rsidR="00F83EAA" w:rsidRPr="0031280B">
              <w:rPr>
                <w:color w:val="000000"/>
              </w:rPr>
              <w:t xml:space="preserve">l T-gel group that experienced </w:t>
            </w:r>
            <w:r w:rsidR="009561A1" w:rsidRPr="0031280B">
              <w:rPr>
                <w:color w:val="000000"/>
              </w:rPr>
              <w:t>diarrhea, none had a C</w:t>
            </w:r>
            <w:r w:rsidR="009561A1" w:rsidRPr="0031280B">
              <w:rPr>
                <w:color w:val="000000"/>
                <w:vertAlign w:val="subscript"/>
              </w:rPr>
              <w:t xml:space="preserve">max </w:t>
            </w:r>
            <w:r w:rsidR="009561A1" w:rsidRPr="0031280B">
              <w:rPr>
                <w:color w:val="000000"/>
              </w:rPr>
              <w:t xml:space="preserve">value that was </w:t>
            </w:r>
            <w:r w:rsidR="00C55F18">
              <w:rPr>
                <w:color w:val="000000"/>
              </w:rPr>
              <w:br/>
            </w:r>
            <w:r w:rsidR="009561A1" w:rsidRPr="0031280B">
              <w:rPr>
                <w:color w:val="000000"/>
              </w:rPr>
              <w:t xml:space="preserve">&gt; 1500 ng/dL.  </w:t>
            </w:r>
            <w:r w:rsidRPr="0031280B">
              <w:rPr>
                <w:color w:val="000000"/>
              </w:rPr>
              <w:t xml:space="preserve">Prostatomegaly occurred at a higher frequency in the </w:t>
            </w:r>
            <w:r w:rsidR="008E5289" w:rsidRPr="0031280B">
              <w:rPr>
                <w:color w:val="000000"/>
              </w:rPr>
              <w:t>Oral TU</w:t>
            </w:r>
            <w:r w:rsidRPr="0031280B">
              <w:rPr>
                <w:color w:val="000000"/>
              </w:rPr>
              <w:t xml:space="preserve"> group compared </w:t>
            </w:r>
            <w:r w:rsidR="00E12E5F">
              <w:rPr>
                <w:color w:val="000000"/>
              </w:rPr>
              <w:t>with</w:t>
            </w:r>
            <w:r w:rsidR="00E12E5F" w:rsidRPr="0031280B">
              <w:rPr>
                <w:color w:val="000000"/>
              </w:rPr>
              <w:t xml:space="preserve"> </w:t>
            </w:r>
            <w:r w:rsidRPr="0031280B">
              <w:rPr>
                <w:color w:val="000000"/>
              </w:rPr>
              <w:t>the transdermal T-gel group, for subjects whose C</w:t>
            </w:r>
            <w:r w:rsidRPr="0031280B">
              <w:rPr>
                <w:color w:val="000000"/>
                <w:vertAlign w:val="subscript"/>
              </w:rPr>
              <w:t xml:space="preserve">max </w:t>
            </w:r>
            <w:r w:rsidRPr="0031280B">
              <w:rPr>
                <w:color w:val="000000"/>
              </w:rPr>
              <w:t>value was &gt; 1500 ng/dL (66.7%</w:t>
            </w:r>
            <w:r w:rsidR="00B55A0F">
              <w:rPr>
                <w:color w:val="000000"/>
              </w:rPr>
              <w:t>, 6/9</w:t>
            </w:r>
            <w:r w:rsidRPr="0031280B">
              <w:rPr>
                <w:color w:val="000000"/>
              </w:rPr>
              <w:t xml:space="preserve"> </w:t>
            </w:r>
            <w:r w:rsidR="00E12E5F">
              <w:rPr>
                <w:color w:val="000000"/>
              </w:rPr>
              <w:t>vs.</w:t>
            </w:r>
            <w:r w:rsidR="00E12E5F" w:rsidRPr="0031280B">
              <w:rPr>
                <w:color w:val="000000"/>
              </w:rPr>
              <w:t xml:space="preserve"> </w:t>
            </w:r>
            <w:r w:rsidRPr="0031280B">
              <w:rPr>
                <w:color w:val="000000"/>
              </w:rPr>
              <w:t xml:space="preserve">20.0%, </w:t>
            </w:r>
            <w:r w:rsidR="00B55A0F">
              <w:rPr>
                <w:color w:val="000000"/>
              </w:rPr>
              <w:t>1/5</w:t>
            </w:r>
            <w:r w:rsidR="00E12E5F">
              <w:rPr>
                <w:color w:val="000000"/>
              </w:rPr>
              <w:t>,</w:t>
            </w:r>
            <w:r w:rsidR="00B55A0F">
              <w:rPr>
                <w:color w:val="000000"/>
              </w:rPr>
              <w:t xml:space="preserve"> </w:t>
            </w:r>
            <w:r w:rsidRPr="0031280B">
              <w:rPr>
                <w:color w:val="000000"/>
              </w:rPr>
              <w:t>respectively).  In contrast, for subjects whose C</w:t>
            </w:r>
            <w:r w:rsidRPr="0031280B">
              <w:rPr>
                <w:color w:val="000000"/>
                <w:vertAlign w:val="subscript"/>
              </w:rPr>
              <w:t xml:space="preserve">max </w:t>
            </w:r>
            <w:r w:rsidRPr="0031280B">
              <w:rPr>
                <w:color w:val="000000"/>
              </w:rPr>
              <w:t xml:space="preserve">value was &gt; 1500 ng/dL, hypertension occurred more frequently in the transdermal T-gel group compared </w:t>
            </w:r>
            <w:r w:rsidR="00E12E5F">
              <w:rPr>
                <w:color w:val="000000"/>
              </w:rPr>
              <w:t>with</w:t>
            </w:r>
            <w:r w:rsidR="00E12E5F" w:rsidRPr="0031280B">
              <w:rPr>
                <w:color w:val="000000"/>
              </w:rPr>
              <w:t xml:space="preserve"> </w:t>
            </w:r>
            <w:r w:rsidRPr="0031280B">
              <w:rPr>
                <w:color w:val="000000"/>
              </w:rPr>
              <w:t xml:space="preserve">the </w:t>
            </w:r>
            <w:r w:rsidR="008E5289" w:rsidRPr="0031280B">
              <w:rPr>
                <w:color w:val="000000"/>
              </w:rPr>
              <w:t>Oral TU</w:t>
            </w:r>
            <w:r w:rsidRPr="0031280B">
              <w:rPr>
                <w:color w:val="000000"/>
              </w:rPr>
              <w:t xml:space="preserve"> group (18.2%</w:t>
            </w:r>
            <w:r w:rsidR="00B55A0F">
              <w:rPr>
                <w:color w:val="000000"/>
              </w:rPr>
              <w:t>, 2/11</w:t>
            </w:r>
            <w:r w:rsidRPr="0031280B">
              <w:rPr>
                <w:color w:val="000000"/>
              </w:rPr>
              <w:t xml:space="preserve"> </w:t>
            </w:r>
            <w:r w:rsidR="00E12E5F">
              <w:rPr>
                <w:color w:val="000000"/>
              </w:rPr>
              <w:t>vs.</w:t>
            </w:r>
            <w:r w:rsidR="00E12E5F" w:rsidRPr="0031280B">
              <w:rPr>
                <w:color w:val="000000"/>
              </w:rPr>
              <w:t xml:space="preserve"> </w:t>
            </w:r>
            <w:r w:rsidRPr="0031280B">
              <w:rPr>
                <w:color w:val="000000"/>
              </w:rPr>
              <w:t>none, respectively).</w:t>
            </w:r>
          </w:p>
          <w:p w:rsidR="00960FB4" w:rsidRPr="0031280B" w:rsidRDefault="00960FB4" w:rsidP="00506CC1">
            <w:pPr>
              <w:pStyle w:val="C-TableText"/>
              <w:rPr>
                <w:color w:val="000000"/>
              </w:rPr>
            </w:pPr>
          </w:p>
          <w:p w:rsidR="00DB7266" w:rsidRPr="0031280B" w:rsidRDefault="00DB7266" w:rsidP="00506CC1">
            <w:pPr>
              <w:pStyle w:val="C-TableText"/>
              <w:rPr>
                <w:color w:val="000000"/>
              </w:rPr>
            </w:pPr>
          </w:p>
          <w:p w:rsidR="00E23ACB" w:rsidRPr="0031280B" w:rsidRDefault="00E23ACB" w:rsidP="00506CC1">
            <w:pPr>
              <w:pStyle w:val="C-TableText"/>
              <w:rPr>
                <w:u w:val="single"/>
              </w:rPr>
            </w:pPr>
            <w:r w:rsidRPr="0031280B">
              <w:rPr>
                <w:u w:val="single"/>
              </w:rPr>
              <w:lastRenderedPageBreak/>
              <w:t>Summary of Related Treatment-Emergent Adverse Events</w:t>
            </w:r>
          </w:p>
          <w:p w:rsidR="00DB7266" w:rsidRPr="0031280B" w:rsidRDefault="00DB7266" w:rsidP="00506CC1">
            <w:pPr>
              <w:pStyle w:val="C-TableText"/>
            </w:pPr>
            <w:r w:rsidRPr="0031280B">
              <w:t>A total of 89 subjects (27.7%)</w:t>
            </w:r>
            <w:r w:rsidR="00D245CE" w:rsidRPr="0031280B">
              <w:t xml:space="preserve"> had one or more related </w:t>
            </w:r>
            <w:r w:rsidRPr="0031280B">
              <w:t>TEAE</w:t>
            </w:r>
            <w:r w:rsidR="003530CD">
              <w:t>s</w:t>
            </w:r>
            <w:r w:rsidRPr="0031280B">
              <w:t xml:space="preserve"> considered possibly, probably, or definitely related to study drug.  The most frequently reported classes of related TEAEs for all </w:t>
            </w:r>
            <w:r w:rsidR="008E5289" w:rsidRPr="0031280B">
              <w:t>subjects</w:t>
            </w:r>
            <w:r w:rsidRPr="0031280B">
              <w:t xml:space="preserve"> were reproductive system and breast disorders (6.9%, 22/321), </w:t>
            </w:r>
            <w:r w:rsidR="00557A21" w:rsidRPr="0031280B">
              <w:t xml:space="preserve">investigations (5.9%, 19/321), </w:t>
            </w:r>
            <w:r w:rsidRPr="0031280B">
              <w:t>blood and lymphatic system disorders (5.3%, 17/321), and gastrointestinal disorders (4.7%, 15/321).  The most frequently reported related TEAEs across treatment groups were polycythaemia (5.0%, 16/321), prostatomegaly (3.7%, 12/321), increase in PSA (3.4%, 11/321), diarrhea (1.6%, 5/321), and nipple pain (1.6%, 5/321).</w:t>
            </w:r>
          </w:p>
          <w:p w:rsidR="00DB7266" w:rsidRPr="0031280B" w:rsidRDefault="00DB7266" w:rsidP="00506CC1">
            <w:pPr>
              <w:pStyle w:val="C-TableText"/>
            </w:pPr>
          </w:p>
          <w:p w:rsidR="00FD36CC" w:rsidRPr="0031280B" w:rsidRDefault="00FD36CC" w:rsidP="00506CC1">
            <w:pPr>
              <w:pStyle w:val="C-TableText"/>
            </w:pPr>
            <w:r w:rsidRPr="0031280B">
              <w:t xml:space="preserve">The incidence of polycythaemia was higher in the Oral TU (6.8%, 11/161) group than the transdermal T-gel (3.1%, 5/160) group.  Prostatomegaly and diarrhea incidences were also more frequent in the Oral TU </w:t>
            </w:r>
            <w:r w:rsidR="00E12E5F">
              <w:t xml:space="preserve">group </w:t>
            </w:r>
            <w:r w:rsidRPr="0031280B">
              <w:t xml:space="preserve">(5.6%, 9/161 and 3.1%, 5/161, respectively) than the transdermal T-gel </w:t>
            </w:r>
            <w:r w:rsidR="00E12E5F">
              <w:t xml:space="preserve">group </w:t>
            </w:r>
            <w:r w:rsidRPr="0031280B">
              <w:t xml:space="preserve">(1.9%, 3/160 and none, respectively), while an increase in PSA occurred similarly in both groups (transdermal T-gel = 4.4%, 7/160; Oral TU = 2.5%, 4/161).  The incidence of nipple pain was similar between the two treatment groups (1.9%, 3/161 Oral TU group </w:t>
            </w:r>
            <w:r w:rsidR="00E12E5F">
              <w:t>vs.</w:t>
            </w:r>
            <w:r w:rsidR="00E12E5F" w:rsidRPr="0031280B">
              <w:t xml:space="preserve"> </w:t>
            </w:r>
            <w:r w:rsidRPr="0031280B">
              <w:t xml:space="preserve">1.3%, 2/160 transdermal T-gel group).  Other related TEAEs of interest included gynaecomastia (0.6%, 1/161 Oral TU and 0.6%, 1/160 transdermal T-gel) and rash pustular (0.6%, 1/160 transdermal T-gel group only). </w:t>
            </w:r>
          </w:p>
          <w:p w:rsidR="00FD36CC" w:rsidRPr="0031280B" w:rsidRDefault="00FD36CC" w:rsidP="00506CC1">
            <w:pPr>
              <w:pStyle w:val="C-TableText"/>
            </w:pPr>
          </w:p>
          <w:p w:rsidR="00DB7266" w:rsidRDefault="00DB7266" w:rsidP="00506CC1">
            <w:pPr>
              <w:pStyle w:val="C-TableText"/>
              <w:rPr>
                <w:color w:val="000000"/>
              </w:rPr>
            </w:pPr>
            <w:r w:rsidRPr="0031280B">
              <w:rPr>
                <w:color w:val="000000"/>
              </w:rPr>
              <w:t>Related TEAEs were also analyzed by system organ class, preferred term, treatment group, and serum T C</w:t>
            </w:r>
            <w:r w:rsidRPr="0031280B">
              <w:rPr>
                <w:color w:val="000000"/>
                <w:vertAlign w:val="subscript"/>
              </w:rPr>
              <w:t>max</w:t>
            </w:r>
            <w:r w:rsidRPr="0031280B">
              <w:rPr>
                <w:color w:val="000000"/>
              </w:rPr>
              <w:t xml:space="preserve"> levels.  A total of 22 subjects (41.5%) in the </w:t>
            </w:r>
            <w:r w:rsidR="008E5289" w:rsidRPr="0031280B">
              <w:rPr>
                <w:color w:val="000000"/>
              </w:rPr>
              <w:t>Oral TU</w:t>
            </w:r>
            <w:r w:rsidRPr="0031280B">
              <w:rPr>
                <w:color w:val="000000"/>
              </w:rPr>
              <w:t xml:space="preserve"> group and 3 subje</w:t>
            </w:r>
            <w:r w:rsidR="00A119E8" w:rsidRPr="0031280B">
              <w:rPr>
                <w:color w:val="000000"/>
              </w:rPr>
              <w:t>cts (8.3%) in the transdermal T-</w:t>
            </w:r>
            <w:r w:rsidRPr="0031280B">
              <w:rPr>
                <w:color w:val="000000"/>
              </w:rPr>
              <w:t>gel group had C</w:t>
            </w:r>
            <w:r w:rsidRPr="0031280B">
              <w:rPr>
                <w:color w:val="000000"/>
                <w:vertAlign w:val="subscript"/>
              </w:rPr>
              <w:t xml:space="preserve">max </w:t>
            </w:r>
            <w:r w:rsidRPr="0031280B">
              <w:rPr>
                <w:color w:val="000000"/>
              </w:rPr>
              <w:t xml:space="preserve">values &gt; 1500 ng/dL.  Out of 11 total subjects who experienced polycythaemia in the </w:t>
            </w:r>
            <w:r w:rsidR="008E5289" w:rsidRPr="0031280B">
              <w:rPr>
                <w:color w:val="000000"/>
              </w:rPr>
              <w:t>Oral TU</w:t>
            </w:r>
            <w:r w:rsidRPr="0031280B">
              <w:rPr>
                <w:color w:val="000000"/>
              </w:rPr>
              <w:t xml:space="preserve"> group, 5 subjects (45.5%) had C</w:t>
            </w:r>
            <w:r w:rsidRPr="0031280B">
              <w:rPr>
                <w:color w:val="000000"/>
                <w:vertAlign w:val="subscript"/>
              </w:rPr>
              <w:t xml:space="preserve">max </w:t>
            </w:r>
            <w:r w:rsidRPr="0031280B">
              <w:rPr>
                <w:color w:val="000000"/>
              </w:rPr>
              <w:t>values &gt; 1500 ng/dL</w:t>
            </w:r>
            <w:r w:rsidR="00AA4CA7">
              <w:rPr>
                <w:color w:val="000000"/>
              </w:rPr>
              <w:t>,</w:t>
            </w:r>
            <w:r w:rsidRPr="0031280B">
              <w:rPr>
                <w:color w:val="000000"/>
              </w:rPr>
              <w:t xml:space="preserve"> while only 1 subject (20.0%) out of 5 in the transdermal T-gel group had a C</w:t>
            </w:r>
            <w:r w:rsidRPr="0031280B">
              <w:rPr>
                <w:color w:val="000000"/>
                <w:vertAlign w:val="subscript"/>
              </w:rPr>
              <w:t xml:space="preserve">max </w:t>
            </w:r>
            <w:r w:rsidRPr="0031280B">
              <w:rPr>
                <w:color w:val="000000"/>
              </w:rPr>
              <w:t xml:space="preserve">value &gt; 1500 ng/dL.  Several related TEAEs of interest in the gastrointestinal disorder class for the </w:t>
            </w:r>
            <w:r w:rsidR="008E5289" w:rsidRPr="0031280B">
              <w:rPr>
                <w:color w:val="000000"/>
              </w:rPr>
              <w:t>Oral TU</w:t>
            </w:r>
            <w:r w:rsidRPr="0031280B">
              <w:rPr>
                <w:color w:val="000000"/>
              </w:rPr>
              <w:t xml:space="preserve"> group occurred at a frequency of ≥ 50% in subjects whose C</w:t>
            </w:r>
            <w:r w:rsidRPr="0031280B">
              <w:rPr>
                <w:color w:val="000000"/>
                <w:vertAlign w:val="subscript"/>
              </w:rPr>
              <w:t xml:space="preserve">max </w:t>
            </w:r>
            <w:r w:rsidRPr="0031280B">
              <w:rPr>
                <w:color w:val="000000"/>
              </w:rPr>
              <w:t xml:space="preserve">value was &gt; 1500 ng/dL.  </w:t>
            </w:r>
            <w:r w:rsidRPr="00053DD1">
              <w:rPr>
                <w:color w:val="000000"/>
              </w:rPr>
              <w:t>These included abdominal discomfort (100.0%</w:t>
            </w:r>
            <w:r w:rsidR="00053DD1" w:rsidRPr="00053DD1">
              <w:rPr>
                <w:color w:val="000000"/>
              </w:rPr>
              <w:t>, 2/2</w:t>
            </w:r>
            <w:r w:rsidRPr="00053DD1">
              <w:rPr>
                <w:color w:val="000000"/>
              </w:rPr>
              <w:t>), diarrhea (80.0%</w:t>
            </w:r>
            <w:r w:rsidR="00053DD1" w:rsidRPr="00053DD1">
              <w:rPr>
                <w:color w:val="000000"/>
              </w:rPr>
              <w:t>, 4/5</w:t>
            </w:r>
            <w:r w:rsidRPr="00053DD1">
              <w:rPr>
                <w:color w:val="000000"/>
              </w:rPr>
              <w:t>), eructation (50.0%</w:t>
            </w:r>
            <w:r w:rsidR="00053DD1" w:rsidRPr="00053DD1">
              <w:rPr>
                <w:color w:val="000000"/>
              </w:rPr>
              <w:t>, 2/4</w:t>
            </w:r>
            <w:r w:rsidRPr="00053DD1">
              <w:rPr>
                <w:color w:val="000000"/>
              </w:rPr>
              <w:t>), and vomiting (100.0%</w:t>
            </w:r>
            <w:r w:rsidR="00053DD1" w:rsidRPr="00053DD1">
              <w:rPr>
                <w:color w:val="000000"/>
              </w:rPr>
              <w:t>, 1/1</w:t>
            </w:r>
            <w:r w:rsidRPr="00053DD1">
              <w:rPr>
                <w:color w:val="000000"/>
              </w:rPr>
              <w:t xml:space="preserve">).  None of these same TEAEs in </w:t>
            </w:r>
            <w:r w:rsidR="00557A21" w:rsidRPr="00053DD1">
              <w:rPr>
                <w:color w:val="000000"/>
              </w:rPr>
              <w:t xml:space="preserve">the </w:t>
            </w:r>
            <w:r w:rsidRPr="00053DD1">
              <w:rPr>
                <w:color w:val="000000"/>
              </w:rPr>
              <w:t xml:space="preserve">transdermal T-gel </w:t>
            </w:r>
            <w:r w:rsidR="00557A21" w:rsidRPr="00053DD1">
              <w:rPr>
                <w:color w:val="000000"/>
              </w:rPr>
              <w:t>group were considered treatment-related</w:t>
            </w:r>
            <w:r w:rsidRPr="00053DD1">
              <w:rPr>
                <w:color w:val="000000"/>
              </w:rPr>
              <w:t xml:space="preserve">.  For the </w:t>
            </w:r>
            <w:r w:rsidR="008E5289" w:rsidRPr="00053DD1">
              <w:rPr>
                <w:color w:val="000000"/>
              </w:rPr>
              <w:t>Oral TU</w:t>
            </w:r>
            <w:r w:rsidRPr="00053DD1">
              <w:rPr>
                <w:color w:val="000000"/>
              </w:rPr>
              <w:t xml:space="preserve"> group, 50% of subjects</w:t>
            </w:r>
            <w:r w:rsidR="00053DD1" w:rsidRPr="00053DD1">
              <w:rPr>
                <w:color w:val="000000"/>
              </w:rPr>
              <w:t xml:space="preserve"> (2/4)</w:t>
            </w:r>
            <w:r w:rsidRPr="00053DD1">
              <w:rPr>
                <w:color w:val="000000"/>
              </w:rPr>
              <w:t xml:space="preserve"> whose C</w:t>
            </w:r>
            <w:r w:rsidRPr="00053DD1">
              <w:rPr>
                <w:color w:val="000000"/>
                <w:vertAlign w:val="subscript"/>
              </w:rPr>
              <w:t xml:space="preserve">max </w:t>
            </w:r>
            <w:r w:rsidRPr="00053DD1">
              <w:rPr>
                <w:color w:val="000000"/>
              </w:rPr>
              <w:t>value was &gt; 1500 ng/dL experienced an increase in PSA while no subjects who experienced an increase in PSA in the transdermal T-gel group had a C</w:t>
            </w:r>
            <w:r w:rsidRPr="00053DD1">
              <w:rPr>
                <w:color w:val="000000"/>
                <w:vertAlign w:val="subscript"/>
              </w:rPr>
              <w:t xml:space="preserve">max </w:t>
            </w:r>
            <w:r w:rsidRPr="00053DD1">
              <w:rPr>
                <w:color w:val="000000"/>
              </w:rPr>
              <w:t xml:space="preserve">value &gt; 1500 ng/dL.  Prostatomegaly and nipple pain occurred at a higher frequency in the </w:t>
            </w:r>
            <w:r w:rsidR="008E5289" w:rsidRPr="00053DD1">
              <w:rPr>
                <w:color w:val="000000"/>
              </w:rPr>
              <w:t>Oral TU</w:t>
            </w:r>
            <w:r w:rsidRPr="00053DD1">
              <w:rPr>
                <w:color w:val="000000"/>
              </w:rPr>
              <w:t xml:space="preserve"> group compared </w:t>
            </w:r>
            <w:r w:rsidR="00AA4CA7">
              <w:rPr>
                <w:color w:val="000000"/>
              </w:rPr>
              <w:t>with</w:t>
            </w:r>
            <w:r w:rsidR="00AA4CA7" w:rsidRPr="00053DD1">
              <w:rPr>
                <w:color w:val="000000"/>
              </w:rPr>
              <w:t xml:space="preserve"> </w:t>
            </w:r>
            <w:r w:rsidRPr="00053DD1">
              <w:rPr>
                <w:color w:val="000000"/>
              </w:rPr>
              <w:t>the transdermal T-gel group, for subjects whose C</w:t>
            </w:r>
            <w:r w:rsidRPr="00053DD1">
              <w:rPr>
                <w:color w:val="000000"/>
                <w:vertAlign w:val="subscript"/>
              </w:rPr>
              <w:t xml:space="preserve">max </w:t>
            </w:r>
            <w:r w:rsidRPr="00053DD1">
              <w:rPr>
                <w:color w:val="000000"/>
              </w:rPr>
              <w:t>value was &gt; 1500 ng/dL (prostatomegaly: 66.7%</w:t>
            </w:r>
            <w:r w:rsidR="00053DD1" w:rsidRPr="00053DD1">
              <w:rPr>
                <w:color w:val="000000"/>
              </w:rPr>
              <w:t>, 6/9</w:t>
            </w:r>
            <w:r w:rsidRPr="00053DD1">
              <w:rPr>
                <w:color w:val="000000"/>
              </w:rPr>
              <w:t xml:space="preserve"> </w:t>
            </w:r>
            <w:r w:rsidR="00AA4CA7">
              <w:rPr>
                <w:color w:val="000000"/>
              </w:rPr>
              <w:t>vs.</w:t>
            </w:r>
            <w:r w:rsidR="00AA4CA7" w:rsidRPr="00053DD1">
              <w:rPr>
                <w:color w:val="000000"/>
              </w:rPr>
              <w:t xml:space="preserve"> </w:t>
            </w:r>
            <w:r w:rsidRPr="00053DD1">
              <w:rPr>
                <w:color w:val="000000"/>
              </w:rPr>
              <w:t xml:space="preserve">33.3%, </w:t>
            </w:r>
            <w:r w:rsidR="00053DD1" w:rsidRPr="00053DD1">
              <w:rPr>
                <w:color w:val="000000"/>
              </w:rPr>
              <w:t>1/3</w:t>
            </w:r>
            <w:r w:rsidR="00AA4CA7">
              <w:rPr>
                <w:color w:val="000000"/>
              </w:rPr>
              <w:t>,</w:t>
            </w:r>
            <w:r w:rsidR="00053DD1" w:rsidRPr="00053DD1">
              <w:rPr>
                <w:color w:val="000000"/>
              </w:rPr>
              <w:t xml:space="preserve"> </w:t>
            </w:r>
            <w:r w:rsidRPr="00053DD1">
              <w:rPr>
                <w:color w:val="000000"/>
              </w:rPr>
              <w:t>respectively; nipple pain: 33.3%</w:t>
            </w:r>
            <w:r w:rsidR="00053DD1" w:rsidRPr="00053DD1">
              <w:rPr>
                <w:color w:val="000000"/>
              </w:rPr>
              <w:t>, 1/3</w:t>
            </w:r>
            <w:r w:rsidRPr="00053DD1">
              <w:rPr>
                <w:color w:val="000000"/>
              </w:rPr>
              <w:t xml:space="preserve"> </w:t>
            </w:r>
            <w:r w:rsidR="00AA4CA7">
              <w:rPr>
                <w:color w:val="000000"/>
              </w:rPr>
              <w:t>vs.</w:t>
            </w:r>
            <w:r w:rsidR="00AA4CA7" w:rsidRPr="00053DD1">
              <w:rPr>
                <w:color w:val="000000"/>
              </w:rPr>
              <w:t xml:space="preserve"> </w:t>
            </w:r>
            <w:r w:rsidRPr="00053DD1">
              <w:rPr>
                <w:color w:val="000000"/>
              </w:rPr>
              <w:t>none, respectively).</w:t>
            </w:r>
          </w:p>
          <w:p w:rsidR="001C44A1" w:rsidRPr="0031280B" w:rsidRDefault="001C44A1" w:rsidP="00506CC1">
            <w:pPr>
              <w:pStyle w:val="C-TableText"/>
              <w:rPr>
                <w:color w:val="000000"/>
              </w:rPr>
            </w:pPr>
          </w:p>
          <w:p w:rsidR="00E23ACB" w:rsidRPr="0031280B" w:rsidRDefault="00E23ACB" w:rsidP="00506CC1">
            <w:pPr>
              <w:pStyle w:val="C-TableText"/>
              <w:rPr>
                <w:u w:val="single"/>
              </w:rPr>
            </w:pPr>
            <w:r w:rsidRPr="0031280B">
              <w:rPr>
                <w:u w:val="single"/>
              </w:rPr>
              <w:t>Summary of Serious Treatment-Emergent Adverse Events</w:t>
            </w:r>
          </w:p>
          <w:p w:rsidR="005C4EB7" w:rsidRDefault="0031280B" w:rsidP="00506CC1">
            <w:pPr>
              <w:pStyle w:val="C-TableText"/>
            </w:pPr>
            <w:r w:rsidRPr="0031280B">
              <w:t>A total of 17 subjects (5.3%) reported a serious TEAE.  The numbers of subjects that experienced serious TEAEs w</w:t>
            </w:r>
            <w:r w:rsidR="00F24716">
              <w:t>ere</w:t>
            </w:r>
            <w:r w:rsidRPr="0031280B">
              <w:t xml:space="preserve"> slightly higher in the Oral TU (6.8%, 11/161) group than the transdermal T-gel (3.8%, 6/160) group.  In total, there were 29 serious TEAEs reported, 20 in the Oral TU group and </w:t>
            </w:r>
            <w:r w:rsidR="00AA4CA7">
              <w:t>9</w:t>
            </w:r>
            <w:r w:rsidR="00AA4CA7" w:rsidRPr="0031280B">
              <w:t xml:space="preserve"> </w:t>
            </w:r>
            <w:r w:rsidRPr="0031280B">
              <w:t xml:space="preserve">in the transdermal </w:t>
            </w:r>
            <w:r w:rsidR="0025183A">
              <w:br/>
            </w:r>
            <w:r w:rsidRPr="0031280B">
              <w:t>T-gel group</w:t>
            </w:r>
            <w:r>
              <w:t xml:space="preserve">. </w:t>
            </w:r>
          </w:p>
          <w:p w:rsidR="0031280B" w:rsidRPr="0031280B" w:rsidRDefault="0031280B" w:rsidP="00506CC1">
            <w:pPr>
              <w:pStyle w:val="C-TableText"/>
            </w:pPr>
          </w:p>
          <w:p w:rsidR="005C4EB7" w:rsidRPr="0031280B" w:rsidRDefault="005C4EB7" w:rsidP="00506CC1">
            <w:pPr>
              <w:pStyle w:val="C-TableText"/>
            </w:pPr>
            <w:r w:rsidRPr="0031280B">
              <w:t xml:space="preserve">The most frequently reported classes of serious TEAEs for all subjects were infections and infestations (1.9%), cardiac disorders (1.6%), and musculoskeletal and connective tissue disorders (1.2%).  Two subjects (1.2%) in the Oral TU group reported moderate or severe coronary artery disease that was not related or probably not related to study drug, respectively.  </w:t>
            </w:r>
            <w:r w:rsidR="00C836F4">
              <w:t xml:space="preserve">One of these subjects underwent a catheretization and stent placement on Day 3 of the study.  </w:t>
            </w:r>
            <w:r w:rsidRPr="0031280B">
              <w:t>Two subjects (1.2%) in the Oral TU group reported experiencing a mild or severe acute myocardial infarction</w:t>
            </w:r>
            <w:r w:rsidR="00A00A45">
              <w:t xml:space="preserve"> (MI)</w:t>
            </w:r>
            <w:r w:rsidRPr="0031280B">
              <w:t xml:space="preserve">.  </w:t>
            </w:r>
            <w:r w:rsidR="00C836F4">
              <w:t xml:space="preserve">One of these subjects had his MI in the setting of hospitalization for pneumonia.  </w:t>
            </w:r>
            <w:r w:rsidRPr="0031280B">
              <w:t xml:space="preserve">Two subjects </w:t>
            </w:r>
            <w:r w:rsidR="00AA4CA7">
              <w:t xml:space="preserve">(1.3%) </w:t>
            </w:r>
            <w:r w:rsidRPr="0031280B">
              <w:t>in the transdermal T</w:t>
            </w:r>
            <w:r w:rsidR="00AA4CA7">
              <w:noBreakHyphen/>
            </w:r>
            <w:r w:rsidRPr="0031280B">
              <w:t>gel group reported severe appendicitis.  One subject (0.6%) in the Oral TU group developed basal cell carcinoma and one subject (0.6%) in the transdermal T-gel group developed prostate cancer.</w:t>
            </w:r>
          </w:p>
          <w:p w:rsidR="005C4EB7" w:rsidRPr="0031280B" w:rsidRDefault="005C4EB7" w:rsidP="00506CC1">
            <w:pPr>
              <w:pStyle w:val="C-TableText"/>
            </w:pPr>
          </w:p>
          <w:p w:rsidR="001D309C" w:rsidRPr="0031280B" w:rsidRDefault="00D245CE" w:rsidP="00506CC1">
            <w:pPr>
              <w:pStyle w:val="C-TableText"/>
              <w:rPr>
                <w:color w:val="000000"/>
              </w:rPr>
            </w:pPr>
            <w:r w:rsidRPr="0031280B">
              <w:rPr>
                <w:color w:val="000000"/>
              </w:rPr>
              <w:t>Serious treatment-</w:t>
            </w:r>
            <w:r w:rsidR="001D309C" w:rsidRPr="0031280B">
              <w:rPr>
                <w:color w:val="000000"/>
              </w:rPr>
              <w:t>emergent adverse events were also analyzed by system organ class, preferred term, treatment group, and serum T C</w:t>
            </w:r>
            <w:r w:rsidR="001D309C" w:rsidRPr="0031280B">
              <w:rPr>
                <w:color w:val="000000"/>
                <w:vertAlign w:val="subscript"/>
              </w:rPr>
              <w:t>max</w:t>
            </w:r>
            <w:r w:rsidR="001D309C" w:rsidRPr="0031280B">
              <w:rPr>
                <w:color w:val="000000"/>
              </w:rPr>
              <w:t xml:space="preserve"> levels.  A total of 6 subjects (54.5%) in the </w:t>
            </w:r>
            <w:r w:rsidR="008E5289" w:rsidRPr="0031280B">
              <w:rPr>
                <w:color w:val="000000"/>
              </w:rPr>
              <w:t>Oral TU</w:t>
            </w:r>
            <w:r w:rsidR="001D309C" w:rsidRPr="0031280B">
              <w:rPr>
                <w:color w:val="000000"/>
              </w:rPr>
              <w:t xml:space="preserve"> group and 1 subject (16.7%) in the transdermal </w:t>
            </w:r>
            <w:r w:rsidR="00A119E8" w:rsidRPr="0031280B">
              <w:rPr>
                <w:color w:val="000000"/>
              </w:rPr>
              <w:t>T-gel</w:t>
            </w:r>
            <w:r w:rsidR="001D309C" w:rsidRPr="0031280B">
              <w:rPr>
                <w:color w:val="000000"/>
              </w:rPr>
              <w:t xml:space="preserve"> group had C</w:t>
            </w:r>
            <w:r w:rsidR="001D309C" w:rsidRPr="0031280B">
              <w:rPr>
                <w:color w:val="000000"/>
                <w:vertAlign w:val="subscript"/>
              </w:rPr>
              <w:t xml:space="preserve">max </w:t>
            </w:r>
            <w:r w:rsidR="001D309C" w:rsidRPr="0031280B">
              <w:rPr>
                <w:color w:val="000000"/>
              </w:rPr>
              <w:t>values &gt; 1500 ng/dL.  While the number of subjects was small</w:t>
            </w:r>
            <w:r w:rsidR="001A2676">
              <w:rPr>
                <w:color w:val="000000"/>
              </w:rPr>
              <w:t xml:space="preserve"> (1 to 2 subjects)</w:t>
            </w:r>
            <w:r w:rsidR="001D309C" w:rsidRPr="0031280B">
              <w:rPr>
                <w:color w:val="000000"/>
              </w:rPr>
              <w:t xml:space="preserve">, for the </w:t>
            </w:r>
            <w:r w:rsidR="008E5289" w:rsidRPr="0031280B">
              <w:rPr>
                <w:color w:val="000000"/>
              </w:rPr>
              <w:t>Oral TU</w:t>
            </w:r>
            <w:r w:rsidR="001D309C" w:rsidRPr="0031280B">
              <w:rPr>
                <w:color w:val="000000"/>
              </w:rPr>
              <w:t xml:space="preserve"> group there were several serious TEAEs that </w:t>
            </w:r>
            <w:r w:rsidR="00576FA8" w:rsidRPr="0031280B">
              <w:rPr>
                <w:color w:val="000000"/>
              </w:rPr>
              <w:t>occurred</w:t>
            </w:r>
            <w:r w:rsidR="001D309C" w:rsidRPr="0031280B">
              <w:rPr>
                <w:color w:val="000000"/>
              </w:rPr>
              <w:t xml:space="preserve"> in subjects whose C</w:t>
            </w:r>
            <w:r w:rsidR="001D309C" w:rsidRPr="0031280B">
              <w:rPr>
                <w:color w:val="000000"/>
                <w:vertAlign w:val="subscript"/>
              </w:rPr>
              <w:t xml:space="preserve">max </w:t>
            </w:r>
            <w:r w:rsidR="001D309C" w:rsidRPr="0031280B">
              <w:rPr>
                <w:color w:val="000000"/>
              </w:rPr>
              <w:t xml:space="preserve">value was &gt; 1500 ng/dL.  These included acute </w:t>
            </w:r>
            <w:r w:rsidR="00AA4CA7">
              <w:rPr>
                <w:color w:val="000000"/>
              </w:rPr>
              <w:t>MI</w:t>
            </w:r>
            <w:r w:rsidR="001D309C" w:rsidRPr="0031280B">
              <w:rPr>
                <w:color w:val="000000"/>
              </w:rPr>
              <w:t>, pneumonia, hypoglycaemia, intervertebral disc degeneration, osteoarthritis, and epilepsy (100% for each).  In comparison, for the transdermal T-gel group, only coronary artery disease was experienced by a subject whose C</w:t>
            </w:r>
            <w:r w:rsidR="001D309C" w:rsidRPr="0031280B">
              <w:rPr>
                <w:color w:val="000000"/>
                <w:vertAlign w:val="subscript"/>
              </w:rPr>
              <w:t xml:space="preserve">max </w:t>
            </w:r>
            <w:r w:rsidR="001D309C" w:rsidRPr="0031280B">
              <w:rPr>
                <w:color w:val="000000"/>
              </w:rPr>
              <w:t>value was &gt; 1500 ng/dL.</w:t>
            </w:r>
          </w:p>
          <w:p w:rsidR="001D309C" w:rsidRPr="0031280B" w:rsidRDefault="001D309C" w:rsidP="00506CC1">
            <w:pPr>
              <w:pStyle w:val="C-TableText"/>
              <w:rPr>
                <w:color w:val="000000"/>
              </w:rPr>
            </w:pPr>
          </w:p>
          <w:p w:rsidR="00E23ACB" w:rsidRPr="0031280B" w:rsidRDefault="00E23ACB" w:rsidP="00506CC1">
            <w:pPr>
              <w:pStyle w:val="C-TableText"/>
              <w:rPr>
                <w:u w:val="single"/>
              </w:rPr>
            </w:pPr>
            <w:r w:rsidRPr="0031280B">
              <w:rPr>
                <w:u w:val="single"/>
              </w:rPr>
              <w:lastRenderedPageBreak/>
              <w:t>Adverse Events Causing Discontinuation of Study Drug</w:t>
            </w:r>
          </w:p>
          <w:p w:rsidR="001D309C" w:rsidRPr="0031280B" w:rsidRDefault="00557A21" w:rsidP="00506CC1">
            <w:pPr>
              <w:pStyle w:val="C-TableText"/>
            </w:pPr>
            <w:r w:rsidRPr="0031280B">
              <w:t>A total of 13 subjects (4.0%</w:t>
            </w:r>
            <w:r w:rsidR="002728C8">
              <w:t>, 13/321</w:t>
            </w:r>
            <w:r w:rsidRPr="0031280B">
              <w:t xml:space="preserve">) had a TEAE that led to study </w:t>
            </w:r>
            <w:r w:rsidR="00AA4CA7">
              <w:t xml:space="preserve">drug </w:t>
            </w:r>
            <w:r w:rsidRPr="0031280B">
              <w:t xml:space="preserve">discontinuation.  </w:t>
            </w:r>
            <w:r w:rsidR="001D309C" w:rsidRPr="0031280B">
              <w:t xml:space="preserve">Three subjects in the </w:t>
            </w:r>
            <w:r w:rsidR="008E5289" w:rsidRPr="0031280B">
              <w:t>Oral TU</w:t>
            </w:r>
            <w:r w:rsidR="001D309C" w:rsidRPr="0031280B">
              <w:t xml:space="preserve"> group and one subject in the transdermal T-gel group had severe AEs that resulted in discontinuation of study drug.  All other </w:t>
            </w:r>
            <w:r w:rsidR="00AA4CA7">
              <w:t>AEs</w:t>
            </w:r>
            <w:r w:rsidR="001D309C" w:rsidRPr="0031280B">
              <w:t xml:space="preserve"> leading to study drug discontinuation were considered mild or moderate in severity.</w:t>
            </w:r>
          </w:p>
          <w:p w:rsidR="00FE49F8" w:rsidRDefault="00FE49F8" w:rsidP="00506CC1">
            <w:pPr>
              <w:pStyle w:val="C-TableText"/>
            </w:pPr>
          </w:p>
          <w:p w:rsidR="009F0C64" w:rsidRDefault="009F0C64" w:rsidP="009F0C64">
            <w:pPr>
              <w:pStyle w:val="C-TableText"/>
            </w:pPr>
            <w:r>
              <w:t>Treatment-emergent adverse events leading to discontinuation were also analyzed by system organ class, preferred term, treatment group, and serum T C</w:t>
            </w:r>
            <w:r w:rsidRPr="009F0C64">
              <w:rPr>
                <w:vertAlign w:val="subscript"/>
              </w:rPr>
              <w:t>max</w:t>
            </w:r>
            <w:r>
              <w:t xml:space="preserve"> levels.  Three subjects (37.5%, 3/8) on Oral TU had TEAEs (polycythaemia, acute </w:t>
            </w:r>
            <w:r w:rsidR="00AA4CA7">
              <w:t>MI</w:t>
            </w:r>
            <w:r>
              <w:t>, and hypoglycaemia) leading to discontinuation of study drug that were associated with a C</w:t>
            </w:r>
            <w:r w:rsidRPr="009F0C64">
              <w:rPr>
                <w:vertAlign w:val="subscript"/>
              </w:rPr>
              <w:t>max</w:t>
            </w:r>
            <w:r>
              <w:t xml:space="preserve"> &gt; 1500 ng/dL, while no subjects on transdermal T-gel had a TEAE that was associated with a C</w:t>
            </w:r>
            <w:r w:rsidRPr="009F0C64">
              <w:rPr>
                <w:vertAlign w:val="subscript"/>
              </w:rPr>
              <w:t>max</w:t>
            </w:r>
            <w:r>
              <w:t xml:space="preserve"> &gt; 1500 ng/dL and led to discontinuation of study drug.</w:t>
            </w:r>
          </w:p>
          <w:p w:rsidR="009F0C64" w:rsidRPr="0031280B" w:rsidRDefault="009F0C64" w:rsidP="009F0C64">
            <w:pPr>
              <w:pStyle w:val="C-TableText"/>
            </w:pPr>
          </w:p>
          <w:p w:rsidR="00E23ACB" w:rsidRPr="0031280B" w:rsidRDefault="00E23ACB" w:rsidP="00506CC1">
            <w:pPr>
              <w:pStyle w:val="C-TableText"/>
              <w:rPr>
                <w:u w:val="single"/>
              </w:rPr>
            </w:pPr>
            <w:r w:rsidRPr="0031280B">
              <w:rPr>
                <w:u w:val="single"/>
              </w:rPr>
              <w:t>Adverse Events Requiring Dose Adjustment o</w:t>
            </w:r>
            <w:r w:rsidR="00863A50" w:rsidRPr="0031280B">
              <w:rPr>
                <w:u w:val="single"/>
              </w:rPr>
              <w:t>r</w:t>
            </w:r>
            <w:r w:rsidRPr="0031280B">
              <w:rPr>
                <w:u w:val="single"/>
              </w:rPr>
              <w:t xml:space="preserve"> Study Drug Interruption</w:t>
            </w:r>
          </w:p>
          <w:p w:rsidR="00FE49F8" w:rsidRPr="0031280B" w:rsidRDefault="00FE49F8" w:rsidP="00506CC1">
            <w:pPr>
              <w:pStyle w:val="C-TableText"/>
            </w:pPr>
            <w:r w:rsidRPr="0031280B">
              <w:t xml:space="preserve">Two subjects in the </w:t>
            </w:r>
            <w:r w:rsidR="008E5289" w:rsidRPr="0031280B">
              <w:t>Oral TU</w:t>
            </w:r>
            <w:r w:rsidRPr="0031280B">
              <w:t xml:space="preserve"> group and </w:t>
            </w:r>
            <w:r w:rsidR="00BA5136" w:rsidRPr="0031280B">
              <w:t>two</w:t>
            </w:r>
            <w:r w:rsidRPr="0031280B">
              <w:t xml:space="preserve"> subjects in the transdermal T-gel group had severe AEs that resulted in dose adjustment or study drug interruption.  </w:t>
            </w:r>
            <w:r w:rsidR="004A7851">
              <w:t>T</w:t>
            </w:r>
            <w:r w:rsidR="004E224D">
              <w:t xml:space="preserve">hese AEs were considered ‘definitely not related to study drug’.  </w:t>
            </w:r>
            <w:r w:rsidR="004A7851">
              <w:t xml:space="preserve">Of interest were two subjects who experienced moderate polycythaemia at Visit 7 (Day 365) that were considered by the Investigator to </w:t>
            </w:r>
            <w:r w:rsidR="001E5B52">
              <w:t xml:space="preserve">be </w:t>
            </w:r>
            <w:r w:rsidR="004A7851">
              <w:t xml:space="preserve">probably related to Oral TU.  </w:t>
            </w:r>
            <w:r w:rsidR="004347DA" w:rsidRPr="00401881">
              <w:t xml:space="preserve">Both subjects completed </w:t>
            </w:r>
            <w:r w:rsidR="004347DA">
              <w:br/>
            </w:r>
            <w:r w:rsidR="004347DA" w:rsidRPr="00401881">
              <w:t>CLAR-09007 and did not continue in the extension study, therefore, resolution of these TEAEs is not available.</w:t>
            </w:r>
            <w:r w:rsidR="004347DA">
              <w:t xml:space="preserve">  </w:t>
            </w:r>
            <w:r w:rsidRPr="0031280B">
              <w:t xml:space="preserve">All other </w:t>
            </w:r>
            <w:r w:rsidR="001E5B52">
              <w:t>AE</w:t>
            </w:r>
            <w:r w:rsidR="003E403E">
              <w:t>s</w:t>
            </w:r>
            <w:r w:rsidR="001E5B52">
              <w:t xml:space="preserve"> </w:t>
            </w:r>
            <w:r w:rsidRPr="0031280B">
              <w:t>that resulted in dose adjustment or study drug interruption were considered mild or moderate in severity.</w:t>
            </w:r>
          </w:p>
          <w:p w:rsidR="00533F62" w:rsidRPr="0031280B" w:rsidRDefault="00533F62" w:rsidP="00506CC1">
            <w:pPr>
              <w:pStyle w:val="C-TableText"/>
              <w:rPr>
                <w:u w:val="single"/>
              </w:rPr>
            </w:pPr>
          </w:p>
          <w:p w:rsidR="00533F62" w:rsidRPr="0031280B" w:rsidRDefault="00FE49F8" w:rsidP="00506CC1">
            <w:pPr>
              <w:pStyle w:val="C-TableText"/>
              <w:rPr>
                <w:u w:val="single"/>
              </w:rPr>
            </w:pPr>
            <w:r w:rsidRPr="0031280B">
              <w:rPr>
                <w:u w:val="single"/>
              </w:rPr>
              <w:t>Clinical Laboratory Evaluations</w:t>
            </w:r>
          </w:p>
          <w:p w:rsidR="00181CC6" w:rsidRDefault="00181CC6" w:rsidP="00181CC6">
            <w:pPr>
              <w:pStyle w:val="C-TableText"/>
            </w:pPr>
            <w:r>
              <w:t xml:space="preserve">Clinical laboratory evaluations were taken at baseline and Visits 2, 4, 5, 6, 7, and early withdrawal.  For shift tables, the parameter of interest in subjects was scored at baseline as low, normal, or high and then again at Visits 2, 4, 5, 6, and 7.  Absolute change from baseline was compared between the Oral TU and transdermal T-gel group using a repeated measures ANOVA model. </w:t>
            </w:r>
          </w:p>
          <w:p w:rsidR="00181CC6" w:rsidRDefault="00181CC6" w:rsidP="00181CC6">
            <w:pPr>
              <w:pStyle w:val="C-TableText"/>
            </w:pPr>
          </w:p>
          <w:p w:rsidR="00181CC6" w:rsidRDefault="00181CC6" w:rsidP="00181CC6">
            <w:pPr>
              <w:pStyle w:val="C-TableText"/>
            </w:pPr>
            <w:r>
              <w:t>Parameter levels by treatment group were also analyzed with respect to C</w:t>
            </w:r>
            <w:r w:rsidRPr="00181CC6">
              <w:rPr>
                <w:vertAlign w:val="subscript"/>
              </w:rPr>
              <w:t>max</w:t>
            </w:r>
            <w:r>
              <w:t xml:space="preserve"> and C</w:t>
            </w:r>
            <w:r w:rsidRPr="00181CC6">
              <w:rPr>
                <w:vertAlign w:val="subscript"/>
              </w:rPr>
              <w:t>avg</w:t>
            </w:r>
            <w:r>
              <w:t xml:space="preserve"> in order to estimate whether there was a differential association with a C</w:t>
            </w:r>
            <w:r w:rsidRPr="00181CC6">
              <w:rPr>
                <w:vertAlign w:val="subscript"/>
              </w:rPr>
              <w:t>max</w:t>
            </w:r>
            <w:r>
              <w:t xml:space="preserve"> &gt;</w:t>
            </w:r>
            <w:r w:rsidR="001E5B52">
              <w:t xml:space="preserve"> </w:t>
            </w:r>
            <w:r>
              <w:t>1500 ng/dL or a C</w:t>
            </w:r>
            <w:r w:rsidRPr="00181CC6">
              <w:rPr>
                <w:vertAlign w:val="subscript"/>
              </w:rPr>
              <w:t>avg</w:t>
            </w:r>
            <w:r>
              <w:t xml:space="preserve"> &gt;</w:t>
            </w:r>
            <w:r w:rsidR="001E5B52">
              <w:t xml:space="preserve"> </w:t>
            </w:r>
            <w:r>
              <w:t>1000 ng/dL.  For all analyses, for Visits 2, 4, and 7, the C</w:t>
            </w:r>
            <w:r w:rsidRPr="00181CC6">
              <w:rPr>
                <w:vertAlign w:val="subscript"/>
              </w:rPr>
              <w:t>max</w:t>
            </w:r>
            <w:r>
              <w:t xml:space="preserve"> or C</w:t>
            </w:r>
            <w:r w:rsidRPr="00181CC6">
              <w:rPr>
                <w:vertAlign w:val="subscript"/>
              </w:rPr>
              <w:t>avg</w:t>
            </w:r>
            <w:r>
              <w:t xml:space="preserve"> was based on the 12- or 24</w:t>
            </w:r>
            <w:r w:rsidR="001E5B52">
              <w:t>-</w:t>
            </w:r>
            <w:r>
              <w:t>hr PK assessment performed during the visit, but for Visits 5 and 6</w:t>
            </w:r>
            <w:r w:rsidR="001E5B52">
              <w:t>,</w:t>
            </w:r>
            <w:r>
              <w:t xml:space="preserve"> the C</w:t>
            </w:r>
            <w:r w:rsidRPr="00181CC6">
              <w:rPr>
                <w:vertAlign w:val="subscript"/>
              </w:rPr>
              <w:t>max</w:t>
            </w:r>
            <w:r>
              <w:t xml:space="preserve"> or C</w:t>
            </w:r>
            <w:r w:rsidRPr="00181CC6">
              <w:rPr>
                <w:vertAlign w:val="subscript"/>
              </w:rPr>
              <w:t>avg</w:t>
            </w:r>
            <w:r>
              <w:t xml:space="preserve"> category was estimated based on the measured C</w:t>
            </w:r>
            <w:r w:rsidR="00B60959" w:rsidRPr="00B60959">
              <w:rPr>
                <w:vertAlign w:val="subscript"/>
              </w:rPr>
              <w:t>4-6</w:t>
            </w:r>
            <w:r>
              <w:t xml:space="preserve"> value.  </w:t>
            </w:r>
          </w:p>
          <w:p w:rsidR="00D10D11" w:rsidRDefault="00D10D11" w:rsidP="00D10D11">
            <w:pPr>
              <w:pStyle w:val="C-TableText"/>
            </w:pPr>
          </w:p>
          <w:p w:rsidR="00D10D11" w:rsidRDefault="00D10D11" w:rsidP="00D10D11">
            <w:pPr>
              <w:pStyle w:val="C-TableText"/>
            </w:pPr>
            <w:r>
              <w:t xml:space="preserve">Due to outliers in the lipid </w:t>
            </w:r>
            <w:r w:rsidR="002C1753">
              <w:t xml:space="preserve">and PSA </w:t>
            </w:r>
            <w:r>
              <w:t xml:space="preserve">data, the median values were used. </w:t>
            </w:r>
          </w:p>
          <w:p w:rsidR="00D10D11" w:rsidRPr="00181CC6" w:rsidRDefault="00D10D11" w:rsidP="00181CC6">
            <w:pPr>
              <w:pStyle w:val="C-TableText"/>
            </w:pPr>
          </w:p>
          <w:p w:rsidR="00FE49F8" w:rsidRPr="0031280B" w:rsidRDefault="00FE49F8" w:rsidP="00506CC1">
            <w:pPr>
              <w:pStyle w:val="C-TableText"/>
              <w:rPr>
                <w:i/>
              </w:rPr>
            </w:pPr>
            <w:r w:rsidRPr="0031280B">
              <w:rPr>
                <w:i/>
              </w:rPr>
              <w:t>Hematology-Hematocrit</w:t>
            </w:r>
          </w:p>
          <w:p w:rsidR="00E01CA6" w:rsidRDefault="00181CC6" w:rsidP="00506CC1">
            <w:pPr>
              <w:pStyle w:val="C-TableText"/>
            </w:pPr>
            <w:r w:rsidRPr="00181CC6">
              <w:t>Testosterone replacement therapy, regardless of delivery route, is associated with elevations in Hct.  Class labeling for TRT products recommend</w:t>
            </w:r>
            <w:r w:rsidR="001E5B52">
              <w:t>s</w:t>
            </w:r>
            <w:r w:rsidRPr="00181CC6">
              <w:t xml:space="preserve"> checking Hct prior to initiation of therapy and reevaluating the </w:t>
            </w:r>
            <w:r>
              <w:br/>
            </w:r>
            <w:r w:rsidRPr="00181CC6">
              <w:t xml:space="preserve">Hct 3-6 months after starting therapy and then annually. Clinical management of elevated Hct in response to Oral TU would be consistent with label guidance for currently approved TRT products.  </w:t>
            </w:r>
          </w:p>
          <w:p w:rsidR="00181CC6" w:rsidRPr="0031280B" w:rsidRDefault="00181CC6" w:rsidP="00506CC1">
            <w:pPr>
              <w:pStyle w:val="C-TableText"/>
            </w:pPr>
          </w:p>
          <w:p w:rsidR="001704DC" w:rsidRDefault="00181CC6" w:rsidP="00506CC1">
            <w:pPr>
              <w:pStyle w:val="C-TableText"/>
            </w:pPr>
            <w:r w:rsidRPr="00181CC6">
              <w:t xml:space="preserve">The mean (Std) baseline Hct for Oral TU was 44.112% (2.4957) which was similar to the transdermal T-gel group mean baseline Hct of 43.931% (2.5619).  </w:t>
            </w:r>
            <w:r w:rsidR="001E5B52" w:rsidRPr="001E5B52">
              <w:t xml:space="preserve">These Hct values were within the normal range.  </w:t>
            </w:r>
            <w:r w:rsidRPr="00181CC6">
              <w:t xml:space="preserve">Change from baseline at Visit 4 (Day 90 or 105) was greater in the Oral TU group with an absolute mean increase of 2.127% (3.4056) compared </w:t>
            </w:r>
            <w:r w:rsidR="000116BE">
              <w:t>with</w:t>
            </w:r>
            <w:r w:rsidR="000116BE" w:rsidRPr="00181CC6">
              <w:t xml:space="preserve"> </w:t>
            </w:r>
            <w:r w:rsidRPr="00181CC6">
              <w:t>the transdermal T-gel group increase of 0.558% (2.</w:t>
            </w:r>
            <w:r w:rsidR="000116BE">
              <w:t>7887</w:t>
            </w:r>
            <w:r w:rsidRPr="00181CC6">
              <w:t>).  At Visit 7 (Day 365)</w:t>
            </w:r>
            <w:r w:rsidR="000116BE">
              <w:t>,</w:t>
            </w:r>
            <w:r w:rsidRPr="00181CC6">
              <w:t xml:space="preserve"> the absolute mean increase for Oral TU subjects was 2.920% (3.8773) compared </w:t>
            </w:r>
            <w:r w:rsidR="000116BE">
              <w:t>with</w:t>
            </w:r>
            <w:r w:rsidR="000116BE" w:rsidRPr="00181CC6">
              <w:t xml:space="preserve"> </w:t>
            </w:r>
            <w:r w:rsidRPr="00181CC6">
              <w:t>the transdermal T-gel increase of 1.356% (3.27</w:t>
            </w:r>
            <w:r w:rsidR="000116BE">
              <w:t>08</w:t>
            </w:r>
            <w:r w:rsidRPr="00181CC6">
              <w:t xml:space="preserve">).  There was a statistically significant difference between the Oral TU and transdermal T-gel group (p &lt; 0.0001), with the Oral TU group having a greater increase in Hct levels.  </w:t>
            </w:r>
            <w:r w:rsidR="004347DA">
              <w:t>Even with the rise in Hct, t</w:t>
            </w:r>
            <w:r w:rsidRPr="00181CC6">
              <w:t xml:space="preserve">he mean Hct levels at Visit 7 (Day 365) were within the normal range for both groups.  </w:t>
            </w:r>
          </w:p>
          <w:p w:rsidR="00181CC6" w:rsidRPr="0031280B" w:rsidRDefault="00181CC6" w:rsidP="00506CC1">
            <w:pPr>
              <w:pStyle w:val="C-TableText"/>
            </w:pPr>
          </w:p>
          <w:p w:rsidR="00BA5136" w:rsidRPr="0031280B" w:rsidRDefault="00C110DB" w:rsidP="00506CC1">
            <w:pPr>
              <w:pStyle w:val="C-TableText"/>
            </w:pPr>
            <w:r>
              <w:t xml:space="preserve">If the Hct was </w:t>
            </w:r>
            <w:r w:rsidR="00E01CA6" w:rsidRPr="0031280B">
              <w:t>persistent</w:t>
            </w:r>
            <w:r>
              <w:t>ly</w:t>
            </w:r>
            <w:r w:rsidR="00E01CA6" w:rsidRPr="0031280B">
              <w:t xml:space="preserve"> &gt;</w:t>
            </w:r>
            <w:r w:rsidR="008E4F8E" w:rsidRPr="0031280B">
              <w:t xml:space="preserve"> </w:t>
            </w:r>
            <w:r w:rsidR="00E01CA6" w:rsidRPr="0031280B">
              <w:t xml:space="preserve">54% </w:t>
            </w:r>
            <w:r>
              <w:t>and the Investigator felt it was warranted, then the subject underwent phlebotomy o</w:t>
            </w:r>
            <w:r w:rsidR="00E01CA6" w:rsidRPr="0031280B">
              <w:t>r discontinue</w:t>
            </w:r>
            <w:r>
              <w:t>d</w:t>
            </w:r>
            <w:r w:rsidR="00E01CA6" w:rsidRPr="0031280B">
              <w:t xml:space="preserve"> from the study.  The total number</w:t>
            </w:r>
            <w:r w:rsidR="00D7529C" w:rsidRPr="0031280B">
              <w:t xml:space="preserve"> </w:t>
            </w:r>
            <w:r w:rsidR="00E01CA6" w:rsidRPr="0031280B">
              <w:t xml:space="preserve">of subjects in the overall study with a confirmed Hct value &gt; 54% for the Oral TU and transdermal T-gel groups was 4 (2.5%) and 1 (0.6%), respectively.  </w:t>
            </w:r>
            <w:r w:rsidR="004347DA" w:rsidRPr="004347DA">
              <w:t xml:space="preserve">Four subjects on Oral TU underwent phlebotomy and </w:t>
            </w:r>
            <w:r w:rsidR="0014655A">
              <w:t>four</w:t>
            </w:r>
            <w:r w:rsidR="004347DA" w:rsidRPr="004347DA">
              <w:t xml:space="preserve"> subjects on transdermal T-gel underwent phlebotomy</w:t>
            </w:r>
            <w:r w:rsidR="004347DA">
              <w:t>.</w:t>
            </w:r>
          </w:p>
          <w:p w:rsidR="00BA5136" w:rsidRPr="0031280B" w:rsidRDefault="00BA5136" w:rsidP="00506CC1">
            <w:pPr>
              <w:pStyle w:val="C-TableText"/>
            </w:pPr>
          </w:p>
          <w:p w:rsidR="00EC0679" w:rsidRPr="0031280B" w:rsidRDefault="00E01CA6" w:rsidP="00506CC1">
            <w:pPr>
              <w:pStyle w:val="C-TableText"/>
            </w:pPr>
            <w:r w:rsidRPr="0031280B">
              <w:lastRenderedPageBreak/>
              <w:t xml:space="preserve">For the Oral TU group, there was a general trend across all visits for subjects who were classified at baseline as having a normal Hct to change in Hct classification to high.  By </w:t>
            </w:r>
            <w:r w:rsidR="00BA5136" w:rsidRPr="0031280B">
              <w:t>Visit 7 (</w:t>
            </w:r>
            <w:r w:rsidRPr="0031280B">
              <w:t>Day 365</w:t>
            </w:r>
            <w:r w:rsidR="00BA5136" w:rsidRPr="0031280B">
              <w:t>)</w:t>
            </w:r>
            <w:r w:rsidRPr="0031280B">
              <w:t>, 39% of Oral TU subjects who were classified as normal at baseline shifted to high while 22% of transdermal T-gel subjects shifted to high</w:t>
            </w:r>
            <w:r w:rsidR="00BA5136" w:rsidRPr="0031280B">
              <w:t>.</w:t>
            </w:r>
          </w:p>
          <w:p w:rsidR="00BA5136" w:rsidRPr="0031280B" w:rsidRDefault="00BA5136" w:rsidP="00506CC1">
            <w:pPr>
              <w:pStyle w:val="C-TableText"/>
            </w:pPr>
          </w:p>
          <w:p w:rsidR="001848B7" w:rsidRDefault="001848B7" w:rsidP="00565A01">
            <w:pPr>
              <w:pStyle w:val="C-TableText"/>
            </w:pPr>
            <w:r>
              <w:t>In order to assess whether subjects with high C</w:t>
            </w:r>
            <w:r w:rsidRPr="001848B7">
              <w:rPr>
                <w:vertAlign w:val="subscript"/>
              </w:rPr>
              <w:t>max</w:t>
            </w:r>
            <w:r>
              <w:t xml:space="preserve"> values (&gt;</w:t>
            </w:r>
            <w:r w:rsidR="000116BE">
              <w:t xml:space="preserve"> </w:t>
            </w:r>
            <w:r>
              <w:t>1500 ng/dL) had greater changes in Hcts, Hct was analyzed by treatment group and serum T C</w:t>
            </w:r>
            <w:r w:rsidRPr="001848B7">
              <w:rPr>
                <w:vertAlign w:val="subscript"/>
              </w:rPr>
              <w:t>max</w:t>
            </w:r>
            <w:r>
              <w:t xml:space="preserve"> levels.  There was not a consistent trend for an association of increase in Hct and C</w:t>
            </w:r>
            <w:r w:rsidRPr="001848B7">
              <w:rPr>
                <w:vertAlign w:val="subscript"/>
              </w:rPr>
              <w:t>max</w:t>
            </w:r>
            <w:r>
              <w:t xml:space="preserve"> levels for the subjects receiving Oral TU.  At Visit 4 (Day 90 or 105) the mean absolute increase of Hct was slightly greater in subjects whose serum T C</w:t>
            </w:r>
            <w:r w:rsidRPr="001848B7">
              <w:rPr>
                <w:vertAlign w:val="subscript"/>
              </w:rPr>
              <w:t>max</w:t>
            </w:r>
            <w:r>
              <w:t xml:space="preserve"> level was &gt; 1500 ng/dL </w:t>
            </w:r>
            <w:r w:rsidR="000116BE">
              <w:t>(mean difference [Std] 2.4</w:t>
            </w:r>
            <w:r w:rsidR="009D211C">
              <w:t>1</w:t>
            </w:r>
            <w:r w:rsidR="000116BE">
              <w:t xml:space="preserve"> [4.13</w:t>
            </w:r>
            <w:r w:rsidR="009D211C">
              <w:t>4</w:t>
            </w:r>
            <w:r w:rsidR="000116BE">
              <w:t xml:space="preserve">]) </w:t>
            </w:r>
            <w:r>
              <w:t xml:space="preserve">compared </w:t>
            </w:r>
            <w:r w:rsidR="000116BE">
              <w:t xml:space="preserve">with </w:t>
            </w:r>
            <w:r>
              <w:t>subjects whose serum T C</w:t>
            </w:r>
            <w:r w:rsidRPr="001848B7">
              <w:rPr>
                <w:vertAlign w:val="subscript"/>
              </w:rPr>
              <w:t>max</w:t>
            </w:r>
            <w:r>
              <w:t xml:space="preserve"> ≤ 1500 ng/dL (1.9</w:t>
            </w:r>
            <w:r w:rsidR="009D211C">
              <w:t>2</w:t>
            </w:r>
            <w:r>
              <w:t xml:space="preserve"> [2.87</w:t>
            </w:r>
            <w:r w:rsidR="009D211C">
              <w:t>0</w:t>
            </w:r>
            <w:r>
              <w:t>]).  However</w:t>
            </w:r>
            <w:r w:rsidR="000116BE">
              <w:t>,</w:t>
            </w:r>
            <w:r>
              <w:t xml:space="preserve"> by Visit 7 (Day 365)</w:t>
            </w:r>
            <w:r w:rsidR="000116BE">
              <w:t>,</w:t>
            </w:r>
            <w:r>
              <w:t xml:space="preserve"> this trend was not apparent as the increase in Hct in the subjects with C</w:t>
            </w:r>
            <w:r w:rsidRPr="001848B7">
              <w:rPr>
                <w:vertAlign w:val="subscript"/>
              </w:rPr>
              <w:t>max</w:t>
            </w:r>
            <w:r>
              <w:t xml:space="preserve"> &gt;</w:t>
            </w:r>
            <w:r w:rsidR="000116BE">
              <w:t xml:space="preserve"> </w:t>
            </w:r>
            <w:r>
              <w:t>1500 ng/dL of 3.0</w:t>
            </w:r>
            <w:r w:rsidR="009D211C">
              <w:t>4</w:t>
            </w:r>
            <w:r>
              <w:t xml:space="preserve"> (4.08</w:t>
            </w:r>
            <w:r w:rsidR="009D211C">
              <w:t>1</w:t>
            </w:r>
            <w:r>
              <w:t xml:space="preserve">) was essentially the same as in subjects with a serum T </w:t>
            </w:r>
            <w:r w:rsidR="0025183A">
              <w:br/>
            </w:r>
            <w:r>
              <w:t>C</w:t>
            </w:r>
            <w:r w:rsidRPr="001848B7">
              <w:rPr>
                <w:vertAlign w:val="subscript"/>
              </w:rPr>
              <w:t>max</w:t>
            </w:r>
            <w:r>
              <w:t xml:space="preserve"> ≤ 1500 ng/dL</w:t>
            </w:r>
            <w:r w:rsidR="000116BE">
              <w:t>,</w:t>
            </w:r>
            <w:r>
              <w:t xml:space="preserve"> which was 2.</w:t>
            </w:r>
            <w:r w:rsidR="009D211C">
              <w:t>88</w:t>
            </w:r>
            <w:r>
              <w:t xml:space="preserve"> (3.8</w:t>
            </w:r>
            <w:r w:rsidR="009D211C">
              <w:t>87</w:t>
            </w:r>
            <w:r>
              <w:t xml:space="preserve">). </w:t>
            </w:r>
          </w:p>
          <w:p w:rsidR="001848B7" w:rsidRPr="0031280B" w:rsidRDefault="001848B7" w:rsidP="00565A01">
            <w:pPr>
              <w:pStyle w:val="C-TableText"/>
            </w:pPr>
          </w:p>
          <w:p w:rsidR="0029780D" w:rsidRDefault="001848B7" w:rsidP="00506CC1">
            <w:pPr>
              <w:pStyle w:val="C-TableText"/>
            </w:pPr>
            <w:r w:rsidRPr="001848B7">
              <w:t>In order to assess whether subjects with high C</w:t>
            </w:r>
            <w:r w:rsidRPr="001848B7">
              <w:rPr>
                <w:vertAlign w:val="subscript"/>
              </w:rPr>
              <w:t>avg</w:t>
            </w:r>
            <w:r w:rsidRPr="001848B7">
              <w:t xml:space="preserve"> values (&gt;</w:t>
            </w:r>
            <w:r w:rsidR="000116BE">
              <w:t xml:space="preserve"> </w:t>
            </w:r>
            <w:r w:rsidRPr="001848B7">
              <w:t>1000 ng/dL) had higher Hcts, Hct was analyzed by treatment group and serum T C</w:t>
            </w:r>
            <w:r w:rsidRPr="001848B7">
              <w:rPr>
                <w:vertAlign w:val="subscript"/>
              </w:rPr>
              <w:t>avg</w:t>
            </w:r>
            <w:r w:rsidRPr="001848B7">
              <w:t xml:space="preserve"> levels.  There were relatively few subjects with C</w:t>
            </w:r>
            <w:r w:rsidRPr="001848B7">
              <w:rPr>
                <w:vertAlign w:val="subscript"/>
              </w:rPr>
              <w:t>avg</w:t>
            </w:r>
            <w:r w:rsidRPr="001848B7">
              <w:t xml:space="preserve"> </w:t>
            </w:r>
            <w:r w:rsidR="000116BE">
              <w:t>&gt;</w:t>
            </w:r>
            <w:r w:rsidRPr="001848B7">
              <w:t xml:space="preserve"> 1000 ng/dL, so the generalizability of the analysis is somewhat limited.  For Oral TU subjects, there was not a consistent pattern during the course of the study.  At Visit 4 (Day 90 or 105), the mean absolute increase was 1.2% (5.10) for subjects with serum T C</w:t>
            </w:r>
            <w:r w:rsidRPr="001848B7">
              <w:rPr>
                <w:vertAlign w:val="subscript"/>
              </w:rPr>
              <w:t>avg</w:t>
            </w:r>
            <w:r w:rsidRPr="001848B7">
              <w:t xml:space="preserve"> &gt; 1000 ng/dL compared </w:t>
            </w:r>
            <w:r w:rsidR="000116BE">
              <w:t>with</w:t>
            </w:r>
            <w:r w:rsidR="000116BE" w:rsidRPr="001848B7">
              <w:t xml:space="preserve"> </w:t>
            </w:r>
            <w:r w:rsidRPr="001848B7">
              <w:t>an increase of 2.2% (3.22) for subjects with serum T C</w:t>
            </w:r>
            <w:r w:rsidRPr="001848B7">
              <w:rPr>
                <w:vertAlign w:val="subscript"/>
              </w:rPr>
              <w:t>avg</w:t>
            </w:r>
            <w:r w:rsidRPr="001848B7">
              <w:t xml:space="preserve"> ≤ 1000 ng/dL.  At Visit 7 (Day 365)</w:t>
            </w:r>
            <w:r w:rsidR="000116BE">
              <w:t>,</w:t>
            </w:r>
            <w:r w:rsidRPr="001848B7">
              <w:t xml:space="preserve"> the changes from baseline were essentially the same regardless of the C</w:t>
            </w:r>
            <w:r w:rsidRPr="001848B7">
              <w:rPr>
                <w:vertAlign w:val="subscript"/>
              </w:rPr>
              <w:t>avg</w:t>
            </w:r>
            <w:r>
              <w:t>.</w:t>
            </w:r>
          </w:p>
          <w:p w:rsidR="001848B7" w:rsidRPr="0031280B" w:rsidRDefault="001848B7" w:rsidP="00506CC1">
            <w:pPr>
              <w:pStyle w:val="C-TableText"/>
            </w:pPr>
          </w:p>
          <w:p w:rsidR="008B36C7" w:rsidRPr="0031280B" w:rsidRDefault="008B36C7" w:rsidP="00506CC1">
            <w:pPr>
              <w:pStyle w:val="C-TableText"/>
              <w:rPr>
                <w:i/>
              </w:rPr>
            </w:pPr>
            <w:r w:rsidRPr="0031280B">
              <w:rPr>
                <w:i/>
              </w:rPr>
              <w:t>Liver and Renal Function</w:t>
            </w:r>
          </w:p>
          <w:p w:rsidR="00E01CA6" w:rsidRDefault="00C417F1" w:rsidP="008B36C7">
            <w:pPr>
              <w:pStyle w:val="C-TableText"/>
            </w:pPr>
            <w:r w:rsidRPr="00AE6938">
              <w:t xml:space="preserve">Liver function was assessed </w:t>
            </w:r>
            <w:r w:rsidR="000116BE">
              <w:t>by</w:t>
            </w:r>
            <w:r w:rsidR="000116BE" w:rsidRPr="00AE6938">
              <w:t xml:space="preserve"> </w:t>
            </w:r>
            <w:r w:rsidRPr="00AE6938">
              <w:t xml:space="preserve">measuring total bilirubin, ALP, ALT, and AST levels.  The majority of changes experienced by subjects were not considered clinically significant.  However, one subject’s </w:t>
            </w:r>
            <w:r w:rsidR="0025183A">
              <w:br/>
            </w:r>
            <w:r w:rsidRPr="00AE6938">
              <w:t>(104-008, Oral TU group) ALT and AST levels at Visit 6 were approximately 2.5</w:t>
            </w:r>
            <w:r w:rsidR="003B6CD2">
              <w:t>-</w:t>
            </w:r>
            <w:r w:rsidRPr="00AE6938">
              <w:t xml:space="preserve"> and 3.4</w:t>
            </w:r>
            <w:r w:rsidR="003B6CD2">
              <w:t>-</w:t>
            </w:r>
            <w:r w:rsidRPr="00AE6938">
              <w:t>fold higher than the ULN, respectively.  These changes were considered clinically significant.  Bilirubin concentration remained in the normal range at 0.4 mg/dL.</w:t>
            </w:r>
            <w:r>
              <w:t xml:space="preserve">  A repeat analysis was performed in between Visit 6 and Visit 7 which showed that both ALT and AST levels had decreased to approximately 1.1</w:t>
            </w:r>
            <w:r w:rsidR="003B6CD2">
              <w:t>-</w:t>
            </w:r>
            <w:r>
              <w:t>fold above the ULN and these changes were no longer considered clinically significant.  By Visit 7, ALT and AST levels had risen again to 1.8</w:t>
            </w:r>
            <w:r w:rsidR="003B6CD2">
              <w:t>-</w:t>
            </w:r>
            <w:r>
              <w:t xml:space="preserve"> and 2.6</w:t>
            </w:r>
            <w:r w:rsidR="003B6CD2">
              <w:t>-</w:t>
            </w:r>
            <w:r>
              <w:t>fold above the ULN, respectively</w:t>
            </w:r>
            <w:r w:rsidR="003B6CD2">
              <w:t>,</w:t>
            </w:r>
            <w:r>
              <w:t xml:space="preserve"> but these changes were not considered clinically significant.  Throughout this period, bilirubin remained in the normal range</w:t>
            </w:r>
            <w:r w:rsidR="003B6CD2">
              <w:t>.</w:t>
            </w:r>
          </w:p>
          <w:p w:rsidR="00C417F1" w:rsidRPr="0031280B" w:rsidRDefault="00C417F1" w:rsidP="008B36C7">
            <w:pPr>
              <w:pStyle w:val="C-TableText"/>
            </w:pPr>
          </w:p>
          <w:p w:rsidR="00E01CA6" w:rsidRPr="004D7F69" w:rsidRDefault="00E01CA6" w:rsidP="008B36C7">
            <w:pPr>
              <w:pStyle w:val="C-TableText"/>
            </w:pPr>
            <w:r w:rsidRPr="0031280B">
              <w:t xml:space="preserve">The </w:t>
            </w:r>
            <w:r w:rsidRPr="004D7F69">
              <w:t>majority of subjects did not experience any changes in renal function.  There were</w:t>
            </w:r>
            <w:r w:rsidR="005C0F71">
              <w:t xml:space="preserve"> </w:t>
            </w:r>
            <w:r w:rsidR="00DF102C">
              <w:t>three</w:t>
            </w:r>
            <w:r w:rsidR="005C0F71">
              <w:t xml:space="preserve"> subjects on </w:t>
            </w:r>
            <w:r w:rsidR="00DF102C">
              <w:t>O</w:t>
            </w:r>
            <w:r w:rsidR="005C0F71">
              <w:t>ral TU and</w:t>
            </w:r>
            <w:r w:rsidR="00DF102C">
              <w:t xml:space="preserve"> two</w:t>
            </w:r>
            <w:r w:rsidR="005C0F71">
              <w:t xml:space="preserve"> on </w:t>
            </w:r>
            <w:r w:rsidR="00DF102C">
              <w:t>tran</w:t>
            </w:r>
            <w:r w:rsidR="001B00DC">
              <w:t>s</w:t>
            </w:r>
            <w:r w:rsidR="00DF102C">
              <w:t xml:space="preserve">dermal </w:t>
            </w:r>
            <w:r w:rsidR="005C0F71">
              <w:t xml:space="preserve">T-gel who had increases </w:t>
            </w:r>
            <w:r w:rsidR="005C7454">
              <w:t>in creatinine levels that were considered clinically significant.  In no cases did the creatinine rise to &gt; 2.0 mg/dL nor rise more than 0.5 mg/dL.</w:t>
            </w:r>
          </w:p>
          <w:p w:rsidR="00E01CA6" w:rsidRPr="004D7F69" w:rsidRDefault="00E01CA6" w:rsidP="008B36C7">
            <w:pPr>
              <w:pStyle w:val="C-TableText"/>
            </w:pPr>
          </w:p>
          <w:p w:rsidR="00C800F8" w:rsidRPr="004D7F69" w:rsidRDefault="00FE49F8" w:rsidP="00506CC1">
            <w:pPr>
              <w:pStyle w:val="C-TableText"/>
              <w:rPr>
                <w:i/>
              </w:rPr>
            </w:pPr>
            <w:r w:rsidRPr="004D7F69">
              <w:rPr>
                <w:i/>
              </w:rPr>
              <w:t>Biochemistry-Triglycerides</w:t>
            </w:r>
          </w:p>
          <w:p w:rsidR="00017C8C" w:rsidRPr="004D7F69" w:rsidRDefault="00A34064" w:rsidP="00A34064">
            <w:pPr>
              <w:pStyle w:val="C-TableText"/>
            </w:pPr>
            <w:r w:rsidRPr="004D7F69">
              <w:t xml:space="preserve">Testosterone replacement therapy is associated with changes in the lipid profiles which include triglyceride (TG) levels.  </w:t>
            </w:r>
            <w:r w:rsidR="00017C8C" w:rsidRPr="004D7F69">
              <w:t xml:space="preserve">The median baseline TG for Oral TU was 137.500 mg/dL which was lower than the transdermal T-gel group mean baseline TG of 144.000 mg/dL (laboratory reference range is &lt; 199 mg/dL).  Change from baseline at Visit 4 (Day 90 or 105) was similar between the two groups with the Oral TU group having an absolute median decrease of 16.000 mg/dL compared </w:t>
            </w:r>
            <w:r w:rsidR="003B6CD2">
              <w:t>with</w:t>
            </w:r>
            <w:r w:rsidR="003B6CD2" w:rsidRPr="004D7F69">
              <w:t xml:space="preserve"> </w:t>
            </w:r>
            <w:r w:rsidR="00017C8C" w:rsidRPr="004D7F69">
              <w:t>the transdermal T-gel group decrease of 15.000 mg/dL.  By Visit 7 (Day 365), the median TG for Oral TU was identical to baseline (137.500 mg/dL) with an absolute median decrease for Oral TU subjects of 7.000 mg/dL.  For transdermal T-gel, the median TG was 147.000 mg/dL with an absolute median change of 0.000 mg/dL.  The median TG levels at Visit 7 (Day 365) remained within the normal range.  Differences between the Oral TU and transdermal T-gel group were not statistically significant (p = 0.5790).</w:t>
            </w:r>
          </w:p>
          <w:p w:rsidR="00017C8C" w:rsidRPr="004D7F69" w:rsidRDefault="00017C8C" w:rsidP="00A34064">
            <w:pPr>
              <w:pStyle w:val="C-TableText"/>
            </w:pPr>
          </w:p>
          <w:p w:rsidR="00BA0A5E" w:rsidRPr="004D7F69" w:rsidRDefault="00017C8C" w:rsidP="00506CC1">
            <w:pPr>
              <w:pStyle w:val="C-TableText"/>
            </w:pPr>
            <w:r w:rsidRPr="004D7F69">
              <w:t>In order to assess whether subjects on Oral TU with high C</w:t>
            </w:r>
            <w:r w:rsidRPr="004D7F69">
              <w:rPr>
                <w:vertAlign w:val="subscript"/>
              </w:rPr>
              <w:t xml:space="preserve">max </w:t>
            </w:r>
            <w:r w:rsidRPr="004D7F69">
              <w:t>values (&gt;</w:t>
            </w:r>
            <w:r w:rsidR="003B6CD2">
              <w:t xml:space="preserve"> </w:t>
            </w:r>
            <w:r w:rsidRPr="004D7F69">
              <w:t>1500 ng/dL) had greater changes in TG, TG were analyzed by treatment group and serum T C</w:t>
            </w:r>
            <w:r w:rsidRPr="004D7F69">
              <w:rPr>
                <w:vertAlign w:val="subscript"/>
              </w:rPr>
              <w:t>max</w:t>
            </w:r>
            <w:r w:rsidRPr="004D7F69">
              <w:t xml:space="preserve"> levels.  For Oral TU subjects up to Visit 4 (Day 90 or 105), the median absolute change from baseline of TG was similar in subjects whose serum T C</w:t>
            </w:r>
            <w:r w:rsidRPr="004D7F69">
              <w:rPr>
                <w:vertAlign w:val="subscript"/>
              </w:rPr>
              <w:t>max</w:t>
            </w:r>
            <w:r w:rsidRPr="004D7F69">
              <w:t xml:space="preserve"> level was &gt; 1500 ng/dL compared </w:t>
            </w:r>
            <w:r w:rsidR="003B6CD2">
              <w:t>with</w:t>
            </w:r>
            <w:r w:rsidR="003B6CD2" w:rsidRPr="004D7F69">
              <w:t xml:space="preserve"> </w:t>
            </w:r>
            <w:r w:rsidRPr="004D7F69">
              <w:t>subjects whose serum T C</w:t>
            </w:r>
            <w:r w:rsidRPr="004D7F69">
              <w:rPr>
                <w:vertAlign w:val="subscript"/>
              </w:rPr>
              <w:t>max</w:t>
            </w:r>
            <w:r w:rsidRPr="004D7F69">
              <w:t xml:space="preserve"> ≤ 1500 ng/dL.  At Visit 4 (Day 90 or 105), the median absolute decrease was 17.0 mg/dL for subjects with serum T C</w:t>
            </w:r>
            <w:r w:rsidRPr="004D7F69">
              <w:rPr>
                <w:vertAlign w:val="subscript"/>
              </w:rPr>
              <w:t>max</w:t>
            </w:r>
            <w:r w:rsidRPr="004D7F69">
              <w:t xml:space="preserve"> &gt; 1500 ng/dL compared </w:t>
            </w:r>
            <w:r w:rsidR="003B6CD2">
              <w:t>with</w:t>
            </w:r>
            <w:r w:rsidR="003B6CD2" w:rsidRPr="004D7F69">
              <w:t xml:space="preserve"> </w:t>
            </w:r>
            <w:r w:rsidRPr="004D7F69">
              <w:t>the decrease of 16.0 mg/dL for subjects with serum T C</w:t>
            </w:r>
            <w:r w:rsidRPr="004D7F69">
              <w:rPr>
                <w:vertAlign w:val="subscript"/>
              </w:rPr>
              <w:t>max</w:t>
            </w:r>
            <w:r w:rsidRPr="004D7F69">
              <w:t xml:space="preserve"> ≤ 1500 ng/dL.  At Visit 7 (Day 365), the median absolute decrease was 2.0 mg/dL for subjects with serum T C</w:t>
            </w:r>
            <w:r w:rsidRPr="004D7F69">
              <w:rPr>
                <w:vertAlign w:val="subscript"/>
              </w:rPr>
              <w:t>max</w:t>
            </w:r>
            <w:r w:rsidRPr="004D7F69">
              <w:t xml:space="preserve"> &gt; 1500 ng/dL compared </w:t>
            </w:r>
            <w:r w:rsidR="003B6CD2">
              <w:t>with</w:t>
            </w:r>
            <w:r w:rsidR="003B6CD2" w:rsidRPr="004D7F69">
              <w:t xml:space="preserve"> </w:t>
            </w:r>
            <w:r w:rsidRPr="004D7F69">
              <w:t xml:space="preserve">the </w:t>
            </w:r>
            <w:r w:rsidRPr="004D7F69">
              <w:lastRenderedPageBreak/>
              <w:t>decrease of 8.0 mg/dL for subjects with serum T C</w:t>
            </w:r>
            <w:r w:rsidRPr="004D7F69">
              <w:rPr>
                <w:vertAlign w:val="subscript"/>
              </w:rPr>
              <w:t>max</w:t>
            </w:r>
            <w:r w:rsidRPr="004D7F69">
              <w:t xml:space="preserve"> ≤ 1500 ng/dL.</w:t>
            </w:r>
          </w:p>
          <w:p w:rsidR="00017C8C" w:rsidRPr="004D7F69" w:rsidRDefault="00017C8C" w:rsidP="00506CC1">
            <w:pPr>
              <w:pStyle w:val="C-TableText"/>
            </w:pPr>
          </w:p>
          <w:p w:rsidR="000F19DE" w:rsidRPr="004D7F69" w:rsidRDefault="00017C8C" w:rsidP="00506CC1">
            <w:pPr>
              <w:pStyle w:val="C-TableText"/>
            </w:pPr>
            <w:r w:rsidRPr="004D7F69">
              <w:t>In order to assess whether subjects with high C</w:t>
            </w:r>
            <w:r w:rsidRPr="004D7F69">
              <w:rPr>
                <w:vertAlign w:val="subscript"/>
              </w:rPr>
              <w:t>avg</w:t>
            </w:r>
            <w:r w:rsidRPr="004D7F69">
              <w:t xml:space="preserve"> values (&gt;</w:t>
            </w:r>
            <w:r w:rsidR="003B6CD2">
              <w:t xml:space="preserve"> </w:t>
            </w:r>
            <w:r w:rsidRPr="004D7F69">
              <w:t>1000 ng/dL) had greater changes in TG, TG were analyzed by treatment group and serum T C</w:t>
            </w:r>
            <w:r w:rsidRPr="004D7F69">
              <w:rPr>
                <w:vertAlign w:val="subscript"/>
              </w:rPr>
              <w:t>avg</w:t>
            </w:r>
            <w:r w:rsidRPr="004D7F69">
              <w:t xml:space="preserve"> levels.  </w:t>
            </w:r>
            <w:r w:rsidR="00D10D11" w:rsidRPr="0097168D">
              <w:t>There were relatively few subjects with C</w:t>
            </w:r>
            <w:r w:rsidR="00D10D11" w:rsidRPr="0097168D">
              <w:rPr>
                <w:vertAlign w:val="subscript"/>
              </w:rPr>
              <w:t>avg</w:t>
            </w:r>
            <w:r w:rsidR="00D10D11" w:rsidRPr="0097168D">
              <w:t xml:space="preserve"> greater than 1000 ng/dL (Oral TU range of number of subjects = 14 [Visit 4] to four subjects [Visit 7] and transdermal T-gel range of number of subjects = three [Visit 4] to zero [Visit 7] subjects)</w:t>
            </w:r>
            <w:r w:rsidR="00D10D11">
              <w:t xml:space="preserve"> </w:t>
            </w:r>
            <w:r w:rsidR="00D10D11" w:rsidRPr="00572B23">
              <w:t xml:space="preserve">which limits the generalizability of the analysis.  </w:t>
            </w:r>
            <w:r w:rsidRPr="004D7F69">
              <w:t>At Visit 4 (Day 90 or 105), the median absolute decrease was 17.0 mg/dL for subjects with serum T C</w:t>
            </w:r>
            <w:r w:rsidRPr="004D7F69">
              <w:rPr>
                <w:vertAlign w:val="subscript"/>
              </w:rPr>
              <w:t>avg</w:t>
            </w:r>
            <w:r w:rsidRPr="004D7F69">
              <w:t xml:space="preserve"> &gt; 1000 ng/dL compared </w:t>
            </w:r>
            <w:r w:rsidR="003B6CD2">
              <w:t>with</w:t>
            </w:r>
            <w:r w:rsidR="003B6CD2" w:rsidRPr="004D7F69">
              <w:t xml:space="preserve"> </w:t>
            </w:r>
            <w:r w:rsidRPr="004D7F69">
              <w:t>the decrease of 16.0 mg/dL for subjects with serum T C</w:t>
            </w:r>
            <w:r w:rsidRPr="004D7F69">
              <w:rPr>
                <w:vertAlign w:val="subscript"/>
              </w:rPr>
              <w:t>avg</w:t>
            </w:r>
            <w:r w:rsidRPr="004D7F69">
              <w:t xml:space="preserve"> ≤ 1000 ng/dL.  At Visit 7 (Day 365), the median absolute increase was 42.5 mg/dL for subjects with serum T C</w:t>
            </w:r>
            <w:r w:rsidRPr="004D7F69">
              <w:rPr>
                <w:vertAlign w:val="subscript"/>
              </w:rPr>
              <w:t>avg</w:t>
            </w:r>
            <w:r w:rsidRPr="004D7F69">
              <w:t xml:space="preserve"> &gt; 1000 ng/dL compared </w:t>
            </w:r>
            <w:r w:rsidR="001549EB">
              <w:t>with</w:t>
            </w:r>
            <w:r w:rsidR="001549EB" w:rsidRPr="004D7F69">
              <w:t xml:space="preserve"> </w:t>
            </w:r>
            <w:r w:rsidRPr="004D7F69">
              <w:t>the decrease of 6.5 mg/dL for subjects with serum T C</w:t>
            </w:r>
            <w:r w:rsidRPr="004D7F69">
              <w:rPr>
                <w:vertAlign w:val="subscript"/>
              </w:rPr>
              <w:t>avg</w:t>
            </w:r>
            <w:r w:rsidRPr="004D7F69">
              <w:t xml:space="preserve"> ≤ 1000 ng/dL.  There were no apparent trends as the me</w:t>
            </w:r>
            <w:r w:rsidR="00D10D11">
              <w:t>di</w:t>
            </w:r>
            <w:r w:rsidRPr="004D7F69">
              <w:t>an absolute change from baseline varied considerably across the two groups.</w:t>
            </w:r>
          </w:p>
          <w:p w:rsidR="005D5012" w:rsidRPr="004D7F69" w:rsidRDefault="005D5012" w:rsidP="00506CC1">
            <w:pPr>
              <w:pStyle w:val="C-TableText"/>
            </w:pPr>
          </w:p>
          <w:p w:rsidR="005D5012" w:rsidRPr="004D7F69" w:rsidRDefault="005D5012" w:rsidP="005D5012">
            <w:pPr>
              <w:pStyle w:val="C-TableText"/>
            </w:pPr>
            <w:r w:rsidRPr="004D7F69">
              <w:t>The TG shift table revealed similar trends for the Oral TU and transdermal T-gel group.  By Visit 7 (Day 365), 40.5% of Oral TU subjects who were classified as high at baseline shifted to normal while 35.1% of transdermal T-gel subjects shifted to normal.</w:t>
            </w:r>
          </w:p>
          <w:p w:rsidR="005D5012" w:rsidRPr="004D7F69" w:rsidRDefault="005D5012" w:rsidP="00506CC1">
            <w:pPr>
              <w:pStyle w:val="C-TableText"/>
              <w:rPr>
                <w:i/>
              </w:rPr>
            </w:pPr>
          </w:p>
          <w:p w:rsidR="00FE49F8" w:rsidRPr="004D7F69" w:rsidRDefault="00FE49F8" w:rsidP="00506CC1">
            <w:pPr>
              <w:pStyle w:val="C-TableText"/>
              <w:rPr>
                <w:i/>
              </w:rPr>
            </w:pPr>
            <w:r w:rsidRPr="004D7F69">
              <w:rPr>
                <w:i/>
              </w:rPr>
              <w:t>Biochemistry-Total Cholesterol, HDL, and LDL</w:t>
            </w:r>
          </w:p>
          <w:p w:rsidR="002804A6" w:rsidRPr="004D7F69" w:rsidRDefault="00753829" w:rsidP="002804A6">
            <w:pPr>
              <w:pStyle w:val="C-TableText"/>
            </w:pPr>
            <w:r w:rsidRPr="004D7F69">
              <w:t xml:space="preserve">Testosterone replacement therapy is known to alter lipid profiles – particularly HDL.  In previous studies, Oral TU has been shown to decrease HDL levels.  However, the duration of previous studies was too short to assess longer-term effects of Oral TU on HDL levels.  </w:t>
            </w:r>
          </w:p>
          <w:p w:rsidR="00753829" w:rsidRPr="004D7F69" w:rsidRDefault="00753829" w:rsidP="002804A6">
            <w:pPr>
              <w:pStyle w:val="C-TableText"/>
            </w:pPr>
          </w:p>
          <w:p w:rsidR="00017C8C" w:rsidRPr="004D7F69" w:rsidRDefault="00017C8C" w:rsidP="002804A6">
            <w:pPr>
              <w:pStyle w:val="C-TableText"/>
            </w:pPr>
            <w:r w:rsidRPr="004D7F69">
              <w:t>The median baseline total cholesterol for Oral TU was 181.0</w:t>
            </w:r>
            <w:r w:rsidR="001549EB">
              <w:t>00</w:t>
            </w:r>
            <w:r w:rsidRPr="004D7F69">
              <w:t xml:space="preserve"> mg/dL which was identical to the transdermal T-gel group median baseline total cholesterol.  Baseline values were below the laboratory reference range of &lt; 200 mg/dL.  There was a decrease from baseline in total cholesterol levels with TRT, with the median decrease at Visit 4 (Day 90 or 105) somewhat greater in the Oral TU group (18.500 mg/dL) than the transdermal T-gel group (10.000 mg/dL).  This somewhat greater decrease persisted at Visit 7 (Day 365) with the decrease in the Oral TU group (14.000 mg/dL) greater than the transdermal T-gel group </w:t>
            </w:r>
            <w:r w:rsidR="0025183A">
              <w:br/>
            </w:r>
            <w:r w:rsidRPr="004D7F69">
              <w:t>(8.000 mg/dL).  Differences between the Oral TU and transdermal T-gel group were</w:t>
            </w:r>
            <w:r w:rsidR="0025183A">
              <w:t xml:space="preserve"> not statistically significant </w:t>
            </w:r>
            <w:r w:rsidRPr="004D7F69">
              <w:t>(p = 0.1714).</w:t>
            </w:r>
          </w:p>
          <w:p w:rsidR="00D62872" w:rsidRPr="004D7F69" w:rsidRDefault="00D62872" w:rsidP="002804A6">
            <w:pPr>
              <w:pStyle w:val="C-TableText"/>
            </w:pPr>
          </w:p>
          <w:p w:rsidR="00D62872" w:rsidRPr="004D7F69" w:rsidRDefault="00D62872" w:rsidP="00D62872">
            <w:pPr>
              <w:pStyle w:val="C-TableText"/>
            </w:pPr>
            <w:r w:rsidRPr="004D7F69">
              <w:t>There was no obvious association between subjects who had larger changes in total cholesterol and high C</w:t>
            </w:r>
            <w:r w:rsidRPr="004D7F69">
              <w:rPr>
                <w:vertAlign w:val="subscript"/>
              </w:rPr>
              <w:t>max</w:t>
            </w:r>
            <w:r w:rsidRPr="004D7F69">
              <w:t xml:space="preserve"> values (&gt;</w:t>
            </w:r>
            <w:r w:rsidR="001549EB">
              <w:t xml:space="preserve"> </w:t>
            </w:r>
            <w:r w:rsidRPr="004D7F69">
              <w:t>1500 ng/dL).  For Oral TU subjects, the median absolute change from baseline of total cholesterol was similar in subjects whose serum T C</w:t>
            </w:r>
            <w:r w:rsidRPr="004D7F69">
              <w:rPr>
                <w:vertAlign w:val="subscript"/>
              </w:rPr>
              <w:t>max</w:t>
            </w:r>
            <w:r w:rsidRPr="004D7F69">
              <w:t xml:space="preserve"> level was &gt; 1500 ng/dL compared </w:t>
            </w:r>
            <w:r w:rsidR="001549EB">
              <w:t>with</w:t>
            </w:r>
            <w:r w:rsidR="001549EB" w:rsidRPr="004D7F69">
              <w:t xml:space="preserve"> </w:t>
            </w:r>
            <w:r w:rsidRPr="004D7F69">
              <w:t>subjects whose serum T C</w:t>
            </w:r>
            <w:r w:rsidRPr="004D7F69">
              <w:rPr>
                <w:vertAlign w:val="subscript"/>
              </w:rPr>
              <w:t>max</w:t>
            </w:r>
            <w:r w:rsidRPr="004D7F69">
              <w:t xml:space="preserve"> ≤ 1500 ng/dL.  At Visit 4 (Day 90 or 105), the median absolute decrease was 20.0 mg/dL for subjects with serum T Cmax &gt; 1500 ng/dL compared </w:t>
            </w:r>
            <w:r w:rsidR="001549EB">
              <w:t>with</w:t>
            </w:r>
            <w:r w:rsidR="001549EB" w:rsidRPr="004D7F69">
              <w:t xml:space="preserve"> </w:t>
            </w:r>
            <w:r w:rsidRPr="004D7F69">
              <w:t xml:space="preserve">17.5 mg/dL for subjects with serum T Cmax ≤ 1500 ng/dL.  At Visit 7 (Day 365) this trend continued with a decrease of 14.0 mg/dL in subjects with a serum T Cmax &gt; 1500 ng/dL compared </w:t>
            </w:r>
            <w:r w:rsidR="001549EB">
              <w:t>with</w:t>
            </w:r>
            <w:r w:rsidR="001549EB" w:rsidRPr="004D7F69">
              <w:t xml:space="preserve"> </w:t>
            </w:r>
            <w:r w:rsidRPr="004D7F69">
              <w:t xml:space="preserve">a decrease of 13.0 </w:t>
            </w:r>
            <w:r w:rsidR="001549EB">
              <w:t xml:space="preserve">mg/dL </w:t>
            </w:r>
            <w:r w:rsidRPr="004D7F69">
              <w:t>in subjects with serum T Cmax ≤ 1500 ng/dL.</w:t>
            </w:r>
          </w:p>
          <w:p w:rsidR="00D62872" w:rsidRPr="004D7F69" w:rsidRDefault="00D62872" w:rsidP="00D62872">
            <w:pPr>
              <w:pStyle w:val="C-TableText"/>
            </w:pPr>
          </w:p>
          <w:p w:rsidR="00D62872" w:rsidRPr="004D7F69" w:rsidRDefault="00D62872" w:rsidP="00D62872">
            <w:pPr>
              <w:pStyle w:val="C-TableText"/>
            </w:pPr>
            <w:r w:rsidRPr="004D7F69">
              <w:t>In order to assess whether subjects with high C</w:t>
            </w:r>
            <w:r w:rsidRPr="004D7F69">
              <w:rPr>
                <w:vertAlign w:val="subscript"/>
              </w:rPr>
              <w:t>avg</w:t>
            </w:r>
            <w:r w:rsidRPr="004D7F69">
              <w:t xml:space="preserve"> values (&gt;</w:t>
            </w:r>
            <w:r w:rsidR="001549EB">
              <w:t xml:space="preserve"> </w:t>
            </w:r>
            <w:r w:rsidRPr="004D7F69">
              <w:t xml:space="preserve">1000 ng/dL) had </w:t>
            </w:r>
            <w:r w:rsidR="00501319">
              <w:t>greater changes in</w:t>
            </w:r>
            <w:r w:rsidRPr="004D7F69">
              <w:t xml:space="preserve"> total cholesterol, total cholesterol was analyzed by treatment group and serum T C</w:t>
            </w:r>
            <w:r w:rsidRPr="004D7F69">
              <w:rPr>
                <w:vertAlign w:val="subscript"/>
              </w:rPr>
              <w:t>avg</w:t>
            </w:r>
            <w:r w:rsidRPr="004D7F69">
              <w:t xml:space="preserve"> levels.  There were relatively few subjects with C</w:t>
            </w:r>
            <w:r w:rsidRPr="004D7F69">
              <w:rPr>
                <w:vertAlign w:val="subscript"/>
              </w:rPr>
              <w:t>avg</w:t>
            </w:r>
            <w:r w:rsidRPr="004D7F69">
              <w:t xml:space="preserve"> greater than 1000 ng/dL</w:t>
            </w:r>
            <w:r w:rsidR="00D10D11">
              <w:t xml:space="preserve">, </w:t>
            </w:r>
            <w:r w:rsidR="00D10D11" w:rsidRPr="000E2CD9">
              <w:t>so the generalizability of the analysis is somewhat limited.</w:t>
            </w:r>
            <w:r w:rsidRPr="000E2CD9">
              <w:t xml:space="preserve">  Except</w:t>
            </w:r>
            <w:r w:rsidRPr="004D7F69">
              <w:t xml:space="preserve"> at Visit 2, for Oral TU subjects, the median absolute change from baseline of total cholesterol was greater in subjects whose serum T C</w:t>
            </w:r>
            <w:r w:rsidRPr="004D7F69">
              <w:rPr>
                <w:vertAlign w:val="subscript"/>
              </w:rPr>
              <w:t>avg</w:t>
            </w:r>
            <w:r w:rsidRPr="004D7F69">
              <w:t xml:space="preserve"> level was &gt; 1000 ng/dL.  At Visit 4 (Day 90 or 105), the median absolute decrease was 25.0 mg/dL for subjects with serum T C</w:t>
            </w:r>
            <w:r w:rsidRPr="004D7F69">
              <w:rPr>
                <w:vertAlign w:val="subscript"/>
              </w:rPr>
              <w:t>avg</w:t>
            </w:r>
            <w:r w:rsidRPr="004D7F69">
              <w:t xml:space="preserve"> &gt; 1000 ng/dL compared </w:t>
            </w:r>
            <w:r w:rsidR="001549EB">
              <w:t>with</w:t>
            </w:r>
            <w:r w:rsidR="001549EB" w:rsidRPr="004D7F69">
              <w:t xml:space="preserve"> </w:t>
            </w:r>
            <w:r w:rsidRPr="004D7F69">
              <w:t>a decrease of 18.0 mg/dL for subjects with serum T C</w:t>
            </w:r>
            <w:r w:rsidRPr="004D7F69">
              <w:rPr>
                <w:vertAlign w:val="subscript"/>
              </w:rPr>
              <w:t>avg</w:t>
            </w:r>
            <w:r w:rsidRPr="004D7F69">
              <w:t xml:space="preserve"> ≤ 1000 ng/dL.  At Visit 7 (Day 365), the median absolute decrease was 26.5 mg/dL for subjects with serum T C</w:t>
            </w:r>
            <w:r w:rsidRPr="004D7F69">
              <w:rPr>
                <w:vertAlign w:val="subscript"/>
              </w:rPr>
              <w:t>avg</w:t>
            </w:r>
            <w:r w:rsidRPr="004D7F69">
              <w:t xml:space="preserve"> &gt; 1000 ng/dL compared </w:t>
            </w:r>
            <w:r w:rsidR="001549EB">
              <w:t>with</w:t>
            </w:r>
            <w:r w:rsidR="001549EB" w:rsidRPr="004D7F69">
              <w:t xml:space="preserve"> </w:t>
            </w:r>
            <w:r w:rsidRPr="004D7F69">
              <w:t>a decrease of 13.0 mg/dL for subjects with serum T C</w:t>
            </w:r>
            <w:r w:rsidRPr="004D7F69">
              <w:rPr>
                <w:vertAlign w:val="subscript"/>
              </w:rPr>
              <w:t>avg</w:t>
            </w:r>
            <w:r w:rsidRPr="004D7F69">
              <w:t xml:space="preserve"> ≤ 1000 ng/dL.</w:t>
            </w:r>
          </w:p>
          <w:p w:rsidR="00017C8C" w:rsidRPr="004D7F69" w:rsidRDefault="00017C8C" w:rsidP="002804A6">
            <w:pPr>
              <w:pStyle w:val="C-TableText"/>
            </w:pPr>
          </w:p>
          <w:p w:rsidR="00544933" w:rsidRPr="004D7F69" w:rsidRDefault="00544933" w:rsidP="002804A6">
            <w:pPr>
              <w:pStyle w:val="C-TableText"/>
            </w:pPr>
            <w:r w:rsidRPr="004D7F69">
              <w:t xml:space="preserve">The median baseline HDL for Oral TU was 47.000 mg/dL which was similar to the transdermal T-gel group median baseline HDL of 48.000 mg/dL.  Baseline values were </w:t>
            </w:r>
            <w:r w:rsidR="005C7454">
              <w:t xml:space="preserve">in the normal range which extends down to </w:t>
            </w:r>
            <w:r w:rsidR="001549EB" w:rsidRPr="004D7F69">
              <w:t>40</w:t>
            </w:r>
            <w:r w:rsidR="001549EB">
              <w:t> </w:t>
            </w:r>
            <w:r w:rsidRPr="004D7F69">
              <w:t xml:space="preserve">mg/dL.  Change from baseline at Visit 4 (Day 90 or 105) was greater in the Oral TU group with an absolute median decrease of 11.500 mg/dL compared </w:t>
            </w:r>
            <w:r w:rsidR="001549EB">
              <w:t>with</w:t>
            </w:r>
            <w:r w:rsidR="001549EB" w:rsidRPr="004D7F69">
              <w:t xml:space="preserve"> </w:t>
            </w:r>
            <w:r w:rsidRPr="004D7F69">
              <w:t>the transdermal T-gel group decrease of 6.000 mg/dL.  This represented a 23.54% median decrease from baseline in the Oral TU group but only a 12.50% median decrease from baseline for the transdermal T-gel group.  This decrease in HDL presented as early as Visit 2 (Day 30), and persisted throughout the study.  At Visit 7 (Day 365)</w:t>
            </w:r>
            <w:r w:rsidR="001549EB">
              <w:t>,</w:t>
            </w:r>
            <w:r w:rsidRPr="004D7F69">
              <w:t xml:space="preserve"> the absolute median decrease for </w:t>
            </w:r>
            <w:r w:rsidRPr="004D7F69">
              <w:lastRenderedPageBreak/>
              <w:t xml:space="preserve">Oral TU subjects was 11.000 mg/dL compared </w:t>
            </w:r>
            <w:r w:rsidR="001549EB">
              <w:t>with</w:t>
            </w:r>
            <w:r w:rsidR="001549EB" w:rsidRPr="004D7F69">
              <w:t xml:space="preserve"> </w:t>
            </w:r>
            <w:r w:rsidRPr="004D7F69">
              <w:t>the transdermal T-gel group decrease of 6.000 mg/dL, which represented a 25.00% median decrease in the Oral TU group and a 12.82% median decrease from baseline in the transdermal T-gel group.  There was a statistically significant difference between the Oral TU and transdermal T-gel group (p &lt; 0.0001), with the Oral TU group having a greater decrease in HDL levels.  The HDL effects were explored further in the CV biomarker sub</w:t>
            </w:r>
            <w:r w:rsidR="001549EB">
              <w:t>-</w:t>
            </w:r>
            <w:r w:rsidRPr="004D7F69">
              <w:t>study.</w:t>
            </w:r>
          </w:p>
          <w:p w:rsidR="00544933" w:rsidRPr="004D7F69" w:rsidRDefault="00544933" w:rsidP="002804A6">
            <w:pPr>
              <w:pStyle w:val="C-TableText"/>
            </w:pPr>
          </w:p>
          <w:p w:rsidR="00544933" w:rsidRPr="004D7F69" w:rsidRDefault="00B53E14" w:rsidP="002804A6">
            <w:pPr>
              <w:pStyle w:val="C-TableText"/>
            </w:pPr>
            <w:r w:rsidRPr="004D7F69">
              <w:t>In order to assess whether subjects with high C</w:t>
            </w:r>
            <w:r w:rsidRPr="004D7F69">
              <w:rPr>
                <w:vertAlign w:val="subscript"/>
              </w:rPr>
              <w:t>max</w:t>
            </w:r>
            <w:r w:rsidRPr="004D7F69">
              <w:t xml:space="preserve"> values (&gt;</w:t>
            </w:r>
            <w:r w:rsidR="001549EB">
              <w:t xml:space="preserve"> </w:t>
            </w:r>
            <w:r w:rsidRPr="004D7F69">
              <w:t xml:space="preserve">1500 ng/dL) had </w:t>
            </w:r>
            <w:r w:rsidR="00501319">
              <w:t>greater changes in</w:t>
            </w:r>
            <w:r w:rsidRPr="004D7F69">
              <w:t xml:space="preserve"> HDL, HDL was analyzed by treatment group and serum T C</w:t>
            </w:r>
            <w:r w:rsidRPr="004D7F69">
              <w:rPr>
                <w:vertAlign w:val="subscript"/>
              </w:rPr>
              <w:t xml:space="preserve">max </w:t>
            </w:r>
            <w:r w:rsidRPr="004D7F69">
              <w:t>levels.  For Oral TU subjects, the median absolute change from baseline of HDL was similar in subjects whose serum T C</w:t>
            </w:r>
            <w:r w:rsidRPr="004D7F69">
              <w:rPr>
                <w:vertAlign w:val="subscript"/>
              </w:rPr>
              <w:t>max</w:t>
            </w:r>
            <w:r w:rsidRPr="004D7F69">
              <w:t xml:space="preserve"> level was &gt; 1500 ng/dL compared </w:t>
            </w:r>
            <w:r w:rsidR="00F51BA2">
              <w:t>with</w:t>
            </w:r>
            <w:r w:rsidR="00F51BA2" w:rsidRPr="004D7F69">
              <w:t xml:space="preserve"> </w:t>
            </w:r>
            <w:r w:rsidRPr="004D7F69">
              <w:t>subjects whose serum T C</w:t>
            </w:r>
            <w:r w:rsidRPr="004D7F69">
              <w:rPr>
                <w:vertAlign w:val="subscript"/>
              </w:rPr>
              <w:t>max</w:t>
            </w:r>
            <w:r w:rsidRPr="004D7F69">
              <w:t xml:space="preserve"> ≤ 1500 ng/dL.  At Visit 4 (Day 90 or 105), the median absolute decrease was 12.0 mg/dL for subjects with serum T C</w:t>
            </w:r>
            <w:r w:rsidRPr="004D7F69">
              <w:rPr>
                <w:vertAlign w:val="subscript"/>
              </w:rPr>
              <w:t>max</w:t>
            </w:r>
            <w:r w:rsidRPr="004D7F69">
              <w:t xml:space="preserve"> &gt; 1500 ng/dL compared </w:t>
            </w:r>
            <w:r w:rsidR="00F51BA2">
              <w:t>with</w:t>
            </w:r>
            <w:r w:rsidR="00F51BA2" w:rsidRPr="004D7F69">
              <w:t xml:space="preserve"> </w:t>
            </w:r>
            <w:r w:rsidRPr="004D7F69">
              <w:t>a decrease of 11.5 mg/dL for subjects with serum T C</w:t>
            </w:r>
            <w:r w:rsidRPr="004D7F69">
              <w:rPr>
                <w:vertAlign w:val="subscript"/>
              </w:rPr>
              <w:t>max</w:t>
            </w:r>
            <w:r w:rsidRPr="004D7F69">
              <w:t xml:space="preserve"> ≤ 1500 ng/dL.  At Visit 7 (Day 365) the median absolute decrease was 13.</w:t>
            </w:r>
            <w:r w:rsidR="00F51BA2" w:rsidRPr="004D7F69">
              <w:t>0</w:t>
            </w:r>
            <w:r w:rsidR="00F51BA2">
              <w:t> </w:t>
            </w:r>
            <w:r w:rsidRPr="004D7F69">
              <w:t>mg/dL for subjects with serum T C</w:t>
            </w:r>
            <w:r w:rsidRPr="004D7F69">
              <w:rPr>
                <w:vertAlign w:val="subscript"/>
              </w:rPr>
              <w:t>max</w:t>
            </w:r>
            <w:r w:rsidRPr="004D7F69">
              <w:t xml:space="preserve"> &gt; 1500 ng/dL compared </w:t>
            </w:r>
            <w:r w:rsidR="00F51BA2">
              <w:t>with</w:t>
            </w:r>
            <w:r w:rsidR="00F51BA2" w:rsidRPr="004D7F69">
              <w:t xml:space="preserve"> </w:t>
            </w:r>
            <w:r w:rsidRPr="004D7F69">
              <w:t>a decrease of 10.0 mg/dL for subjects with serum T C</w:t>
            </w:r>
            <w:r w:rsidRPr="004D7F69">
              <w:rPr>
                <w:vertAlign w:val="subscript"/>
              </w:rPr>
              <w:t>max</w:t>
            </w:r>
            <w:r w:rsidRPr="004D7F69">
              <w:t xml:space="preserve"> ≤ 1500 ng/dL.</w:t>
            </w:r>
          </w:p>
          <w:p w:rsidR="00B53E14" w:rsidRPr="004D7F69" w:rsidRDefault="00B53E14" w:rsidP="002804A6">
            <w:pPr>
              <w:pStyle w:val="C-TableText"/>
            </w:pPr>
          </w:p>
          <w:p w:rsidR="00B53E14" w:rsidRPr="004D7F69" w:rsidRDefault="00B53E14" w:rsidP="002804A6">
            <w:pPr>
              <w:pStyle w:val="C-TableText"/>
            </w:pPr>
            <w:r w:rsidRPr="004D7F69">
              <w:t>In order to assess whether subjects with high C</w:t>
            </w:r>
            <w:r w:rsidRPr="004D7F69">
              <w:rPr>
                <w:vertAlign w:val="subscript"/>
              </w:rPr>
              <w:t>avg</w:t>
            </w:r>
            <w:r w:rsidRPr="004D7F69">
              <w:t xml:space="preserve"> values (&gt;</w:t>
            </w:r>
            <w:r w:rsidR="00F51BA2">
              <w:t xml:space="preserve"> </w:t>
            </w:r>
            <w:r w:rsidRPr="004D7F69">
              <w:t xml:space="preserve">1000 ng/dL) had </w:t>
            </w:r>
            <w:r w:rsidR="00501319">
              <w:t>greater changes in</w:t>
            </w:r>
            <w:r w:rsidRPr="004D7F69">
              <w:t xml:space="preserve"> HDL, HDL was analyzed by treatment group and serum T C</w:t>
            </w:r>
            <w:r w:rsidRPr="004D7F69">
              <w:rPr>
                <w:vertAlign w:val="subscript"/>
              </w:rPr>
              <w:t>avg</w:t>
            </w:r>
            <w:r w:rsidRPr="004D7F69">
              <w:t xml:space="preserve"> levels.  There were relatively few subjects with C</w:t>
            </w:r>
            <w:r w:rsidRPr="004D7F69">
              <w:rPr>
                <w:vertAlign w:val="subscript"/>
              </w:rPr>
              <w:t>avg</w:t>
            </w:r>
            <w:r w:rsidRPr="004D7F69">
              <w:t xml:space="preserve"> greater than 1000 ng/dL</w:t>
            </w:r>
            <w:r w:rsidR="00524985">
              <w:t xml:space="preserve">, </w:t>
            </w:r>
            <w:r w:rsidR="00524985" w:rsidRPr="000E2CD9">
              <w:t>so the generalizability of the analysis is somewhat limited</w:t>
            </w:r>
            <w:r w:rsidRPr="004D7F69">
              <w:t>.  For Oral TU subjects, the median absolute change from baseline of HDL was similar between the two groups.  At Visit 4 (Day 90 or 105), the median absolute decrease was 12.5 mg/dL for subjects with serum T C</w:t>
            </w:r>
            <w:r w:rsidRPr="004D7F69">
              <w:rPr>
                <w:vertAlign w:val="subscript"/>
              </w:rPr>
              <w:t>avg</w:t>
            </w:r>
            <w:r w:rsidRPr="004D7F69">
              <w:t xml:space="preserve"> &gt; 1000 ng/dL compared to a decrease of 11.0 mg/dL for subjects with serum T C</w:t>
            </w:r>
            <w:r w:rsidRPr="004D7F69">
              <w:rPr>
                <w:vertAlign w:val="subscript"/>
              </w:rPr>
              <w:t>avg</w:t>
            </w:r>
            <w:r w:rsidRPr="004D7F69">
              <w:t xml:space="preserve"> ≤ 1000 ng/dL.  At Visit 7 (Day 365)</w:t>
            </w:r>
            <w:r w:rsidR="00F51BA2">
              <w:t>,</w:t>
            </w:r>
            <w:r w:rsidRPr="004D7F69">
              <w:t xml:space="preserve"> the changes from baseline were essentially the same regardless of the C</w:t>
            </w:r>
            <w:r w:rsidRPr="004D7F69">
              <w:rPr>
                <w:vertAlign w:val="subscript"/>
              </w:rPr>
              <w:t>avg</w:t>
            </w:r>
            <w:r w:rsidR="00B60959" w:rsidRPr="00B60959">
              <w:t>.</w:t>
            </w:r>
          </w:p>
          <w:p w:rsidR="00544933" w:rsidRPr="004D7F69" w:rsidRDefault="00544933" w:rsidP="002804A6">
            <w:pPr>
              <w:pStyle w:val="C-TableText"/>
            </w:pPr>
          </w:p>
          <w:p w:rsidR="00D75FF6" w:rsidRPr="004D7F69" w:rsidRDefault="00B53E14" w:rsidP="002804A6">
            <w:pPr>
              <w:pStyle w:val="C-TableText"/>
            </w:pPr>
            <w:r w:rsidRPr="004D7F69">
              <w:t>The median baseline LDL for Oral TU was 102.000 mg/dL</w:t>
            </w:r>
            <w:r w:rsidR="00F51BA2">
              <w:t>,</w:t>
            </w:r>
            <w:r w:rsidRPr="004D7F69">
              <w:t xml:space="preserve"> which was identical to the transdermal T-gel group mean baseline LDL.  Baseline values for LDL were slightly above the laboratory reference range of </w:t>
            </w:r>
            <w:r w:rsidR="00F51BA2" w:rsidRPr="004D7F69">
              <w:t>≥</w:t>
            </w:r>
            <w:r w:rsidR="00F51BA2">
              <w:t> </w:t>
            </w:r>
            <w:r w:rsidRPr="004D7F69">
              <w:t xml:space="preserve">100 mg/dL.  The changes in LDL cholesterol during the study were very modest, with the absolute median decrease from baseline at Visit 4 (Day 90 or 105) being 4.000 mg/dL in the Oral TU group and 3.000 mg/dL in the transdermal T-gel group.  At Visit 7 (Day 365) the absolute median decrease for Oral TU subjects was </w:t>
            </w:r>
            <w:r w:rsidRPr="004D7F69">
              <w:br/>
              <w:t xml:space="preserve">2.000 mg/dL compared to the transdermal T-gel change of 0.000 mg/dL.  </w:t>
            </w:r>
            <w:r w:rsidR="00D75FF6" w:rsidRPr="004D7F69">
              <w:t>Differences between the Oral TU and transdermal T-gel group were not statistically significant (p = 0.6020).</w:t>
            </w:r>
          </w:p>
          <w:p w:rsidR="00D75FF6" w:rsidRPr="004D7F69" w:rsidRDefault="00D75FF6" w:rsidP="002804A6">
            <w:pPr>
              <w:pStyle w:val="C-TableText"/>
            </w:pPr>
          </w:p>
          <w:p w:rsidR="00B53E14" w:rsidRPr="004D7F69" w:rsidRDefault="00B53E14" w:rsidP="002804A6">
            <w:pPr>
              <w:pStyle w:val="C-TableText"/>
            </w:pPr>
            <w:r w:rsidRPr="004D7F69">
              <w:t>In order to assess whether subjects with high C</w:t>
            </w:r>
            <w:r w:rsidRPr="004D7F69">
              <w:rPr>
                <w:vertAlign w:val="subscript"/>
              </w:rPr>
              <w:t>max</w:t>
            </w:r>
            <w:r w:rsidRPr="004D7F69">
              <w:t xml:space="preserve"> values (&gt;</w:t>
            </w:r>
            <w:r w:rsidR="00F51BA2">
              <w:t xml:space="preserve"> </w:t>
            </w:r>
            <w:r w:rsidRPr="004D7F69">
              <w:t xml:space="preserve">1500 ng/dL) had </w:t>
            </w:r>
            <w:r w:rsidR="00501319">
              <w:t>greater changes in</w:t>
            </w:r>
            <w:r w:rsidRPr="004D7F69">
              <w:t xml:space="preserve"> LDL, LDL was analyzed by treatment group and serum T C</w:t>
            </w:r>
            <w:r w:rsidRPr="004D7F69">
              <w:rPr>
                <w:vertAlign w:val="subscript"/>
              </w:rPr>
              <w:t xml:space="preserve">max </w:t>
            </w:r>
            <w:r w:rsidRPr="004D7F69">
              <w:t>levels.  For Oral TU subjects, except for Visit 7 (Day 365), the median absolute change from baseline of LDL was similar in subjects whose serum T C</w:t>
            </w:r>
            <w:r w:rsidRPr="004D7F69">
              <w:rPr>
                <w:vertAlign w:val="subscript"/>
              </w:rPr>
              <w:t>max</w:t>
            </w:r>
            <w:r w:rsidRPr="004D7F69">
              <w:t xml:space="preserve"> level was &gt; 1500 ng/dL compared to subjects whose serum T C</w:t>
            </w:r>
            <w:r w:rsidRPr="004D7F69">
              <w:rPr>
                <w:vertAlign w:val="subscript"/>
              </w:rPr>
              <w:t>max</w:t>
            </w:r>
            <w:r w:rsidRPr="004D7F69">
              <w:t xml:space="preserve"> ≤ 1500 ng/dL.  At Visit 4 (Day 90 or 105), the median absolute decrease was 5.0 mg/dL for subjects with serum T C</w:t>
            </w:r>
            <w:r w:rsidRPr="004D7F69">
              <w:rPr>
                <w:vertAlign w:val="subscript"/>
              </w:rPr>
              <w:t>max</w:t>
            </w:r>
            <w:r w:rsidRPr="004D7F69">
              <w:t xml:space="preserve"> &gt; 1500 ng/dL compared to a decrease of 4.0 mg/dL for subjects with serum T C</w:t>
            </w:r>
            <w:r w:rsidRPr="004D7F69">
              <w:rPr>
                <w:vertAlign w:val="subscript"/>
              </w:rPr>
              <w:t>max</w:t>
            </w:r>
            <w:r w:rsidRPr="004D7F69">
              <w:t xml:space="preserve"> ≤ 1500 ng/dL.  At Visit 7 (Day 365), the median absolute decrease was 10.0 mg/dL for subjects with serum T C</w:t>
            </w:r>
            <w:r w:rsidRPr="004D7F69">
              <w:rPr>
                <w:vertAlign w:val="subscript"/>
              </w:rPr>
              <w:t>max</w:t>
            </w:r>
            <w:r w:rsidRPr="004D7F69">
              <w:t xml:space="preserve"> &gt; 1500 ng/dL compared to a decrease of 1.0 mg/dL for subjects with serum T C</w:t>
            </w:r>
            <w:r w:rsidRPr="004D7F69">
              <w:rPr>
                <w:vertAlign w:val="subscript"/>
              </w:rPr>
              <w:t>max</w:t>
            </w:r>
            <w:r w:rsidRPr="004D7F69">
              <w:t xml:space="preserve"> ≤ 1500 ng/dL.</w:t>
            </w:r>
          </w:p>
          <w:p w:rsidR="00B53E14" w:rsidRPr="004D7F69" w:rsidRDefault="00B53E14" w:rsidP="002804A6">
            <w:pPr>
              <w:pStyle w:val="C-TableText"/>
            </w:pPr>
          </w:p>
          <w:p w:rsidR="00B53E14" w:rsidRPr="004D7F69" w:rsidRDefault="00B53E14" w:rsidP="002804A6">
            <w:pPr>
              <w:pStyle w:val="C-TableText"/>
            </w:pPr>
            <w:r w:rsidRPr="004D7F69">
              <w:t>In order to assess whether subjects with high C</w:t>
            </w:r>
            <w:r w:rsidRPr="004D7F69">
              <w:rPr>
                <w:vertAlign w:val="subscript"/>
              </w:rPr>
              <w:t>avg</w:t>
            </w:r>
            <w:r w:rsidRPr="004D7F69">
              <w:t xml:space="preserve"> values (&gt;</w:t>
            </w:r>
            <w:r w:rsidR="00F51BA2">
              <w:t xml:space="preserve"> </w:t>
            </w:r>
            <w:r w:rsidRPr="004D7F69">
              <w:t xml:space="preserve">1000 ng/dL) had </w:t>
            </w:r>
            <w:r w:rsidR="00501319">
              <w:t>greater changes in</w:t>
            </w:r>
            <w:r w:rsidRPr="004D7F69">
              <w:t xml:space="preserve"> LDL, LDL was analyzed by treatment group and serum T C</w:t>
            </w:r>
            <w:r w:rsidRPr="004D7F69">
              <w:rPr>
                <w:vertAlign w:val="subscript"/>
              </w:rPr>
              <w:t>avg</w:t>
            </w:r>
            <w:r w:rsidRPr="004D7F69">
              <w:t xml:space="preserve"> levels.  There were relatively few subjects with C</w:t>
            </w:r>
            <w:r w:rsidRPr="004D7F69">
              <w:rPr>
                <w:vertAlign w:val="subscript"/>
              </w:rPr>
              <w:t>avg</w:t>
            </w:r>
            <w:r w:rsidRPr="004D7F69">
              <w:t xml:space="preserve"> greater than </w:t>
            </w:r>
            <w:r w:rsidR="00F51BA2" w:rsidRPr="004D7F69">
              <w:t>1000</w:t>
            </w:r>
            <w:r w:rsidR="00F51BA2">
              <w:t> </w:t>
            </w:r>
            <w:r w:rsidRPr="004D7F69">
              <w:t>ng/dL, so the generalizability of the analysis is somewhat limited.  For Oral TU subjects, except at Visit 2, the median absolute decrease from baseline of LDL was greater in the &gt; 1000 ng/dL group.  At Visit 4 (Day 90 or 105), the median absolute decrease was 9.5 mg/dL for subjects with serum T C</w:t>
            </w:r>
            <w:r w:rsidRPr="004D7F69">
              <w:rPr>
                <w:vertAlign w:val="subscript"/>
              </w:rPr>
              <w:t>avg</w:t>
            </w:r>
            <w:r w:rsidRPr="004D7F69">
              <w:t xml:space="preserve"> &gt; 1000 ng/dL compared to a decrease of 4.0 mg/dL for subjects with serum T C</w:t>
            </w:r>
            <w:r w:rsidRPr="004D7F69">
              <w:rPr>
                <w:vertAlign w:val="subscript"/>
              </w:rPr>
              <w:t>avg</w:t>
            </w:r>
            <w:r w:rsidRPr="004D7F69">
              <w:t xml:space="preserve"> ≤ 1000 ng/dL.  At Visit 7 (Day 365), the median absolute decrease was 28.0 mg/dL for subjects with serum T C</w:t>
            </w:r>
            <w:r w:rsidRPr="004D7F69">
              <w:rPr>
                <w:vertAlign w:val="subscript"/>
              </w:rPr>
              <w:t>avg</w:t>
            </w:r>
            <w:r w:rsidRPr="004D7F69">
              <w:t xml:space="preserve"> &gt; 1000 ng/dL compared to a decrease of 1.0 mg/dL for subjects with serum T C</w:t>
            </w:r>
            <w:r w:rsidRPr="004D7F69">
              <w:rPr>
                <w:vertAlign w:val="subscript"/>
              </w:rPr>
              <w:t>avg</w:t>
            </w:r>
            <w:r w:rsidRPr="004D7F69">
              <w:t xml:space="preserve"> ≤ 1000 ng/dL. </w:t>
            </w:r>
            <w:r w:rsidRPr="004D7F69">
              <w:rPr>
                <w:vertAlign w:val="subscript"/>
              </w:rPr>
              <w:t xml:space="preserve"> </w:t>
            </w:r>
          </w:p>
          <w:p w:rsidR="00B53E14" w:rsidRPr="004D7F69" w:rsidRDefault="00B53E14" w:rsidP="002804A6">
            <w:pPr>
              <w:pStyle w:val="C-TableText"/>
            </w:pPr>
          </w:p>
          <w:p w:rsidR="002804A6" w:rsidRPr="004D7F69" w:rsidRDefault="002804A6" w:rsidP="002804A6">
            <w:pPr>
              <w:pStyle w:val="C-TableText"/>
            </w:pPr>
            <w:r w:rsidRPr="004D7F69">
              <w:t xml:space="preserve">For the Oral TU group, for total cholesterol and LDL, there was a general trend across all visits for subjects who were classified as normal at baseline to change to high or from high at baseline to normal.  By </w:t>
            </w:r>
            <w:r w:rsidR="00D96DA6" w:rsidRPr="004D7F69">
              <w:t>Visit 7 (</w:t>
            </w:r>
            <w:r w:rsidRPr="004D7F69">
              <w:t>Day 365</w:t>
            </w:r>
            <w:r w:rsidR="00D96DA6" w:rsidRPr="004D7F69">
              <w:t>)</w:t>
            </w:r>
            <w:r w:rsidRPr="004D7F69">
              <w:t xml:space="preserve">, </w:t>
            </w:r>
            <w:r w:rsidR="00D96DA6" w:rsidRPr="004D7F69">
              <w:t>33.3</w:t>
            </w:r>
            <w:r w:rsidRPr="004D7F69">
              <w:t xml:space="preserve">% of subjects who were classified as high total cholesterol at baseline shifted to normal while </w:t>
            </w:r>
            <w:r w:rsidR="00D96DA6" w:rsidRPr="004D7F69">
              <w:t>47.4</w:t>
            </w:r>
            <w:r w:rsidRPr="004D7F69">
              <w:t xml:space="preserve">% of transdermal T-gel subjects shifted to normal. </w:t>
            </w:r>
            <w:r w:rsidR="00140FB2" w:rsidRPr="004D7F69">
              <w:t xml:space="preserve"> </w:t>
            </w:r>
            <w:r w:rsidRPr="004D7F69">
              <w:t xml:space="preserve">By </w:t>
            </w:r>
            <w:r w:rsidR="00D96DA6" w:rsidRPr="004D7F69">
              <w:t>Visit 7 (</w:t>
            </w:r>
            <w:r w:rsidRPr="004D7F69">
              <w:t>Day 365</w:t>
            </w:r>
            <w:r w:rsidR="00D96DA6" w:rsidRPr="004D7F69">
              <w:t>)</w:t>
            </w:r>
            <w:r w:rsidRPr="004D7F69">
              <w:t xml:space="preserve">, for LDL, </w:t>
            </w:r>
            <w:r w:rsidR="00D96DA6" w:rsidRPr="004D7F69">
              <w:t>18</w:t>
            </w:r>
            <w:r w:rsidRPr="004D7F69">
              <w:t>.8% of subjects who were classified as high LDL at baseline shifted to normal while 2</w:t>
            </w:r>
            <w:r w:rsidR="00D96DA6" w:rsidRPr="004D7F69">
              <w:t>6.7</w:t>
            </w:r>
            <w:r w:rsidRPr="004D7F69">
              <w:t xml:space="preserve">% of transdermal T-gel subjects shifted to normal.  For HDL, trends were similar between the Oral TU and transdermal T-gel groups with subjects changing from low to normal or from normal to low.  By </w:t>
            </w:r>
            <w:r w:rsidR="00D96DA6" w:rsidRPr="004D7F69">
              <w:t>Visit 7 (</w:t>
            </w:r>
            <w:r w:rsidRPr="004D7F69">
              <w:t>Day 365</w:t>
            </w:r>
            <w:r w:rsidR="00D96DA6" w:rsidRPr="004D7F69">
              <w:t>)</w:t>
            </w:r>
            <w:r w:rsidRPr="004D7F69">
              <w:t xml:space="preserve">, 57.0% of subjects who </w:t>
            </w:r>
            <w:r w:rsidRPr="004D7F69">
              <w:lastRenderedPageBreak/>
              <w:t xml:space="preserve">were classified as </w:t>
            </w:r>
            <w:r w:rsidR="00D96DA6" w:rsidRPr="004D7F69">
              <w:t>normal</w:t>
            </w:r>
            <w:r w:rsidRPr="004D7F69">
              <w:t xml:space="preserve"> HDL at baseline shifted to </w:t>
            </w:r>
            <w:r w:rsidR="00D96DA6" w:rsidRPr="004D7F69">
              <w:t>low</w:t>
            </w:r>
            <w:r w:rsidRPr="004D7F69">
              <w:t xml:space="preserve"> while 31.7% of transdermal T</w:t>
            </w:r>
            <w:r w:rsidR="00D96DA6" w:rsidRPr="004D7F69">
              <w:t>-gel subjects shifted to low</w:t>
            </w:r>
            <w:r w:rsidRPr="004D7F69">
              <w:t xml:space="preserve">. </w:t>
            </w:r>
          </w:p>
          <w:p w:rsidR="00D96DA6" w:rsidRDefault="00D96DA6" w:rsidP="002804A6">
            <w:pPr>
              <w:pStyle w:val="C-TableText"/>
            </w:pPr>
          </w:p>
          <w:p w:rsidR="00B6123C" w:rsidRPr="00B6123C" w:rsidRDefault="00B6123C" w:rsidP="002804A6">
            <w:pPr>
              <w:pStyle w:val="C-TableText"/>
              <w:rPr>
                <w:i/>
              </w:rPr>
            </w:pPr>
            <w:r w:rsidRPr="00B6123C">
              <w:rPr>
                <w:i/>
              </w:rPr>
              <w:t>Biochemistry-Testosterone-related analytes</w:t>
            </w:r>
          </w:p>
          <w:p w:rsidR="00B6123C" w:rsidRDefault="00B6123C" w:rsidP="00B6123C">
            <w:pPr>
              <w:pStyle w:val="C-TableText"/>
            </w:pPr>
            <w:r>
              <w:t>In addition to evaluating the PK of circulating T, the PK of the circulating analytes of free T, DHT, E2, FSH, LH, and SHBG were evaluated.  In addition, the serum PK of the administered prodrug, TU, and another metabolic product, dihydrotestosterone undecanoate (DHTU), were evaluated in a subset of the subjects.  These results are summarized below:</w:t>
            </w:r>
          </w:p>
          <w:p w:rsidR="00B6123C" w:rsidRDefault="00B6123C" w:rsidP="00B6123C">
            <w:pPr>
              <w:pStyle w:val="C-TableText"/>
              <w:numPr>
                <w:ilvl w:val="0"/>
                <w:numId w:val="30"/>
              </w:numPr>
            </w:pPr>
            <w:r>
              <w:t>The rise and fall in DHT concentrations were slightly delayed relative to T concentrations, as expected for a metabolite.  DHT C</w:t>
            </w:r>
            <w:r w:rsidRPr="00602289">
              <w:rPr>
                <w:vertAlign w:val="subscript"/>
              </w:rPr>
              <w:t>avg</w:t>
            </w:r>
            <w:r>
              <w:t xml:space="preserve"> in Oral TU treated subjects averaged 150% of the ULN range for eugonadal men, whereas for transdermal T-gel subjects</w:t>
            </w:r>
            <w:r w:rsidR="00823E83">
              <w:t>,</w:t>
            </w:r>
            <w:r>
              <w:t xml:space="preserve"> the mean DHT C</w:t>
            </w:r>
            <w:r w:rsidRPr="00602289">
              <w:rPr>
                <w:vertAlign w:val="subscript"/>
              </w:rPr>
              <w:t>avg</w:t>
            </w:r>
            <w:r>
              <w:t xml:space="preserve"> was at or near the ULN range.  </w:t>
            </w:r>
          </w:p>
          <w:p w:rsidR="00B6123C" w:rsidRDefault="00B6123C" w:rsidP="00B6123C">
            <w:pPr>
              <w:pStyle w:val="C-TableText"/>
              <w:numPr>
                <w:ilvl w:val="0"/>
                <w:numId w:val="30"/>
              </w:numPr>
            </w:pPr>
            <w:r>
              <w:t xml:space="preserve">The range of DHT/T ratio values observed in Oral TU subjects was essentially identical to the range observed following application of transdermal T-gel.  The mean values for the two treatment groups were similar at approximately 0.2, the DHT/T ratio did not increase with increasing T concentration, and the mean ratio did not change from its early steady-state value over the remainder of the 12 month treatment period. </w:t>
            </w:r>
          </w:p>
          <w:p w:rsidR="00B6123C" w:rsidRDefault="00B6123C" w:rsidP="00B6123C">
            <w:pPr>
              <w:pStyle w:val="C-TableText"/>
              <w:numPr>
                <w:ilvl w:val="0"/>
                <w:numId w:val="30"/>
              </w:numPr>
            </w:pPr>
            <w:r>
              <w:t xml:space="preserve">Mean free T concentrations were higher in the Oral TU treatment group than in the transdermal </w:t>
            </w:r>
            <w:r w:rsidR="0025183A">
              <w:br/>
            </w:r>
            <w:r>
              <w:t>T-gel treatment group, but the mean free T C</w:t>
            </w:r>
            <w:r w:rsidRPr="00602289">
              <w:rPr>
                <w:vertAlign w:val="subscript"/>
              </w:rPr>
              <w:t>avg</w:t>
            </w:r>
            <w:r>
              <w:t xml:space="preserve"> value observed in both groups were within the normal range for free T for eugonadal men.  The free T/T ratio (free fraction) was constant over the range of T concentrations indicating that protein binding of T was concentration-independent over the clinically relevant range.</w:t>
            </w:r>
          </w:p>
          <w:p w:rsidR="00B6123C" w:rsidRDefault="00B6123C" w:rsidP="00B6123C">
            <w:pPr>
              <w:pStyle w:val="C-TableText"/>
              <w:numPr>
                <w:ilvl w:val="0"/>
                <w:numId w:val="30"/>
              </w:numPr>
            </w:pPr>
            <w:r>
              <w:t>The decline in SHBG concentrations following initiation of T replacement therapy was greater in the Oral TU treatment group than in the transdermal T-gel treatment group.  The differential response was maintained for the duration of the study, and was reflected in a larger treatment</w:t>
            </w:r>
            <w:r w:rsidR="00823E83">
              <w:t>-</w:t>
            </w:r>
            <w:r>
              <w:t>related increase in free T concentrations in the Oral TU treatment group</w:t>
            </w:r>
            <w:r w:rsidR="00524985">
              <w:t>; however, free T concentrations remained in the normal range</w:t>
            </w:r>
            <w:r>
              <w:t>.  Mean SHBG concentrations remained in the normal range for SHBG in eugonadal men in both treatment groups.</w:t>
            </w:r>
          </w:p>
          <w:p w:rsidR="00B6123C" w:rsidRDefault="00B6123C" w:rsidP="00B6123C">
            <w:pPr>
              <w:pStyle w:val="C-TableText"/>
              <w:numPr>
                <w:ilvl w:val="0"/>
                <w:numId w:val="30"/>
              </w:numPr>
            </w:pPr>
            <w:r>
              <w:t>Testosterone replacement therapy resulted in an approximately 50% increase in mean E2 concentrations in both treatment groups, and that increase was maintained for the duration of the study.  Mean E2 C</w:t>
            </w:r>
            <w:r w:rsidRPr="00602289">
              <w:rPr>
                <w:vertAlign w:val="subscript"/>
              </w:rPr>
              <w:t>avg</w:t>
            </w:r>
            <w:r>
              <w:t xml:space="preserve"> values while on treatment were near the ULN range in both treatment groups on all PK clinic visits.  </w:t>
            </w:r>
            <w:r w:rsidR="00823E83">
              <w:t xml:space="preserve">Estradiol </w:t>
            </w:r>
            <w:r>
              <w:t xml:space="preserve">concentrations were independent of the on-treatment T levels, not increasing more in subjects with the greater T responses. </w:t>
            </w:r>
          </w:p>
          <w:p w:rsidR="00B6123C" w:rsidRDefault="00B6123C" w:rsidP="00B6123C">
            <w:pPr>
              <w:pStyle w:val="C-TableText"/>
              <w:numPr>
                <w:ilvl w:val="0"/>
                <w:numId w:val="30"/>
              </w:numPr>
            </w:pPr>
            <w:r>
              <w:t>Testosterone replacement therapy resulted in approximately 5-7 mIU/mL decreases in the FSH concentrations compared to pretreatment, and these decreases were maintained for the duration of the study.  There was almost no fluctuation in the FSH concentration over the course of a dosing interval for either treatment.  The mean FSH concentrations for both treatment groups remained within the normal range for men for the duration of the study.</w:t>
            </w:r>
          </w:p>
          <w:p w:rsidR="00B6123C" w:rsidRDefault="00B6123C" w:rsidP="00B6123C">
            <w:pPr>
              <w:pStyle w:val="C-TableText"/>
              <w:numPr>
                <w:ilvl w:val="0"/>
                <w:numId w:val="30"/>
              </w:numPr>
            </w:pPr>
            <w:r>
              <w:t>Testosterone replacement therapy resulted in approximately 2-4 mIU/mL decreases in the LH concentrations compared to pretreatment, and these decreases were maintained for the duration of the study.  There was almost no fluctuation in the LH concentration over the course of a dosing interval for either treatment.  The mean LH concentrations for both treatment groups remained w</w:t>
            </w:r>
            <w:r w:rsidR="001B00DC">
              <w:t xml:space="preserve">ithin the normal range for men </w:t>
            </w:r>
            <w:r>
              <w:t>or very near the lower limit of the normal range for the duration of the study.</w:t>
            </w:r>
          </w:p>
          <w:p w:rsidR="00B6123C" w:rsidRDefault="00B6123C" w:rsidP="00B6123C">
            <w:pPr>
              <w:pStyle w:val="C-TableText"/>
              <w:numPr>
                <w:ilvl w:val="0"/>
                <w:numId w:val="30"/>
              </w:numPr>
            </w:pPr>
            <w:r>
              <w:t>The rise and fall in T concentrations were slightly delayed relative to TU concentrations, as expected for T being the metabolite of prodrug TU.  Serum TU concentrations showed no accumulation with twice daily oral dosing, the mean minimum concentration during the dosing interval being almost equivalent to the assay lower limit of quantitation (LLOQ) and averaging less than 2% of the peak concentration.  The metabolite-to-parent ratio in the serum (based on AUCs) on the Day 90 clinic visit was approximately 0.06.</w:t>
            </w:r>
          </w:p>
          <w:p w:rsidR="00B6123C" w:rsidRDefault="00B6123C" w:rsidP="00B6123C">
            <w:pPr>
              <w:pStyle w:val="C-TableText"/>
              <w:numPr>
                <w:ilvl w:val="0"/>
                <w:numId w:val="30"/>
              </w:numPr>
            </w:pPr>
            <w:r>
              <w:t>As expected for a metabolite, serum concentrations of DHTU increased less rapidly and peaked later than the concentrations of TU.  Like TU, DHTU showed no accumulation with twice daily dosing, the mean minimum concentration during the dosing interval being almost equivalent to the assay LLOQ and averaging less than 3% of the peak concentration.  The metabolite-to-parent ratio in the serum (based on AUCs) on the Day 90 clinic visit was approximately 0.7.</w:t>
            </w:r>
          </w:p>
          <w:p w:rsidR="00B6123C" w:rsidRDefault="00B6123C" w:rsidP="00B6123C">
            <w:pPr>
              <w:pStyle w:val="C-TableText"/>
              <w:numPr>
                <w:ilvl w:val="0"/>
                <w:numId w:val="30"/>
              </w:numPr>
            </w:pPr>
            <w:r w:rsidRPr="00A72F08">
              <w:lastRenderedPageBreak/>
              <w:t>Testosterone undecanoate</w:t>
            </w:r>
            <w:r>
              <w:t xml:space="preserve"> concentrations in the T replacement subjects were substantially less (approximately 17-fold less) than TU concentrations achieved in a 13</w:t>
            </w:r>
            <w:r w:rsidR="00823E83">
              <w:t>-</w:t>
            </w:r>
            <w:r>
              <w:t xml:space="preserve">week dog toxicology model. </w:t>
            </w:r>
          </w:p>
          <w:p w:rsidR="00B6123C" w:rsidRPr="00332676" w:rsidRDefault="00B6123C" w:rsidP="00B6123C">
            <w:pPr>
              <w:pStyle w:val="C-TableText"/>
              <w:numPr>
                <w:ilvl w:val="0"/>
                <w:numId w:val="30"/>
              </w:numPr>
            </w:pPr>
            <w:r>
              <w:t>Dihydrotestosterone undecanoate concentrations in the T replacement subjects were slightly less (approximately 10% less) than DHTU concentrations observed in a 13</w:t>
            </w:r>
            <w:r w:rsidR="00823E83">
              <w:t>-</w:t>
            </w:r>
            <w:r>
              <w:t>week dog toxicology model.</w:t>
            </w:r>
          </w:p>
          <w:p w:rsidR="00B6123C" w:rsidRPr="004D7F69" w:rsidRDefault="00B6123C" w:rsidP="002804A6">
            <w:pPr>
              <w:pStyle w:val="C-TableText"/>
            </w:pPr>
          </w:p>
          <w:p w:rsidR="00FE49F8" w:rsidRPr="004D7F69" w:rsidRDefault="00506CC1" w:rsidP="00506CC1">
            <w:pPr>
              <w:pStyle w:val="C-TableText"/>
              <w:rPr>
                <w:u w:val="single"/>
              </w:rPr>
            </w:pPr>
            <w:r w:rsidRPr="004D7F69">
              <w:rPr>
                <w:u w:val="single"/>
              </w:rPr>
              <w:t>Vital Signs</w:t>
            </w:r>
          </w:p>
          <w:p w:rsidR="00E9558C" w:rsidRPr="004D7F69" w:rsidRDefault="00E9558C" w:rsidP="00E9558C">
            <w:pPr>
              <w:pStyle w:val="C-TableText"/>
            </w:pPr>
            <w:r w:rsidRPr="004D7F69">
              <w:t xml:space="preserve">Vital signs were measured at baseline and at Visits 2 and 7 (check-in, 4 hrs. post AM dose and 12 hrs. post AM dose), Visit 4 (check-in and 4, 12, 16, and 24 hrs. post AM dose), and at Visits 6 and early withdrawal (once).  The measured values at baseline and at check-in for all visits were used for this comparison because these values were obtained at approximately the same time for all patients for any given visit (i.e., in the morning), thus providing a more valid comparison.  </w:t>
            </w:r>
          </w:p>
          <w:p w:rsidR="00E9558C" w:rsidRPr="004D7F69" w:rsidRDefault="00E9558C" w:rsidP="00E9558C">
            <w:pPr>
              <w:pStyle w:val="C-TableText"/>
            </w:pPr>
          </w:p>
          <w:p w:rsidR="00E9558C" w:rsidRPr="004D7F69" w:rsidRDefault="00501319" w:rsidP="00E9558C">
            <w:pPr>
              <w:pStyle w:val="C-TableText"/>
            </w:pPr>
            <w:r w:rsidRPr="002B03FC">
              <w:t xml:space="preserve">Mean systolic and diastolic BP increased slightly from baseline during the course of the study in both the </w:t>
            </w:r>
            <w:r>
              <w:t>O</w:t>
            </w:r>
            <w:r w:rsidRPr="002B03FC">
              <w:t xml:space="preserve">ral TU group and the </w:t>
            </w:r>
            <w:r>
              <w:t xml:space="preserve">transdermal </w:t>
            </w:r>
            <w:r w:rsidRPr="002B03FC">
              <w:t>T-gel group.  Baseli</w:t>
            </w:r>
            <w:r>
              <w:t xml:space="preserve">ne BPs were similar </w:t>
            </w:r>
            <w:r w:rsidRPr="002B03FC">
              <w:t>in both groups with the mean (S</w:t>
            </w:r>
            <w:r>
              <w:t>td</w:t>
            </w:r>
            <w:r w:rsidRPr="002B03FC">
              <w:t xml:space="preserve">) systolic and diastolic pressures of 127.5 mmHg (12.24) and 78.8 mmHg (8.13), respectively in the </w:t>
            </w:r>
            <w:r>
              <w:t>O</w:t>
            </w:r>
            <w:r w:rsidRPr="002B03FC">
              <w:t xml:space="preserve">ral TU group and 128.1 mmHg (14.38) and 79.5 mmHg (8.97) in the </w:t>
            </w:r>
            <w:r>
              <w:t xml:space="preserve">transdermal </w:t>
            </w:r>
            <w:r w:rsidRPr="002B03FC">
              <w:t xml:space="preserve">T-gel group.  Thus based on the mean BPs, both groups were pre-hypertensive based on their </w:t>
            </w:r>
            <w:r>
              <w:t xml:space="preserve">systolic </w:t>
            </w:r>
            <w:r w:rsidRPr="002B03FC">
              <w:t>BP (normal &lt;</w:t>
            </w:r>
            <w:r>
              <w:t xml:space="preserve"> </w:t>
            </w:r>
            <w:r w:rsidRPr="002B03FC">
              <w:t xml:space="preserve">120 mmHg, prehypertensive 120-139 mmHg) according to the JNC7 criteria, in spite of normal </w:t>
            </w:r>
            <w:r>
              <w:t xml:space="preserve">diastolic </w:t>
            </w:r>
            <w:r w:rsidRPr="002B03FC">
              <w:t xml:space="preserve">BP </w:t>
            </w:r>
            <w:r>
              <w:br/>
            </w:r>
            <w:r w:rsidRPr="002B03FC">
              <w:t>(&lt;</w:t>
            </w:r>
            <w:r>
              <w:t xml:space="preserve"> </w:t>
            </w:r>
            <w:r w:rsidRPr="002B03FC">
              <w:t xml:space="preserve">80 mmHg). </w:t>
            </w:r>
            <w:r>
              <w:t xml:space="preserve"> </w:t>
            </w:r>
            <w:r w:rsidRPr="002B03FC">
              <w:t xml:space="preserve">During the course of the study, </w:t>
            </w:r>
            <w:r>
              <w:t xml:space="preserve">systolic </w:t>
            </w:r>
            <w:r w:rsidRPr="002B03FC">
              <w:t xml:space="preserve">BP rose slightly such that by Day 365 (Check-in) the </w:t>
            </w:r>
            <w:r>
              <w:t xml:space="preserve">systolic </w:t>
            </w:r>
            <w:r w:rsidRPr="002B03FC">
              <w:t xml:space="preserve">BPs were 132.6 and 130.0 mmHg for the </w:t>
            </w:r>
            <w:r>
              <w:t>O</w:t>
            </w:r>
            <w:r w:rsidRPr="002B03FC">
              <w:t xml:space="preserve">ral TU group and </w:t>
            </w:r>
            <w:r>
              <w:t xml:space="preserve">transdermal </w:t>
            </w:r>
            <w:r w:rsidRPr="002B03FC">
              <w:t xml:space="preserve">T-gel group, respectively; therefore, although the average </w:t>
            </w:r>
            <w:r>
              <w:t xml:space="preserve">systolic </w:t>
            </w:r>
            <w:r w:rsidRPr="002B03FC">
              <w:t xml:space="preserve">BP rose 2-5 mmHg, both groups stayed within the pre-hypertensive range.  The </w:t>
            </w:r>
            <w:r>
              <w:t xml:space="preserve">diastolic </w:t>
            </w:r>
            <w:r w:rsidRPr="002B03FC">
              <w:t>BP</w:t>
            </w:r>
            <w:r>
              <w:t>s</w:t>
            </w:r>
            <w:r w:rsidRPr="002B03FC">
              <w:t xml:space="preserve"> also rose slightly during the course of the study, such that by Day 365 (Check-in) the </w:t>
            </w:r>
            <w:r>
              <w:t xml:space="preserve">diastolic </w:t>
            </w:r>
            <w:r w:rsidRPr="002B03FC">
              <w:t>BP</w:t>
            </w:r>
            <w:r>
              <w:t>s</w:t>
            </w:r>
            <w:r w:rsidRPr="002B03FC">
              <w:t xml:space="preserve"> were 82.4 and 80.2 mmHg for the </w:t>
            </w:r>
            <w:r>
              <w:t>O</w:t>
            </w:r>
            <w:r w:rsidRPr="002B03FC">
              <w:t xml:space="preserve">ral TU group and </w:t>
            </w:r>
            <w:r>
              <w:t xml:space="preserve">transdermal </w:t>
            </w:r>
            <w:r w:rsidRPr="002B03FC">
              <w:t>T-gel group, respec</w:t>
            </w:r>
            <w:r>
              <w:t xml:space="preserve">tively; therefore, the average diastolic </w:t>
            </w:r>
            <w:r w:rsidRPr="002B03FC">
              <w:t>BP</w:t>
            </w:r>
            <w:r>
              <w:t>s</w:t>
            </w:r>
            <w:r w:rsidRPr="002B03FC">
              <w:t xml:space="preserve"> rose 1-4 mmHg, which also moved the </w:t>
            </w:r>
            <w:r>
              <w:t xml:space="preserve">diastolic </w:t>
            </w:r>
            <w:r w:rsidRPr="002B03FC">
              <w:t>BP</w:t>
            </w:r>
            <w:r>
              <w:t>s</w:t>
            </w:r>
            <w:r w:rsidRPr="002B03FC">
              <w:t xml:space="preserve">  into the pre-hypertensive range (80-89 mmHg).  It should be noted that having the baseline </w:t>
            </w:r>
            <w:r>
              <w:t xml:space="preserve">systolic </w:t>
            </w:r>
            <w:r w:rsidRPr="002B03FC">
              <w:t xml:space="preserve">BP in the pre-hypertensive range would classify the subject as pre-hypertensive, so the classification at Day 365 was not affected by the change in </w:t>
            </w:r>
            <w:r>
              <w:t xml:space="preserve">diastolic </w:t>
            </w:r>
            <w:r w:rsidRPr="002B03FC">
              <w:t xml:space="preserve">BP.  </w:t>
            </w:r>
          </w:p>
          <w:p w:rsidR="00501319" w:rsidRDefault="00501319" w:rsidP="00E9558C">
            <w:pPr>
              <w:pStyle w:val="C-TableText"/>
            </w:pPr>
          </w:p>
          <w:p w:rsidR="00C417F1" w:rsidRPr="004D7F69" w:rsidRDefault="00E9558C" w:rsidP="00E9558C">
            <w:pPr>
              <w:pStyle w:val="C-TableText"/>
              <w:rPr>
                <w:u w:val="single"/>
              </w:rPr>
            </w:pPr>
            <w:r w:rsidRPr="004D7F69">
              <w:t>For the Oral TU group, mean pulse (Std) increased from a mean baseline of 70.3 beats/min (11.72) (normal range = 60 beats/min to 100 beats/min) to a maximum of 71.6 beats/min (10.60 = Visit 2, 10.65 = Visit 4, 10.61 = Visit 7) (Visits 2, 4, and 7, check-in).  For the transdermal T-gel group, mean pulse (Std) increased from a mean baseline of 69.9 beats/min (10.90) to a maximum of 70.4 beats/min (11.04) (Visit 4, check-in).</w:t>
            </w:r>
          </w:p>
          <w:p w:rsidR="00E9558C" w:rsidRPr="004D7F69" w:rsidRDefault="00E9558C" w:rsidP="00506CC1">
            <w:pPr>
              <w:pStyle w:val="C-TableText"/>
              <w:rPr>
                <w:u w:val="single"/>
              </w:rPr>
            </w:pPr>
          </w:p>
          <w:p w:rsidR="00FE49F8" w:rsidRPr="004D7F69" w:rsidRDefault="00506CC1" w:rsidP="00506CC1">
            <w:pPr>
              <w:pStyle w:val="C-TableText"/>
              <w:rPr>
                <w:u w:val="single"/>
              </w:rPr>
            </w:pPr>
            <w:r w:rsidRPr="004D7F69">
              <w:rPr>
                <w:u w:val="single"/>
              </w:rPr>
              <w:t xml:space="preserve">Prostate Volume and </w:t>
            </w:r>
            <w:r w:rsidR="0029780D" w:rsidRPr="004D7F69">
              <w:rPr>
                <w:u w:val="single"/>
              </w:rPr>
              <w:t xml:space="preserve">American Urological Association/International Prostate Symptom </w:t>
            </w:r>
            <w:r w:rsidRPr="004D7F69">
              <w:rPr>
                <w:u w:val="single"/>
              </w:rPr>
              <w:t>Score</w:t>
            </w:r>
          </w:p>
          <w:p w:rsidR="0056210E" w:rsidRPr="004D7F69" w:rsidRDefault="00185B0C" w:rsidP="00506CC1">
            <w:pPr>
              <w:pStyle w:val="C-TableText"/>
            </w:pPr>
            <w:r w:rsidRPr="004D7F69">
              <w:t xml:space="preserve">Testosterone replacement therapy may be associated with an increase in prostate size, particularly in </w:t>
            </w:r>
            <w:r w:rsidR="00EE2E04" w:rsidRPr="004D7F69">
              <w:t>hypogonadal</w:t>
            </w:r>
            <w:r w:rsidRPr="004D7F69">
              <w:t xml:space="preserve"> men who have not been on TRT.  Labels for TRT products warn the prescriber to monitor patients with benign prostatic hyperplasia (BPH) for worsening of signs and symptoms of BPH.  Thus, this study evaluated the subjects</w:t>
            </w:r>
            <w:r w:rsidR="00823E83">
              <w:t>’</w:t>
            </w:r>
            <w:r w:rsidRPr="004D7F69">
              <w:t xml:space="preserve"> BPH symptoms using the AUA/I-PSS, and evaluated prostate volume using TRUS.  </w:t>
            </w:r>
          </w:p>
          <w:p w:rsidR="0056210E" w:rsidRPr="004D7F69" w:rsidRDefault="0056210E" w:rsidP="00506CC1">
            <w:pPr>
              <w:pStyle w:val="C-TableText"/>
            </w:pPr>
          </w:p>
          <w:p w:rsidR="006E48B8" w:rsidRPr="004D7F69" w:rsidRDefault="0056210E" w:rsidP="00506CC1">
            <w:pPr>
              <w:pStyle w:val="C-TableText"/>
            </w:pPr>
            <w:r w:rsidRPr="004D7F69">
              <w:t>Scores obtained from the AUA/I-PSS fall into one of three categories: 1-7, mild; 8-19, moderate; and 20-35, severe.  Subjects at baseline fell within the mild category, with a</w:t>
            </w:r>
            <w:r w:rsidR="00185B0C" w:rsidRPr="004D7F69">
              <w:t xml:space="preserve"> mean (Std) baseline AUA/I-PSS for Oral TU </w:t>
            </w:r>
            <w:r w:rsidRPr="004D7F69">
              <w:t>of</w:t>
            </w:r>
            <w:r w:rsidR="00185B0C" w:rsidRPr="004D7F69">
              <w:t xml:space="preserve"> 5.8 (5.21) which was similar to the transdermal T-gel group mean AUA/I-PSS of 5.9 (4.81).  Treatment did not </w:t>
            </w:r>
            <w:r w:rsidR="00C110DB" w:rsidRPr="004D7F69">
              <w:t xml:space="preserve">change the AUA/I-PSS </w:t>
            </w:r>
            <w:r w:rsidRPr="004D7F69">
              <w:t>category classification</w:t>
            </w:r>
            <w:r w:rsidR="00C110DB" w:rsidRPr="004D7F69">
              <w:t>, nor did it have a substantial effect on the score</w:t>
            </w:r>
            <w:r w:rsidRPr="004D7F69">
              <w:t>.  M</w:t>
            </w:r>
            <w:r w:rsidR="00185B0C" w:rsidRPr="004D7F69">
              <w:t xml:space="preserve">ean decrease from baseline at Visit 4 (Day 90 or 105) </w:t>
            </w:r>
            <w:r w:rsidRPr="004D7F69">
              <w:t xml:space="preserve">was </w:t>
            </w:r>
            <w:r w:rsidR="00185B0C" w:rsidRPr="004D7F69">
              <w:t>similar between Oral TU and transdermal T-gel (0.1 [3.94] and 0.4 [3.64], respectively).  By Visit 7 (Day 365), mean scores had slightly increased with the mean change from baseline for Oral TU and transdermal T-gel being 0.5 (3.91) and 0.4 (4.32), respectively.  Differences between the Oral TU and transdermal T-gel group were not statistically significant (p = 0.3565).</w:t>
            </w:r>
          </w:p>
          <w:p w:rsidR="00185B0C" w:rsidRPr="004D7F69" w:rsidRDefault="00185B0C" w:rsidP="00506CC1">
            <w:pPr>
              <w:pStyle w:val="C-TableText"/>
            </w:pPr>
          </w:p>
          <w:p w:rsidR="005A61C2" w:rsidRPr="004D7F69" w:rsidRDefault="005A61C2" w:rsidP="005A61C2">
            <w:pPr>
              <w:pStyle w:val="C-TableText"/>
            </w:pPr>
            <w:r w:rsidRPr="004D7F69">
              <w:t>In order to assess whether subjects with high C</w:t>
            </w:r>
            <w:r w:rsidRPr="004D7F69">
              <w:rPr>
                <w:vertAlign w:val="subscript"/>
              </w:rPr>
              <w:t>max</w:t>
            </w:r>
            <w:r w:rsidRPr="004D7F69">
              <w:t xml:space="preserve"> values (&gt;</w:t>
            </w:r>
            <w:r w:rsidR="00D408F6">
              <w:t xml:space="preserve"> </w:t>
            </w:r>
            <w:r w:rsidRPr="004D7F69">
              <w:t xml:space="preserve">1500 ng/dL) had </w:t>
            </w:r>
            <w:r w:rsidR="00501319">
              <w:t>a g</w:t>
            </w:r>
            <w:r w:rsidRPr="004D7F69">
              <w:t>reater change in AUA/I-PSS, AUA/I-PSS was analyzed by treatment group and serum T C</w:t>
            </w:r>
            <w:r w:rsidRPr="004D7F69">
              <w:rPr>
                <w:vertAlign w:val="subscript"/>
              </w:rPr>
              <w:t>max</w:t>
            </w:r>
            <w:r w:rsidRPr="004D7F69">
              <w:t xml:space="preserve"> levels.  For Oral TU subjects, the mean change from baseline of AUA/I-PSS was somewhat inconsistent between subjects whose serum T C</w:t>
            </w:r>
            <w:r w:rsidRPr="004D7F69">
              <w:rPr>
                <w:vertAlign w:val="subscript"/>
              </w:rPr>
              <w:t>max</w:t>
            </w:r>
            <w:r w:rsidRPr="004D7F69">
              <w:t xml:space="preserve"> level was &gt; 1500 ng/dL compared to subjects whose serum T C</w:t>
            </w:r>
            <w:r w:rsidRPr="004D7F69">
              <w:rPr>
                <w:vertAlign w:val="subscript"/>
              </w:rPr>
              <w:t xml:space="preserve">max </w:t>
            </w:r>
            <w:r w:rsidRPr="004D7F69">
              <w:t>≤ 1500 ng/dL.  At Visit 4 (Day 90 or 105), the mean decrease was 0.4 (2.92) for subjects with serum T C</w:t>
            </w:r>
            <w:r w:rsidRPr="004D7F69">
              <w:rPr>
                <w:vertAlign w:val="subscript"/>
              </w:rPr>
              <w:t>max</w:t>
            </w:r>
            <w:r w:rsidRPr="004D7F69">
              <w:t xml:space="preserve"> &gt; 1500 ng/dL compared to no change for subjects with serum T C</w:t>
            </w:r>
            <w:r w:rsidRPr="004D7F69">
              <w:rPr>
                <w:vertAlign w:val="subscript"/>
              </w:rPr>
              <w:t>max</w:t>
            </w:r>
            <w:r w:rsidRPr="004D7F69">
              <w:t xml:space="preserve"> ≤ 1500 ng/dL.  At Visit 7 (Day 365), the mean increase was 2.1 (3.52) for </w:t>
            </w:r>
            <w:r w:rsidRPr="004D7F69">
              <w:lastRenderedPageBreak/>
              <w:t>subjects with serum T C</w:t>
            </w:r>
            <w:r w:rsidRPr="004D7F69">
              <w:rPr>
                <w:vertAlign w:val="subscript"/>
              </w:rPr>
              <w:t>max</w:t>
            </w:r>
            <w:r w:rsidRPr="004D7F69">
              <w:t xml:space="preserve"> &gt; 1500 ng/dL compared to an increase of 0.3 (3.81) for subjects with serum T C</w:t>
            </w:r>
            <w:r w:rsidRPr="004D7F69">
              <w:rPr>
                <w:vertAlign w:val="subscript"/>
              </w:rPr>
              <w:t>max</w:t>
            </w:r>
            <w:r w:rsidRPr="004D7F69">
              <w:t xml:space="preserve"> ≤ 1500 ng/dL.  At Visit 7 (Day 365) the mean AUA/I-PSS score in both the subjects who had a </w:t>
            </w:r>
            <w:r w:rsidR="0025183A">
              <w:br/>
            </w:r>
            <w:r w:rsidRPr="004D7F69">
              <w:t>C</w:t>
            </w:r>
            <w:r w:rsidRPr="004D7F69">
              <w:rPr>
                <w:vertAlign w:val="subscript"/>
              </w:rPr>
              <w:t>max</w:t>
            </w:r>
            <w:r w:rsidRPr="004D7F69">
              <w:t xml:space="preserve"> &gt;</w:t>
            </w:r>
            <w:r w:rsidR="00D408F6">
              <w:t> </w:t>
            </w:r>
            <w:r w:rsidRPr="004D7F69">
              <w:t>1500 ng/dL and those with a C</w:t>
            </w:r>
            <w:r w:rsidRPr="004D7F69">
              <w:rPr>
                <w:vertAlign w:val="subscript"/>
              </w:rPr>
              <w:t>max</w:t>
            </w:r>
            <w:r w:rsidRPr="004D7F69">
              <w:t xml:space="preserve"> ≤ 1500 ng/dL was in the lowest tertile associated with mild symptom</w:t>
            </w:r>
            <w:r w:rsidR="00524985">
              <w:t>s</w:t>
            </w:r>
            <w:r w:rsidRPr="004D7F69">
              <w:t xml:space="preserve">.  </w:t>
            </w:r>
          </w:p>
          <w:p w:rsidR="005A61C2" w:rsidRPr="004D7F69" w:rsidRDefault="005A61C2" w:rsidP="005A61C2">
            <w:pPr>
              <w:pStyle w:val="C-TableText"/>
            </w:pPr>
          </w:p>
          <w:p w:rsidR="005A61C2" w:rsidRPr="004D7F69" w:rsidRDefault="005A61C2" w:rsidP="005A61C2">
            <w:pPr>
              <w:pStyle w:val="C-TableText"/>
            </w:pPr>
            <w:r w:rsidRPr="004D7F69">
              <w:t>Similarly, in order to assess whether subjects with high C</w:t>
            </w:r>
            <w:r w:rsidRPr="004D7F69">
              <w:rPr>
                <w:vertAlign w:val="subscript"/>
              </w:rPr>
              <w:t>avg</w:t>
            </w:r>
            <w:r w:rsidRPr="004D7F69">
              <w:t xml:space="preserve"> values (&gt;</w:t>
            </w:r>
            <w:r w:rsidR="00D408F6">
              <w:t xml:space="preserve"> </w:t>
            </w:r>
            <w:r w:rsidRPr="004D7F69">
              <w:t xml:space="preserve">1000 ng/dL) had </w:t>
            </w:r>
            <w:r w:rsidR="00501319">
              <w:t>a greater change in</w:t>
            </w:r>
            <w:r w:rsidRPr="004D7F69">
              <w:t xml:space="preserve"> AUA/I-PSS, AUA/I-PSS was analyzed by treatment group and serum T C</w:t>
            </w:r>
            <w:r w:rsidRPr="004D7F69">
              <w:rPr>
                <w:vertAlign w:val="subscript"/>
              </w:rPr>
              <w:t>avg</w:t>
            </w:r>
            <w:r w:rsidRPr="004D7F69">
              <w:t xml:space="preserve"> levels.  There were relatively few subjects with C</w:t>
            </w:r>
            <w:r w:rsidRPr="004D7F69">
              <w:rPr>
                <w:vertAlign w:val="subscript"/>
              </w:rPr>
              <w:t>avg</w:t>
            </w:r>
            <w:r w:rsidRPr="004D7F69">
              <w:t xml:space="preserve"> </w:t>
            </w:r>
            <w:r w:rsidR="00D408F6">
              <w:t>&gt;</w:t>
            </w:r>
            <w:r w:rsidRPr="004D7F69">
              <w:t xml:space="preserve"> 1000 ng/dL, so the results are hard to generalize.  For Oral TU subjects, the mean change from baseline of AUA/I-PSS was similar in subjects whose serum T C</w:t>
            </w:r>
            <w:r w:rsidRPr="004D7F69">
              <w:rPr>
                <w:vertAlign w:val="subscript"/>
              </w:rPr>
              <w:t>avg</w:t>
            </w:r>
            <w:r w:rsidRPr="004D7F69">
              <w:t xml:space="preserve"> level was &gt;</w:t>
            </w:r>
            <w:r w:rsidR="00D408F6">
              <w:t xml:space="preserve"> </w:t>
            </w:r>
            <w:r w:rsidRPr="004D7F69">
              <w:t xml:space="preserve">1000 ng/dL compared </w:t>
            </w:r>
            <w:r w:rsidR="00D408F6">
              <w:t>with</w:t>
            </w:r>
            <w:r w:rsidR="00D408F6" w:rsidRPr="004D7F69">
              <w:t xml:space="preserve"> </w:t>
            </w:r>
            <w:r w:rsidRPr="004D7F69">
              <w:t>subjects whose serum T C</w:t>
            </w:r>
            <w:r w:rsidRPr="004D7F69">
              <w:rPr>
                <w:vertAlign w:val="subscript"/>
              </w:rPr>
              <w:t>avg</w:t>
            </w:r>
            <w:r w:rsidRPr="004D7F69">
              <w:t xml:space="preserve"> level ≤ 1000 ng/dL group.  At Visit 4 (Day 90 or 105), the mean increase was 0.5 (2.03) for subjects with serum T C</w:t>
            </w:r>
            <w:r w:rsidRPr="004D7F69">
              <w:rPr>
                <w:vertAlign w:val="subscript"/>
              </w:rPr>
              <w:t>avg</w:t>
            </w:r>
            <w:r w:rsidRPr="004D7F69">
              <w:t xml:space="preserve"> &gt; 1000 ng/dL compared to a decrease of 0.2 (4.00) for subjects with serum T C</w:t>
            </w:r>
            <w:r w:rsidRPr="004D7F69">
              <w:rPr>
                <w:vertAlign w:val="subscript"/>
              </w:rPr>
              <w:t>avg</w:t>
            </w:r>
            <w:r w:rsidRPr="004D7F69">
              <w:t xml:space="preserve"> ≤ 1000 ng/dL.  At Visit 7, the mean increase was 1.8 (1.26) for subjects with serum T C</w:t>
            </w:r>
            <w:r w:rsidRPr="004D7F69">
              <w:rPr>
                <w:vertAlign w:val="subscript"/>
              </w:rPr>
              <w:t>avg</w:t>
            </w:r>
            <w:r w:rsidRPr="004D7F69">
              <w:t xml:space="preserve"> &gt; 1000 ng/dL compared to an increase of 0.5 (3.87) for subjects with serum T C</w:t>
            </w:r>
            <w:r w:rsidRPr="004D7F69">
              <w:rPr>
                <w:vertAlign w:val="subscript"/>
              </w:rPr>
              <w:t>avg</w:t>
            </w:r>
            <w:r w:rsidRPr="004D7F69">
              <w:t xml:space="preserve"> ≤ 1000 ng/dL.</w:t>
            </w:r>
          </w:p>
          <w:p w:rsidR="005A61C2" w:rsidRPr="004D7F69" w:rsidRDefault="005A61C2" w:rsidP="00506CC1">
            <w:pPr>
              <w:pStyle w:val="C-TableText"/>
            </w:pPr>
          </w:p>
          <w:p w:rsidR="00140FB2" w:rsidRPr="004D7F69" w:rsidRDefault="00185B0C" w:rsidP="00506CC1">
            <w:pPr>
              <w:pStyle w:val="C-TableText"/>
            </w:pPr>
            <w:r w:rsidRPr="004D7F69">
              <w:t>The mean (Std) baseline prostate volume for Oral TU was 29.31 cc (14.201) which was similar to the transdermal T-gel group mean baseline prostate volume of 30.70 cc (25.520).  Mean increase from baseline at Visit 7 (Day 365) was similar between Oral TU and transdermal T-gel (2.97 cc [9.831] and 1.81 [26.400], respectively).  Differences between the Oral TU and transdermal T-gel group were not statistically significant (p = 0.6664).</w:t>
            </w:r>
          </w:p>
          <w:p w:rsidR="00185B0C" w:rsidRPr="004D7F69" w:rsidRDefault="00185B0C" w:rsidP="00506CC1">
            <w:pPr>
              <w:pStyle w:val="C-TableText"/>
            </w:pPr>
          </w:p>
          <w:p w:rsidR="00185B0C" w:rsidRPr="004D7F69" w:rsidRDefault="00185B0C" w:rsidP="00185B0C">
            <w:pPr>
              <w:pStyle w:val="C-TableText"/>
            </w:pPr>
            <w:r w:rsidRPr="004D7F69">
              <w:t>In order to assess whether subjects with high C</w:t>
            </w:r>
            <w:r w:rsidRPr="004D7F69">
              <w:rPr>
                <w:vertAlign w:val="subscript"/>
              </w:rPr>
              <w:t>max</w:t>
            </w:r>
            <w:r w:rsidRPr="004D7F69">
              <w:t xml:space="preserve"> values (&gt;</w:t>
            </w:r>
            <w:r w:rsidR="00D408F6">
              <w:t xml:space="preserve"> </w:t>
            </w:r>
            <w:r w:rsidRPr="004D7F69">
              <w:t>1500 ng/dL) had greater increases in prostate volume, prostate volume and change in prostate volume was analyzed by treatment group and serum T C</w:t>
            </w:r>
            <w:r w:rsidRPr="004D7F69">
              <w:rPr>
                <w:vertAlign w:val="subscript"/>
              </w:rPr>
              <w:t>max</w:t>
            </w:r>
            <w:r w:rsidRPr="004D7F69">
              <w:t xml:space="preserve"> levels.  For Oral TU subjects, the mean absolute change from baseline of prostate volume was similar in subjects whose serum T C</w:t>
            </w:r>
            <w:r w:rsidRPr="004D7F69">
              <w:rPr>
                <w:vertAlign w:val="subscript"/>
              </w:rPr>
              <w:t>max</w:t>
            </w:r>
            <w:r w:rsidRPr="004D7F69">
              <w:t xml:space="preserve"> level was &gt; 1500 ng/dL compared to subjects whose serum T C</w:t>
            </w:r>
            <w:r w:rsidRPr="004D7F69">
              <w:rPr>
                <w:vertAlign w:val="subscript"/>
              </w:rPr>
              <w:t>max</w:t>
            </w:r>
            <w:r w:rsidRPr="004D7F69">
              <w:t xml:space="preserve"> </w:t>
            </w:r>
            <w:r w:rsidRPr="004D7F69">
              <w:br/>
              <w:t>≤ 1500 ng/dL.  At Visit 7 (Day 365), the mean absolute increase was 6.17 cc (7.620) for the 18 subjects with serum T C</w:t>
            </w:r>
            <w:r w:rsidRPr="004D7F69">
              <w:rPr>
                <w:vertAlign w:val="subscript"/>
              </w:rPr>
              <w:t>max</w:t>
            </w:r>
            <w:r w:rsidRPr="004D7F69">
              <w:t xml:space="preserve"> &gt; 1500 ng/dL compared to an increase of 2.66 cc (10.029) for the 89 subjects with serum T C</w:t>
            </w:r>
            <w:r w:rsidRPr="004D7F69">
              <w:rPr>
                <w:vertAlign w:val="subscript"/>
              </w:rPr>
              <w:t>max</w:t>
            </w:r>
            <w:r w:rsidR="006A4AC3" w:rsidRPr="004D7F69">
              <w:t xml:space="preserve"> ≤ 1500 ng/dL</w:t>
            </w:r>
            <w:r w:rsidRPr="004D7F69">
              <w:t xml:space="preserve">.  </w:t>
            </w:r>
          </w:p>
          <w:p w:rsidR="00185B0C" w:rsidRPr="004D7F69" w:rsidRDefault="00185B0C" w:rsidP="00185B0C">
            <w:pPr>
              <w:pStyle w:val="C-TableText"/>
            </w:pPr>
          </w:p>
          <w:p w:rsidR="00BE3972" w:rsidRPr="004D7F69" w:rsidRDefault="00185B0C" w:rsidP="00BE3972">
            <w:pPr>
              <w:pStyle w:val="C-TableText"/>
            </w:pPr>
            <w:r w:rsidRPr="004D7F69">
              <w:t>Finally, in order to assess whether subjects with high C</w:t>
            </w:r>
            <w:r w:rsidRPr="004D7F69">
              <w:rPr>
                <w:vertAlign w:val="subscript"/>
              </w:rPr>
              <w:t>avg</w:t>
            </w:r>
            <w:r w:rsidRPr="004D7F69">
              <w:t xml:space="preserve"> values (&gt;</w:t>
            </w:r>
            <w:r w:rsidR="00D408F6">
              <w:t xml:space="preserve"> </w:t>
            </w:r>
            <w:r w:rsidRPr="004D7F69">
              <w:t xml:space="preserve">1000 ng/dL) had </w:t>
            </w:r>
            <w:r w:rsidR="00501319">
              <w:t>greater increases</w:t>
            </w:r>
            <w:r w:rsidRPr="004D7F69">
              <w:t xml:space="preserve"> prostate volume, prostate volume was analyzed by treatment group and serum T C</w:t>
            </w:r>
            <w:r w:rsidRPr="004D7F69">
              <w:rPr>
                <w:vertAlign w:val="subscript"/>
              </w:rPr>
              <w:t>avg</w:t>
            </w:r>
            <w:r w:rsidRPr="004D7F69">
              <w:t xml:space="preserve"> levels. </w:t>
            </w:r>
            <w:r w:rsidR="006A4AC3" w:rsidRPr="004D7F69">
              <w:t xml:space="preserve"> </w:t>
            </w:r>
            <w:r w:rsidRPr="004D7F69">
              <w:t>There were relatively few subjects with C</w:t>
            </w:r>
            <w:r w:rsidRPr="004D7F69">
              <w:rPr>
                <w:vertAlign w:val="subscript"/>
              </w:rPr>
              <w:t xml:space="preserve">avg </w:t>
            </w:r>
            <w:r w:rsidRPr="004D7F69">
              <w:t>greater than 1000 ng/dL</w:t>
            </w:r>
            <w:r w:rsidR="00501319">
              <w:t xml:space="preserve">, </w:t>
            </w:r>
            <w:r w:rsidR="00501319" w:rsidRPr="004D7F69">
              <w:t xml:space="preserve">so the generalizability of the analysis is somewhat limited.  </w:t>
            </w:r>
            <w:r w:rsidRPr="004D7F69">
              <w:t>For Oral TU subjects, the mean absolute change from baseline of prostate volume was similar in subjects whose serum T C</w:t>
            </w:r>
            <w:r w:rsidRPr="004D7F69">
              <w:rPr>
                <w:vertAlign w:val="subscript"/>
              </w:rPr>
              <w:t>avg</w:t>
            </w:r>
            <w:r w:rsidRPr="004D7F69">
              <w:t xml:space="preserve"> level was &gt; 1000 ng/dL compared to subjects whose serum T C</w:t>
            </w:r>
            <w:r w:rsidRPr="004D7F69">
              <w:rPr>
                <w:vertAlign w:val="subscript"/>
              </w:rPr>
              <w:t>avg</w:t>
            </w:r>
            <w:r w:rsidRPr="004D7F69">
              <w:t xml:space="preserve"> ≤ 1000 ng/dL.  At Visit 7 (Day 365), the mean absolute increase was 9.75 cc (12.396) for the 4 subjects with serum T C</w:t>
            </w:r>
            <w:r w:rsidRPr="004D7F69">
              <w:rPr>
                <w:vertAlign w:val="subscript"/>
              </w:rPr>
              <w:t>avg</w:t>
            </w:r>
            <w:r w:rsidRPr="004D7F69">
              <w:t xml:space="preserve"> &gt; 1000 ng/dL compared to 3.00 cc (9.593) for the 103 subjects with serum T C</w:t>
            </w:r>
            <w:r w:rsidRPr="004D7F69">
              <w:rPr>
                <w:vertAlign w:val="subscript"/>
              </w:rPr>
              <w:t>avg</w:t>
            </w:r>
            <w:r w:rsidR="006A4AC3" w:rsidRPr="004D7F69">
              <w:t xml:space="preserve"> ≤ 1000 ng/dL</w:t>
            </w:r>
            <w:r w:rsidRPr="004D7F69">
              <w:t>.</w:t>
            </w:r>
          </w:p>
          <w:p w:rsidR="00F3036D" w:rsidRPr="004D7F69" w:rsidRDefault="00F3036D" w:rsidP="00BE3972">
            <w:pPr>
              <w:pStyle w:val="C-TableText"/>
            </w:pPr>
          </w:p>
          <w:p w:rsidR="00F3036D" w:rsidRPr="004D7F69" w:rsidRDefault="00F3036D" w:rsidP="00F3036D">
            <w:pPr>
              <w:pStyle w:val="C-TableText"/>
              <w:rPr>
                <w:u w:val="single"/>
              </w:rPr>
            </w:pPr>
            <w:r w:rsidRPr="004D7F69">
              <w:rPr>
                <w:u w:val="single"/>
              </w:rPr>
              <w:t>Prostate Specific Antigen</w:t>
            </w:r>
          </w:p>
          <w:p w:rsidR="00F3036D" w:rsidRDefault="00501319" w:rsidP="00F3036D">
            <w:pPr>
              <w:pStyle w:val="C-TableText"/>
            </w:pPr>
            <w:r>
              <w:t xml:space="preserve">Prostate </w:t>
            </w:r>
            <w:r w:rsidR="00280089">
              <w:t xml:space="preserve">specific antigen values are known to increase in hypogonadal men treated with TRT, and recently approved TRT labels recommend monitoring PSA.  An increase of &gt; 1.4 ng/mL has been identified as a change that is clinically meaningful and deserves closer clinical attention.  </w:t>
            </w:r>
          </w:p>
          <w:p w:rsidR="00280089" w:rsidRPr="004D7F69" w:rsidRDefault="00280089" w:rsidP="00F3036D">
            <w:pPr>
              <w:pStyle w:val="C-TableText"/>
              <w:rPr>
                <w:color w:val="000000"/>
              </w:rPr>
            </w:pPr>
          </w:p>
          <w:p w:rsidR="00F3036D" w:rsidRDefault="005A61C2" w:rsidP="00F3036D">
            <w:pPr>
              <w:pStyle w:val="C-TableText"/>
            </w:pPr>
            <w:r w:rsidRPr="004D7F69">
              <w:t xml:space="preserve">The median (Std) baseline PSA for Oral TU was 0.790 ng/mL which was similar to the transdermal T-gel group median baseline PSA of 0.760 ng/mL.  Baseline values were within the normal reference range of </w:t>
            </w:r>
            <w:r w:rsidR="00147C66" w:rsidRPr="004D7F69">
              <w:br/>
            </w:r>
            <w:r w:rsidRPr="004D7F69">
              <w:t xml:space="preserve">0 – 4.0 ng/mL.  Change from baseline at Visit 4 (Day 90 or 105) was similar between the Oral TU and transdermal T-gel group.  At Visit 4 (Day 90 or 105), the absolute median increase for Oral TU subjects was 0.210 ng/mL compared to the transdermal T-gel group increase of 0.070 ng/mL.  At Visit 7 (Day 365), the absolute median increase for Oral TU subjects was 0.150 ng/mL compared to transdermal T-gel group increase of 0.100 ng/mL.  </w:t>
            </w:r>
            <w:r w:rsidR="00280089" w:rsidRPr="00FE5FCB">
              <w:t xml:space="preserve">These values were well below the clinically meaningful change of &gt; 1.4 ng/mL </w:t>
            </w:r>
            <w:r w:rsidR="00FE5FCB" w:rsidRPr="00FE5FCB">
              <w:t>and t</w:t>
            </w:r>
            <w:r w:rsidRPr="00FE5FCB">
              <w:t>he median PSA levels at Visit 7 were within the normal range.  Differences</w:t>
            </w:r>
            <w:r w:rsidRPr="004D7F69">
              <w:t xml:space="preserve"> between the Oral TU and transdermal T-gel group were not statistically significant (p = 0.1193)</w:t>
            </w:r>
            <w:r w:rsidR="00BF6158">
              <w:t>.</w:t>
            </w:r>
          </w:p>
          <w:p w:rsidR="00BF6158" w:rsidRPr="004D7F69" w:rsidRDefault="00BF6158" w:rsidP="00F3036D">
            <w:pPr>
              <w:pStyle w:val="C-TableText"/>
              <w:rPr>
                <w:color w:val="000000"/>
              </w:rPr>
            </w:pPr>
          </w:p>
          <w:p w:rsidR="00147C66" w:rsidRPr="004D7F69" w:rsidRDefault="00051221" w:rsidP="00F3036D">
            <w:pPr>
              <w:pStyle w:val="C-TableText"/>
            </w:pPr>
            <w:r w:rsidRPr="004D7F69">
              <w:t>In order to assess whether subjects with high C</w:t>
            </w:r>
            <w:r w:rsidRPr="004D7F69">
              <w:rPr>
                <w:vertAlign w:val="subscript"/>
              </w:rPr>
              <w:t>max</w:t>
            </w:r>
            <w:r w:rsidRPr="004D7F69">
              <w:t xml:space="preserve"> values (&gt;</w:t>
            </w:r>
            <w:r w:rsidR="00BF6158">
              <w:t xml:space="preserve"> </w:t>
            </w:r>
            <w:r w:rsidRPr="004D7F69">
              <w:t xml:space="preserve">1500 ng/dL) had </w:t>
            </w:r>
            <w:r w:rsidR="00501319">
              <w:t>greater increases in</w:t>
            </w:r>
            <w:r w:rsidRPr="004D7F69">
              <w:t xml:space="preserve"> PSA, PSA was analyzed by treatment group and serum T C</w:t>
            </w:r>
            <w:r w:rsidRPr="004D7F69">
              <w:rPr>
                <w:vertAlign w:val="subscript"/>
              </w:rPr>
              <w:t>max</w:t>
            </w:r>
            <w:r w:rsidRPr="004D7F69">
              <w:t xml:space="preserve"> levels.  For Oral TU subjects, the median change from baseline of PSA was similar in subjects whose serum T C</w:t>
            </w:r>
            <w:r w:rsidRPr="004D7F69">
              <w:rPr>
                <w:vertAlign w:val="subscript"/>
              </w:rPr>
              <w:t>max</w:t>
            </w:r>
            <w:r w:rsidRPr="004D7F69">
              <w:t xml:space="preserve"> level was &gt; 1500 ng/dL compared to subjects whose serum T C</w:t>
            </w:r>
            <w:r w:rsidRPr="004D7F69">
              <w:rPr>
                <w:vertAlign w:val="subscript"/>
              </w:rPr>
              <w:t>max</w:t>
            </w:r>
            <w:r w:rsidRPr="004D7F69">
              <w:t xml:space="preserve"> ≤ 1500 ng/dL.  At Visit 4 (Day 90 or 105), the median increase was 0.230 ng/mL for </w:t>
            </w:r>
            <w:r w:rsidRPr="004D7F69">
              <w:lastRenderedPageBreak/>
              <w:t>subjects with serum T C</w:t>
            </w:r>
            <w:r w:rsidRPr="004D7F69">
              <w:rPr>
                <w:vertAlign w:val="subscript"/>
              </w:rPr>
              <w:t>max</w:t>
            </w:r>
            <w:r w:rsidRPr="004D7F69">
              <w:t xml:space="preserve"> &gt; 1500 ng/dL compared </w:t>
            </w:r>
            <w:r w:rsidR="00BF6158">
              <w:t>with</w:t>
            </w:r>
            <w:r w:rsidR="00BF6158" w:rsidRPr="004D7F69">
              <w:t xml:space="preserve"> </w:t>
            </w:r>
            <w:r w:rsidRPr="004D7F69">
              <w:t>an increase of 0.200 ng/mL  for subjects with serum T C</w:t>
            </w:r>
            <w:r w:rsidRPr="004D7F69">
              <w:rPr>
                <w:vertAlign w:val="subscript"/>
              </w:rPr>
              <w:t>max</w:t>
            </w:r>
            <w:r w:rsidRPr="004D7F69">
              <w:t xml:space="preserve"> ≤ 1500 ng/dL.  At Visit 7 (Day 365), the median increase was 0.290 ng/mL for subjects with serum T C</w:t>
            </w:r>
            <w:r w:rsidRPr="004D7F69">
              <w:rPr>
                <w:vertAlign w:val="subscript"/>
              </w:rPr>
              <w:t>max</w:t>
            </w:r>
            <w:r w:rsidR="0025183A">
              <w:t xml:space="preserve"> </w:t>
            </w:r>
            <w:r w:rsidRPr="004D7F69">
              <w:t>&gt; 1500 ng/dL compared to an increase of 0.120 ng/mL for subjects with serum T C</w:t>
            </w:r>
            <w:r w:rsidRPr="004D7F69">
              <w:rPr>
                <w:vertAlign w:val="subscript"/>
              </w:rPr>
              <w:t>max</w:t>
            </w:r>
            <w:r w:rsidRPr="004D7F69">
              <w:t xml:space="preserve"> ≤ 1500 ng/dL.</w:t>
            </w:r>
          </w:p>
          <w:p w:rsidR="00051221" w:rsidRPr="004D7F69" w:rsidRDefault="00051221" w:rsidP="00F3036D">
            <w:pPr>
              <w:pStyle w:val="C-TableText"/>
            </w:pPr>
          </w:p>
          <w:p w:rsidR="00051221" w:rsidRPr="004D7F69" w:rsidRDefault="00051221" w:rsidP="00F3036D">
            <w:pPr>
              <w:pStyle w:val="C-TableText"/>
              <w:rPr>
                <w:color w:val="000000"/>
              </w:rPr>
            </w:pPr>
            <w:r w:rsidRPr="004D7F69">
              <w:t>In order to assess whether subjects with high C</w:t>
            </w:r>
            <w:r w:rsidRPr="004D7F69">
              <w:rPr>
                <w:vertAlign w:val="subscript"/>
              </w:rPr>
              <w:t>avg</w:t>
            </w:r>
            <w:r w:rsidRPr="004D7F69">
              <w:t xml:space="preserve"> values (&gt;</w:t>
            </w:r>
            <w:r w:rsidR="00BF6158">
              <w:t xml:space="preserve"> </w:t>
            </w:r>
            <w:r w:rsidRPr="004D7F69">
              <w:t xml:space="preserve">1000 ng/dL) had </w:t>
            </w:r>
            <w:r w:rsidR="00501319">
              <w:t>greater increases in</w:t>
            </w:r>
            <w:r w:rsidRPr="004D7F69">
              <w:t xml:space="preserve"> PSA, PSA was analyzed by treatment group and serum T C</w:t>
            </w:r>
            <w:r w:rsidRPr="004D7F69">
              <w:rPr>
                <w:vertAlign w:val="subscript"/>
              </w:rPr>
              <w:t>avg</w:t>
            </w:r>
            <w:r w:rsidRPr="004D7F69">
              <w:t xml:space="preserve"> levels.  There were relatively few subjects with C</w:t>
            </w:r>
            <w:r w:rsidRPr="004D7F69">
              <w:rPr>
                <w:vertAlign w:val="subscript"/>
              </w:rPr>
              <w:t>avg</w:t>
            </w:r>
            <w:r w:rsidRPr="004D7F69">
              <w:t xml:space="preserve"> </w:t>
            </w:r>
            <w:r w:rsidR="00BF6158">
              <w:t>&gt;</w:t>
            </w:r>
            <w:r w:rsidRPr="004D7F69">
              <w:t xml:space="preserve"> 1000 ng/dL</w:t>
            </w:r>
            <w:r w:rsidR="00501319">
              <w:t xml:space="preserve">, </w:t>
            </w:r>
            <w:r w:rsidR="00501319" w:rsidRPr="004D7F69">
              <w:t>so the generalizability of the analysis is somewhat limited.</w:t>
            </w:r>
            <w:r w:rsidRPr="004D7F69">
              <w:t xml:space="preserve">  For Oral TU subjects, the median change from baseline of PSA was similar in subjects whose serum T C</w:t>
            </w:r>
            <w:r w:rsidRPr="004D7F69">
              <w:rPr>
                <w:vertAlign w:val="subscript"/>
              </w:rPr>
              <w:t>avg</w:t>
            </w:r>
            <w:r w:rsidRPr="004D7F69">
              <w:t xml:space="preserve"> level was &gt;</w:t>
            </w:r>
            <w:r w:rsidR="00BF6158">
              <w:t xml:space="preserve"> </w:t>
            </w:r>
            <w:r w:rsidRPr="004D7F69">
              <w:t xml:space="preserve">1000 ng/dL compared </w:t>
            </w:r>
            <w:r w:rsidR="00BF6158">
              <w:t>with</w:t>
            </w:r>
            <w:r w:rsidR="00BF6158" w:rsidRPr="004D7F69">
              <w:t xml:space="preserve"> </w:t>
            </w:r>
            <w:r w:rsidRPr="004D7F69">
              <w:t>subjects whose serum T C</w:t>
            </w:r>
            <w:r w:rsidRPr="004D7F69">
              <w:rPr>
                <w:vertAlign w:val="subscript"/>
              </w:rPr>
              <w:t>avg</w:t>
            </w:r>
            <w:r w:rsidRPr="004D7F69">
              <w:t xml:space="preserve"> level ≤ 1000 ng/dL group.  At Visit 4 (Day 90 or 105), the median increase was 0.220 ng/mL for subjects with serum T C</w:t>
            </w:r>
            <w:r w:rsidRPr="004D7F69">
              <w:rPr>
                <w:vertAlign w:val="subscript"/>
              </w:rPr>
              <w:t>avg</w:t>
            </w:r>
            <w:r w:rsidRPr="004D7F69">
              <w:t xml:space="preserve"> &gt; 1000 ng/dL compared to an increase of 0.200 ng/mL for subjects with serum T C</w:t>
            </w:r>
            <w:r w:rsidRPr="004D7F69">
              <w:rPr>
                <w:vertAlign w:val="subscript"/>
              </w:rPr>
              <w:t>avg</w:t>
            </w:r>
            <w:r w:rsidRPr="004D7F69">
              <w:t xml:space="preserve"> ≤ 1000 ng/dL.  At Visit 7 (Day 365), the median increase was 0.230 ng/mL for subjects with serum T C</w:t>
            </w:r>
            <w:r w:rsidRPr="004D7F69">
              <w:rPr>
                <w:vertAlign w:val="subscript"/>
              </w:rPr>
              <w:t>avg</w:t>
            </w:r>
            <w:r w:rsidRPr="004D7F69">
              <w:t xml:space="preserve"> &gt; 1000 ng/dL compared </w:t>
            </w:r>
            <w:r w:rsidR="00BF6158">
              <w:t>with</w:t>
            </w:r>
            <w:r w:rsidR="00BF6158" w:rsidRPr="004D7F69">
              <w:t xml:space="preserve"> </w:t>
            </w:r>
            <w:r w:rsidRPr="004D7F69">
              <w:t>an increase of 0.150 ng/mL for subjects with serum T C</w:t>
            </w:r>
            <w:r w:rsidRPr="004D7F69">
              <w:rPr>
                <w:vertAlign w:val="subscript"/>
              </w:rPr>
              <w:t>avg</w:t>
            </w:r>
            <w:r w:rsidRPr="004D7F69">
              <w:t xml:space="preserve"> ≤ 1000 ng/dL.</w:t>
            </w:r>
          </w:p>
          <w:p w:rsidR="00051221" w:rsidRPr="004D7F69" w:rsidRDefault="00051221" w:rsidP="00F3036D">
            <w:pPr>
              <w:pStyle w:val="C-TableText"/>
              <w:rPr>
                <w:color w:val="000000"/>
              </w:rPr>
            </w:pPr>
          </w:p>
          <w:p w:rsidR="00147C66" w:rsidRPr="004D7F69" w:rsidRDefault="00147C66" w:rsidP="00147C66">
            <w:pPr>
              <w:pStyle w:val="C-TableText"/>
              <w:rPr>
                <w:color w:val="000000"/>
              </w:rPr>
            </w:pPr>
            <w:r w:rsidRPr="004D7F69">
              <w:rPr>
                <w:color w:val="000000"/>
              </w:rPr>
              <w:t xml:space="preserve">For the Oral TU group and transdermal T-gel group, the total number of subjects with a confirmed change from baseline PSA value &gt; 1.4 </w:t>
            </w:r>
            <w:r w:rsidRPr="004D7F69">
              <w:t>ng/mL</w:t>
            </w:r>
            <w:r w:rsidRPr="004D7F69">
              <w:rPr>
                <w:color w:val="000000"/>
              </w:rPr>
              <w:t xml:space="preserve"> were three and seven, respectively.  </w:t>
            </w:r>
          </w:p>
          <w:p w:rsidR="00C417F1" w:rsidRPr="004D7F69" w:rsidRDefault="00C417F1" w:rsidP="00F3036D">
            <w:pPr>
              <w:pStyle w:val="C-TableText"/>
              <w:rPr>
                <w:color w:val="000000"/>
              </w:rPr>
            </w:pPr>
          </w:p>
          <w:p w:rsidR="00506CC1" w:rsidRPr="004D7F69" w:rsidRDefault="00506CC1" w:rsidP="00506CC1">
            <w:pPr>
              <w:pStyle w:val="C-TableText"/>
              <w:rPr>
                <w:u w:val="single"/>
              </w:rPr>
            </w:pPr>
            <w:r w:rsidRPr="004D7F69">
              <w:rPr>
                <w:u w:val="single"/>
              </w:rPr>
              <w:t>Cardiovascular Biomarkers</w:t>
            </w:r>
          </w:p>
          <w:p w:rsidR="00506CC1" w:rsidRPr="004D7F69" w:rsidRDefault="00506CC1" w:rsidP="00506CC1">
            <w:pPr>
              <w:pStyle w:val="C-TableText"/>
              <w:rPr>
                <w:i/>
              </w:rPr>
            </w:pPr>
            <w:r w:rsidRPr="004D7F69">
              <w:rPr>
                <w:i/>
              </w:rPr>
              <w:t xml:space="preserve">High Sensitivity </w:t>
            </w:r>
            <w:r w:rsidR="00BF6158" w:rsidRPr="004D7F69">
              <w:rPr>
                <w:i/>
              </w:rPr>
              <w:t>C</w:t>
            </w:r>
            <w:r w:rsidR="00BF6158">
              <w:rPr>
                <w:i/>
              </w:rPr>
              <w:t>-</w:t>
            </w:r>
            <w:r w:rsidRPr="004D7F69">
              <w:rPr>
                <w:i/>
              </w:rPr>
              <w:t>Reactive Protein</w:t>
            </w:r>
          </w:p>
          <w:p w:rsidR="00197CF9" w:rsidRPr="004D7F69" w:rsidRDefault="00197CF9" w:rsidP="00197CF9">
            <w:pPr>
              <w:pStyle w:val="C-TableText"/>
            </w:pPr>
            <w:r w:rsidRPr="004D7F69">
              <w:t xml:space="preserve">High sensitivity </w:t>
            </w:r>
            <w:r w:rsidR="00BF6158" w:rsidRPr="004D7F69">
              <w:t>C</w:t>
            </w:r>
            <w:r w:rsidR="00BF6158">
              <w:t>-</w:t>
            </w:r>
            <w:r w:rsidRPr="004D7F69">
              <w:t>reactive protein is a strong independent predictor of CV disease risk</w:t>
            </w:r>
            <w:r w:rsidR="00DA768B">
              <w:t xml:space="preserve">.  </w:t>
            </w:r>
            <w:r w:rsidRPr="004D7F69">
              <w:t xml:space="preserve">However it is also an acute phase reactant and acutely increases in response to acute and chronic inflammatory conditions.  This is a recognized limitation to the use of this biomarker for CV risk stratification.  It is recommended that </w:t>
            </w:r>
            <w:r w:rsidR="00DA768B">
              <w:br/>
            </w:r>
            <w:r w:rsidR="00FE5FCB">
              <w:t>h</w:t>
            </w:r>
            <w:r w:rsidRPr="004D7F69">
              <w:t>s</w:t>
            </w:r>
            <w:r w:rsidR="002B1DD7" w:rsidRPr="004D7F69">
              <w:t>-</w:t>
            </w:r>
            <w:r w:rsidRPr="004D7F69">
              <w:t>CRP values &gt;</w:t>
            </w:r>
            <w:r w:rsidR="00BF6158">
              <w:t xml:space="preserve"> </w:t>
            </w:r>
            <w:r w:rsidRPr="004D7F69">
              <w:t>10 mg/L be discarded in evaluating CV risk</w:t>
            </w:r>
            <w:r w:rsidR="00DA768B">
              <w:t xml:space="preserve">. </w:t>
            </w:r>
            <w:r w:rsidRPr="004D7F69">
              <w:t xml:space="preserve"> </w:t>
            </w:r>
          </w:p>
          <w:p w:rsidR="00197CF9" w:rsidRPr="004D7F69" w:rsidRDefault="00197CF9" w:rsidP="00197CF9">
            <w:pPr>
              <w:pStyle w:val="C-TableText"/>
            </w:pPr>
          </w:p>
          <w:p w:rsidR="00197CF9" w:rsidRPr="004D7F69" w:rsidRDefault="00197CF9" w:rsidP="00197CF9">
            <w:pPr>
              <w:pStyle w:val="C-TableText"/>
            </w:pPr>
            <w:r w:rsidRPr="004D7F69">
              <w:t xml:space="preserve">In the </w:t>
            </w:r>
            <w:r w:rsidR="00DA768B">
              <w:t>CLAR-</w:t>
            </w:r>
            <w:r w:rsidRPr="004D7F69">
              <w:t xml:space="preserve">09007 </w:t>
            </w:r>
            <w:r w:rsidR="002E771C">
              <w:t>SAP</w:t>
            </w:r>
            <w:r w:rsidRPr="004D7F69">
              <w:t xml:space="preserve"> there w</w:t>
            </w:r>
            <w:r w:rsidR="00DA768B">
              <w:t>as</w:t>
            </w:r>
            <w:r w:rsidRPr="004D7F69">
              <w:t xml:space="preserve"> no stipulation for exclusion of </w:t>
            </w:r>
            <w:r w:rsidR="00FE5FCB">
              <w:t>h</w:t>
            </w:r>
            <w:r w:rsidR="002B1DD7" w:rsidRPr="004D7F69">
              <w:t>s-CRP</w:t>
            </w:r>
            <w:r w:rsidRPr="004D7F69">
              <w:t xml:space="preserve"> values &gt; 10 </w:t>
            </w:r>
            <w:r w:rsidR="00EF5044">
              <w:t>m</w:t>
            </w:r>
            <w:r w:rsidRPr="004D7F69">
              <w:t xml:space="preserve">g/L.  As a result, the inclusion of all data has a tail of very high values representing such conditions. </w:t>
            </w:r>
            <w:r w:rsidR="00EF5044">
              <w:t xml:space="preserve"> A post hoc analysis was performed in which values &gt; 10 mg/L were excluded.</w:t>
            </w:r>
          </w:p>
          <w:p w:rsidR="00197CF9" w:rsidRPr="004D7F69" w:rsidRDefault="00197CF9" w:rsidP="00197CF9">
            <w:pPr>
              <w:pStyle w:val="C-TableText"/>
            </w:pPr>
          </w:p>
          <w:p w:rsidR="0033756C" w:rsidRPr="004D7F69" w:rsidRDefault="00197CF9" w:rsidP="00506CC1">
            <w:pPr>
              <w:pStyle w:val="C-TableText"/>
            </w:pPr>
            <w:r w:rsidRPr="004D7F69">
              <w:t xml:space="preserve">The </w:t>
            </w:r>
            <w:r w:rsidR="00FE5FCB">
              <w:t>h</w:t>
            </w:r>
            <w:r w:rsidR="002B1DD7" w:rsidRPr="004D7F69">
              <w:t>s-CRP</w:t>
            </w:r>
            <w:r w:rsidRPr="004D7F69">
              <w:t xml:space="preserve"> data was analyzed in two fashions</w:t>
            </w:r>
            <w:r w:rsidR="000E2CD9">
              <w:t xml:space="preserve"> regarding change from baseline</w:t>
            </w:r>
            <w:r w:rsidRPr="004D7F69">
              <w:t xml:space="preserve">, the first with all subjects’ values and the second with the exclusion of values &gt; 10 mg/L.  The </w:t>
            </w:r>
            <w:r w:rsidR="00B3162F">
              <w:t>p-</w:t>
            </w:r>
            <w:r w:rsidRPr="004D7F69">
              <w:t xml:space="preserve">value </w:t>
            </w:r>
            <w:r w:rsidR="00DA768B">
              <w:t xml:space="preserve">by repeat measure ANOVA </w:t>
            </w:r>
            <w:r w:rsidRPr="004D7F69">
              <w:t>for all subjects including those with concentrations &gt; 10 mg/L was p = 0.</w:t>
            </w:r>
            <w:r w:rsidR="00FE5FCB">
              <w:t>27</w:t>
            </w:r>
            <w:r w:rsidRPr="004D7F69">
              <w:t>8</w:t>
            </w:r>
            <w:r w:rsidR="006622CB">
              <w:t>1</w:t>
            </w:r>
            <w:r w:rsidRPr="004D7F69">
              <w:t>; after exclusion of values &gt; 10</w:t>
            </w:r>
            <w:r w:rsidR="00DA768B">
              <w:t xml:space="preserve"> mg/L</w:t>
            </w:r>
            <w:r w:rsidR="00B3162F">
              <w:t>,</w:t>
            </w:r>
            <w:r w:rsidRPr="004D7F69">
              <w:t xml:space="preserve"> this difference remained </w:t>
            </w:r>
            <w:r w:rsidR="00FE5FCB">
              <w:t xml:space="preserve">not </w:t>
            </w:r>
            <w:r w:rsidRPr="004D7F69">
              <w:t>significant (p = 0.</w:t>
            </w:r>
            <w:r w:rsidR="00FE5FCB">
              <w:t>3837</w:t>
            </w:r>
            <w:r w:rsidRPr="004D7F69">
              <w:t xml:space="preserve">).  High sensitivity </w:t>
            </w:r>
            <w:r w:rsidR="00B3162F" w:rsidRPr="004D7F69">
              <w:t>C</w:t>
            </w:r>
            <w:r w:rsidR="00B3162F">
              <w:t>-</w:t>
            </w:r>
            <w:r w:rsidRPr="004D7F69">
              <w:t>reactive protein risk classification is categorized in three tertiles, the low risk tertile being values &lt; 1 mg/L, intermediate risk being 1-3 mg/L and high risk being values &gt; 3 m</w:t>
            </w:r>
            <w:r w:rsidR="00493391">
              <w:t>g</w:t>
            </w:r>
            <w:r w:rsidRPr="004D7F69">
              <w:t>/L.  After exclusion of subjects with values &gt; 10</w:t>
            </w:r>
            <w:r w:rsidR="00B91A9D">
              <w:t xml:space="preserve"> mg/L</w:t>
            </w:r>
            <w:r w:rsidR="00B3162F">
              <w:t>,</w:t>
            </w:r>
            <w:r w:rsidRPr="004D7F69">
              <w:t xml:space="preserve"> the slight increase in </w:t>
            </w:r>
            <w:r w:rsidR="00FE5FCB">
              <w:t>h</w:t>
            </w:r>
            <w:r w:rsidR="002B1DD7" w:rsidRPr="004D7F69">
              <w:t>s-CRP</w:t>
            </w:r>
            <w:r w:rsidRPr="004D7F69">
              <w:t xml:space="preserve"> remained within the confines of the</w:t>
            </w:r>
            <w:r w:rsidR="005B3B71" w:rsidRPr="004D7F69">
              <w:t xml:space="preserve"> intermediate risk group (</w:t>
            </w:r>
            <w:r w:rsidRPr="004D7F69">
              <w:t>1-3 mg/L).</w:t>
            </w:r>
          </w:p>
          <w:p w:rsidR="0033756C" w:rsidRPr="004D7F69" w:rsidRDefault="0033756C" w:rsidP="00506CC1">
            <w:pPr>
              <w:pStyle w:val="C-TableText"/>
            </w:pPr>
          </w:p>
          <w:p w:rsidR="002008FE" w:rsidRPr="004D7F69" w:rsidRDefault="00C44D83" w:rsidP="00506CC1">
            <w:pPr>
              <w:pStyle w:val="C-TableText"/>
            </w:pPr>
            <w:r w:rsidRPr="004D7F69">
              <w:t xml:space="preserve">The mean (Std) baseline </w:t>
            </w:r>
            <w:r w:rsidR="00FE5FCB">
              <w:t>h</w:t>
            </w:r>
            <w:r w:rsidR="002B1DD7" w:rsidRPr="004D7F69">
              <w:t>s-CRP</w:t>
            </w:r>
            <w:r w:rsidRPr="004D7F69">
              <w:t xml:space="preserve"> for Oral TU was 2.679 mg/L (5.4770) which was </w:t>
            </w:r>
            <w:r w:rsidR="005C6499" w:rsidRPr="004D7F69">
              <w:t>slightly lower</w:t>
            </w:r>
            <w:r w:rsidRPr="004D7F69">
              <w:t xml:space="preserve"> </w:t>
            </w:r>
            <w:r w:rsidR="005C6499" w:rsidRPr="004D7F69">
              <w:t xml:space="preserve">than </w:t>
            </w:r>
            <w:r w:rsidRPr="004D7F69">
              <w:t xml:space="preserve">the transdermal T-gel group mean baseline </w:t>
            </w:r>
            <w:r w:rsidR="00FE5FCB">
              <w:t>h</w:t>
            </w:r>
            <w:r w:rsidR="002B1DD7" w:rsidRPr="004D7F69">
              <w:t>s-CRP</w:t>
            </w:r>
            <w:r w:rsidRPr="004D7F69">
              <w:t xml:space="preserve"> of 3.715 mg/L (7.3515).  At Visit 4 (Day 90 or 105)</w:t>
            </w:r>
            <w:r w:rsidR="00B3162F">
              <w:t>,</w:t>
            </w:r>
            <w:r w:rsidRPr="004D7F69">
              <w:t xml:space="preserve"> the absolute mean increase for the Oral TU group was 0.397 mg/L (6.9512) compared to the transdermal T-gel group decrease of 0.662 mg/L (6.7688).  This trend continued at Visit 7</w:t>
            </w:r>
            <w:r w:rsidR="007D2A11" w:rsidRPr="004D7F69">
              <w:t xml:space="preserve"> (Day 365)</w:t>
            </w:r>
            <w:r w:rsidRPr="004D7F69">
              <w:t xml:space="preserve">.  At Visit 7 (Day 365) the absolute mean increase for Oral TU subjects was 0.201 mg/L (5.9627) compared </w:t>
            </w:r>
            <w:r w:rsidR="00B3162F">
              <w:t>with</w:t>
            </w:r>
            <w:r w:rsidR="00B3162F" w:rsidRPr="004D7F69">
              <w:t xml:space="preserve"> </w:t>
            </w:r>
            <w:r w:rsidR="007D2A11" w:rsidRPr="004D7F69">
              <w:t xml:space="preserve">the </w:t>
            </w:r>
            <w:r w:rsidRPr="004D7F69">
              <w:t xml:space="preserve">transdermal T-gel decrease of 0.449 mg/L (12.0764).  The mean </w:t>
            </w:r>
            <w:r w:rsidR="00FE5FCB">
              <w:t>h</w:t>
            </w:r>
            <w:r w:rsidR="002B1DD7" w:rsidRPr="004D7F69">
              <w:t>s-CRP</w:t>
            </w:r>
            <w:r w:rsidRPr="004D7F69">
              <w:t xml:space="preserve"> levels at Visit 7 were within the normal range.  </w:t>
            </w:r>
            <w:r w:rsidR="005C6499" w:rsidRPr="004D7F69">
              <w:t>Differences between</w:t>
            </w:r>
            <w:r w:rsidRPr="004D7F69">
              <w:t xml:space="preserve"> the Oral TU and transdermal T-gel group were </w:t>
            </w:r>
            <w:r w:rsidR="00CC1007" w:rsidRPr="004D7F69">
              <w:t xml:space="preserve">not </w:t>
            </w:r>
            <w:r w:rsidRPr="004D7F69">
              <w:t>statistically significant (p = 0.</w:t>
            </w:r>
            <w:r w:rsidR="00CC1007" w:rsidRPr="004D7F69">
              <w:t>2781</w:t>
            </w:r>
            <w:r w:rsidRPr="004D7F69">
              <w:t>)</w:t>
            </w:r>
            <w:r w:rsidR="00CC1007" w:rsidRPr="004D7F69">
              <w:t xml:space="preserve">. </w:t>
            </w:r>
            <w:r w:rsidRPr="004D7F69">
              <w:t xml:space="preserve"> </w:t>
            </w:r>
          </w:p>
          <w:p w:rsidR="00CC1007" w:rsidRDefault="00CC1007" w:rsidP="00506CC1">
            <w:pPr>
              <w:pStyle w:val="C-TableText"/>
            </w:pPr>
          </w:p>
          <w:p w:rsidR="00B91A9D" w:rsidRDefault="00B91A9D" w:rsidP="00506CC1">
            <w:pPr>
              <w:pStyle w:val="C-TableText"/>
            </w:pPr>
            <w:r w:rsidRPr="00B91A9D">
              <w:t xml:space="preserve">After exclusion of subjects with values &gt; 10 mg/L, the mean (Std) baseline hs-CRP for Oral TU was 1.729 mg/L (1.6124) which was lower than the transdermal T-gel group mean baseline hs-CRP of 2.201 mg/L (2.0351).  At Visit 4 (Day 90 or 105), the absolute mean decrease for the Oral TU group was 0.317 mg/L (5.5574) compared to the transdermal T-gel group decrease of 0.710 mg/L (4.0079).  This trend continued at Visit 7 (Day 365).  At Visit 7 (Day 365) the absolute mean decrease for Oral TU subjects was 0.374 mg/L (3.6779) compared to the transdermal T-gel decrease of 1.053 mg/L (4.0830).  </w:t>
            </w:r>
            <w:r w:rsidR="00EF5044" w:rsidRPr="004D7F69">
              <w:t>Differences between the Oral TU and transdermal T-gel group were not statistically significant (p = 0.</w:t>
            </w:r>
            <w:r w:rsidR="00EF5044">
              <w:t>3837</w:t>
            </w:r>
            <w:r w:rsidR="00EF5044" w:rsidRPr="004D7F69">
              <w:t xml:space="preserve">).  </w:t>
            </w:r>
            <w:r w:rsidRPr="00B91A9D">
              <w:t>The mean hs-CRP levels at Visit 7 (Day 365) were within the normal range.</w:t>
            </w:r>
            <w:r w:rsidR="00EF5044">
              <w:t xml:space="preserve"> </w:t>
            </w:r>
          </w:p>
          <w:p w:rsidR="00B91A9D" w:rsidRPr="004D7F69" w:rsidRDefault="00B91A9D" w:rsidP="00506CC1">
            <w:pPr>
              <w:pStyle w:val="C-TableText"/>
            </w:pPr>
          </w:p>
          <w:p w:rsidR="00C44D83" w:rsidRPr="004D7F69" w:rsidRDefault="00C44D83" w:rsidP="00C44D83">
            <w:pPr>
              <w:pStyle w:val="C-TableText"/>
            </w:pPr>
            <w:r w:rsidRPr="004D7F69">
              <w:t>In order to assess whether subjects with high C</w:t>
            </w:r>
            <w:r w:rsidRPr="004D7F69">
              <w:rPr>
                <w:vertAlign w:val="subscript"/>
              </w:rPr>
              <w:t>max</w:t>
            </w:r>
            <w:r w:rsidRPr="004D7F69">
              <w:t xml:space="preserve"> values (&gt;</w:t>
            </w:r>
            <w:r w:rsidR="00B3162F">
              <w:t xml:space="preserve"> </w:t>
            </w:r>
            <w:r w:rsidRPr="004D7F69">
              <w:t xml:space="preserve">1500 ng/dL) had </w:t>
            </w:r>
            <w:r w:rsidR="002011FE">
              <w:t>greater changes in</w:t>
            </w:r>
            <w:r w:rsidRPr="004D7F69">
              <w:t xml:space="preserve"> </w:t>
            </w:r>
            <w:r w:rsidR="00FE5FCB">
              <w:t>h</w:t>
            </w:r>
            <w:r w:rsidR="002B1DD7" w:rsidRPr="004D7F69">
              <w:t>s-CRP</w:t>
            </w:r>
            <w:r w:rsidRPr="004D7F69">
              <w:t xml:space="preserve">, </w:t>
            </w:r>
            <w:r w:rsidR="002011FE">
              <w:br/>
            </w:r>
            <w:r w:rsidR="00FE5FCB">
              <w:t>h</w:t>
            </w:r>
            <w:r w:rsidR="002B1DD7" w:rsidRPr="004D7F69">
              <w:t>s-CRP</w:t>
            </w:r>
            <w:r w:rsidRPr="004D7F69">
              <w:t xml:space="preserve"> was analyzed by treatment group and serum T C</w:t>
            </w:r>
            <w:r w:rsidRPr="004D7F69">
              <w:rPr>
                <w:vertAlign w:val="subscript"/>
              </w:rPr>
              <w:t>max</w:t>
            </w:r>
            <w:r w:rsidRPr="004D7F69">
              <w:t xml:space="preserve"> levels.  For Oral TU subjects, the mean change </w:t>
            </w:r>
            <w:r w:rsidRPr="004D7F69">
              <w:lastRenderedPageBreak/>
              <w:t xml:space="preserve">from baseline of </w:t>
            </w:r>
            <w:r w:rsidR="00FE5FCB">
              <w:t>h</w:t>
            </w:r>
            <w:r w:rsidR="002B1DD7" w:rsidRPr="004D7F69">
              <w:t>s-CRP</w:t>
            </w:r>
            <w:r w:rsidRPr="004D7F69">
              <w:t xml:space="preserve"> was similar in subjects whose serum T C</w:t>
            </w:r>
            <w:r w:rsidRPr="004D7F69">
              <w:rPr>
                <w:vertAlign w:val="subscript"/>
              </w:rPr>
              <w:t>max</w:t>
            </w:r>
            <w:r w:rsidRPr="004D7F69">
              <w:t xml:space="preserve"> level was &gt; 1500 ng/dL compared to subjects whose serum T C</w:t>
            </w:r>
            <w:r w:rsidRPr="004D7F69">
              <w:rPr>
                <w:vertAlign w:val="subscript"/>
              </w:rPr>
              <w:t>max</w:t>
            </w:r>
            <w:r w:rsidRPr="004D7F69">
              <w:t xml:space="preserve"> ≤ 1500 ng/dL.  At Visit 4</w:t>
            </w:r>
            <w:r w:rsidR="007D2A11" w:rsidRPr="004D7F69">
              <w:t xml:space="preserve"> (Day 90 or 105)</w:t>
            </w:r>
            <w:r w:rsidRPr="004D7F69">
              <w:t>, the mean increase was 0.18 mg/L (4.253) for subjects with serum T C</w:t>
            </w:r>
            <w:r w:rsidRPr="004D7F69">
              <w:rPr>
                <w:vertAlign w:val="subscript"/>
              </w:rPr>
              <w:t>max</w:t>
            </w:r>
            <w:r w:rsidRPr="004D7F69">
              <w:t xml:space="preserve"> &gt; 1500 ng/dL compared to an increase of 0.64 mg/L (8</w:t>
            </w:r>
            <w:r w:rsidR="006622CB">
              <w:t>.</w:t>
            </w:r>
            <w:r w:rsidRPr="004D7F69">
              <w:t>3</w:t>
            </w:r>
            <w:r w:rsidR="006622CB">
              <w:t>64</w:t>
            </w:r>
            <w:r w:rsidRPr="004D7F69">
              <w:t>) for subjects with serum T C</w:t>
            </w:r>
            <w:r w:rsidRPr="004D7F69">
              <w:rPr>
                <w:vertAlign w:val="subscript"/>
              </w:rPr>
              <w:t>max</w:t>
            </w:r>
            <w:r w:rsidRPr="004D7F69">
              <w:t xml:space="preserve"> ≤ 1500 ng/dL.  At Visit 7</w:t>
            </w:r>
            <w:r w:rsidR="007D2A11" w:rsidRPr="004D7F69">
              <w:t xml:space="preserve"> (Day 365)</w:t>
            </w:r>
            <w:r w:rsidRPr="004D7F69">
              <w:t>, the mean increase was 0.33 mg/L (2.057) for subjects with serum T C</w:t>
            </w:r>
            <w:r w:rsidRPr="004D7F69">
              <w:rPr>
                <w:vertAlign w:val="subscript"/>
              </w:rPr>
              <w:t>max</w:t>
            </w:r>
            <w:r w:rsidRPr="004D7F69">
              <w:t xml:space="preserve"> &gt; 1500 ng/dL compared to an increase of 0.17 mg/L (6.582) for subjects with serum T C</w:t>
            </w:r>
            <w:r w:rsidRPr="004D7F69">
              <w:rPr>
                <w:vertAlign w:val="subscript"/>
              </w:rPr>
              <w:t>max</w:t>
            </w:r>
            <w:r w:rsidRPr="004D7F69">
              <w:t xml:space="preserve"> ≤ 1500 ng/dL.</w:t>
            </w:r>
          </w:p>
          <w:p w:rsidR="00C44D83" w:rsidRPr="004D7F69" w:rsidRDefault="00C44D83" w:rsidP="00C44D83">
            <w:pPr>
              <w:pStyle w:val="C-TableText"/>
            </w:pPr>
          </w:p>
          <w:p w:rsidR="002008FE" w:rsidRPr="004D7F69" w:rsidRDefault="00C44D83" w:rsidP="00C44D83">
            <w:pPr>
              <w:pStyle w:val="C-TableText"/>
            </w:pPr>
            <w:r w:rsidRPr="004D7F69">
              <w:t>In order to assess whether subjects with high C</w:t>
            </w:r>
            <w:r w:rsidRPr="004D7F69">
              <w:rPr>
                <w:vertAlign w:val="subscript"/>
              </w:rPr>
              <w:t>avg</w:t>
            </w:r>
            <w:r w:rsidRPr="004D7F69">
              <w:t xml:space="preserve"> values (&gt;</w:t>
            </w:r>
            <w:r w:rsidR="00B3162F">
              <w:t xml:space="preserve"> </w:t>
            </w:r>
            <w:r w:rsidRPr="004D7F69">
              <w:t xml:space="preserve">1000 ng/dL) had </w:t>
            </w:r>
            <w:r w:rsidR="002011FE">
              <w:t xml:space="preserve">greater changes in </w:t>
            </w:r>
            <w:r w:rsidR="006622CB">
              <w:t>h</w:t>
            </w:r>
            <w:r w:rsidR="002B1DD7" w:rsidRPr="004D7F69">
              <w:t>s-CRP</w:t>
            </w:r>
            <w:r w:rsidRPr="004D7F69">
              <w:t xml:space="preserve">, </w:t>
            </w:r>
            <w:r w:rsidR="002011FE">
              <w:br/>
            </w:r>
            <w:r w:rsidR="006622CB">
              <w:t>h</w:t>
            </w:r>
            <w:r w:rsidR="002B1DD7" w:rsidRPr="004D7F69">
              <w:t>s-CRP</w:t>
            </w:r>
            <w:r w:rsidRPr="004D7F69">
              <w:t xml:space="preserve"> was analyzed by treatment group and serum T C</w:t>
            </w:r>
            <w:r w:rsidRPr="004D7F69">
              <w:rPr>
                <w:vertAlign w:val="subscript"/>
              </w:rPr>
              <w:t>avg</w:t>
            </w:r>
            <w:r w:rsidRPr="004D7F69">
              <w:t xml:space="preserve"> levels. </w:t>
            </w:r>
            <w:r w:rsidR="002011FE">
              <w:t xml:space="preserve"> </w:t>
            </w:r>
            <w:r w:rsidRPr="004D7F69">
              <w:t xml:space="preserve">There were relatively few subjects with </w:t>
            </w:r>
            <w:r w:rsidR="0025183A">
              <w:br/>
            </w:r>
            <w:r w:rsidRPr="004D7F69">
              <w:t>C</w:t>
            </w:r>
            <w:r w:rsidRPr="004D7F69">
              <w:rPr>
                <w:vertAlign w:val="subscript"/>
              </w:rPr>
              <w:t>avg</w:t>
            </w:r>
            <w:r w:rsidRPr="004D7F69">
              <w:t xml:space="preserve"> </w:t>
            </w:r>
            <w:r w:rsidR="00B3162F">
              <w:t>&gt;</w:t>
            </w:r>
            <w:r w:rsidRPr="004D7F69">
              <w:t xml:space="preserve"> 1000 ng/</w:t>
            </w:r>
            <w:r w:rsidR="0057068F" w:rsidRPr="004D7F69">
              <w:t>dL, which may limit the generalizability of the results</w:t>
            </w:r>
            <w:r w:rsidRPr="004D7F69">
              <w:t xml:space="preserve">.  For Oral TU subjects, the mean change from baseline of </w:t>
            </w:r>
            <w:r w:rsidR="006622CB">
              <w:t>h</w:t>
            </w:r>
            <w:r w:rsidR="002B1DD7" w:rsidRPr="004D7F69">
              <w:t>s-CRP</w:t>
            </w:r>
            <w:r w:rsidRPr="004D7F69">
              <w:t xml:space="preserve"> was similar in subjects whose serum T C</w:t>
            </w:r>
            <w:r w:rsidRPr="004D7F69">
              <w:rPr>
                <w:vertAlign w:val="subscript"/>
              </w:rPr>
              <w:t>avg</w:t>
            </w:r>
            <w:r w:rsidRPr="004D7F69">
              <w:t xml:space="preserve"> level was &gt;</w:t>
            </w:r>
            <w:r w:rsidR="00B3162F">
              <w:t xml:space="preserve"> </w:t>
            </w:r>
            <w:r w:rsidRPr="004D7F69">
              <w:t xml:space="preserve">1000 ng/dL compared </w:t>
            </w:r>
            <w:r w:rsidR="00B3162F">
              <w:t>with</w:t>
            </w:r>
            <w:r w:rsidR="00B3162F" w:rsidRPr="004D7F69">
              <w:t xml:space="preserve"> </w:t>
            </w:r>
            <w:r w:rsidRPr="004D7F69">
              <w:t>subjects whose serum T C</w:t>
            </w:r>
            <w:r w:rsidRPr="004D7F69">
              <w:rPr>
                <w:vertAlign w:val="subscript"/>
              </w:rPr>
              <w:t>avg</w:t>
            </w:r>
            <w:r w:rsidRPr="004D7F69">
              <w:t xml:space="preserve"> level ≤ 1000 ng/dL group.  At Visit 4</w:t>
            </w:r>
            <w:r w:rsidR="007D2A11" w:rsidRPr="004D7F69">
              <w:t xml:space="preserve"> (Day 90 or 105)</w:t>
            </w:r>
            <w:r w:rsidRPr="004D7F69">
              <w:t>, the mean increase was 0.44 mg/L (0.815) for subjects with serum T C</w:t>
            </w:r>
            <w:r w:rsidRPr="004D7F69">
              <w:rPr>
                <w:vertAlign w:val="subscript"/>
              </w:rPr>
              <w:t>avg</w:t>
            </w:r>
            <w:r w:rsidRPr="004D7F69">
              <w:t xml:space="preserve"> &gt; 1000 ng/dL compared </w:t>
            </w:r>
            <w:r w:rsidR="00B3162F">
              <w:t>with</w:t>
            </w:r>
            <w:r w:rsidR="00B3162F" w:rsidRPr="004D7F69">
              <w:t xml:space="preserve"> </w:t>
            </w:r>
            <w:r w:rsidRPr="004D7F69">
              <w:t>an increase of 0.46 mg/L (7.327) for subjects with serum T C</w:t>
            </w:r>
            <w:r w:rsidRPr="004D7F69">
              <w:rPr>
                <w:vertAlign w:val="subscript"/>
              </w:rPr>
              <w:t>avg</w:t>
            </w:r>
            <w:r w:rsidRPr="004D7F69">
              <w:t xml:space="preserve"> ≤ 1000 ng/dL.  At Visit 7</w:t>
            </w:r>
            <w:r w:rsidR="007D2A11" w:rsidRPr="004D7F69">
              <w:t xml:space="preserve"> (Day 365)</w:t>
            </w:r>
            <w:r w:rsidRPr="004D7F69">
              <w:t>, the mean increase was 0.90 mg/L (1.506) for subjects with serum T C</w:t>
            </w:r>
            <w:r w:rsidRPr="004D7F69">
              <w:rPr>
                <w:vertAlign w:val="subscript"/>
              </w:rPr>
              <w:t>avg</w:t>
            </w:r>
            <w:r w:rsidRPr="004D7F69">
              <w:t xml:space="preserve"> &gt; 1000 ng/dL compared to an increase of 0.18 mg/L (6.131) for subjects with serum T C</w:t>
            </w:r>
            <w:r w:rsidRPr="004D7F69">
              <w:rPr>
                <w:vertAlign w:val="subscript"/>
              </w:rPr>
              <w:t>avg</w:t>
            </w:r>
            <w:r w:rsidRPr="004D7F69">
              <w:t xml:space="preserve"> ≤ 1000 ng/dL.  </w:t>
            </w:r>
          </w:p>
          <w:p w:rsidR="002008FE" w:rsidRPr="004D7F69" w:rsidRDefault="002008FE" w:rsidP="00506CC1">
            <w:pPr>
              <w:pStyle w:val="C-TableText"/>
            </w:pPr>
          </w:p>
          <w:p w:rsidR="00506CC1" w:rsidRPr="004D7F69" w:rsidRDefault="00506CC1" w:rsidP="00506CC1">
            <w:pPr>
              <w:pStyle w:val="C-TableText"/>
              <w:rPr>
                <w:i/>
              </w:rPr>
            </w:pPr>
            <w:r w:rsidRPr="004D7F69">
              <w:rPr>
                <w:i/>
              </w:rPr>
              <w:t xml:space="preserve">Lipoprotein </w:t>
            </w:r>
            <w:r w:rsidR="00AA6B18" w:rsidRPr="004D7F69">
              <w:rPr>
                <w:i/>
              </w:rPr>
              <w:t xml:space="preserve">Associated </w:t>
            </w:r>
            <w:r w:rsidRPr="004D7F69">
              <w:rPr>
                <w:i/>
              </w:rPr>
              <w:t>Phospholipase A2</w:t>
            </w:r>
          </w:p>
          <w:p w:rsidR="00AA6B18" w:rsidRPr="004D7F69" w:rsidRDefault="00AA6B18" w:rsidP="00AA6B18">
            <w:pPr>
              <w:pStyle w:val="C-TableText"/>
            </w:pPr>
            <w:r w:rsidRPr="004D7F69">
              <w:t>Lipoprotein associated phospholipase A2 is an inflammatory enzyme secreted by macrophages and found in atherosclerotic plaque.  Epidemiologic studies have demonstrated that Lp-PLA</w:t>
            </w:r>
            <w:r w:rsidRPr="00D36B8F">
              <w:rPr>
                <w:vertAlign w:val="subscript"/>
              </w:rPr>
              <w:t>2</w:t>
            </w:r>
            <w:r w:rsidRPr="004D7F69">
              <w:t xml:space="preserve"> is an independent risk factor </w:t>
            </w:r>
            <w:r w:rsidR="00D03C0F">
              <w:t xml:space="preserve">for </w:t>
            </w:r>
            <w:r w:rsidRPr="004D7F69">
              <w:t>coronary or cerebrovascular events</w:t>
            </w:r>
            <w:r w:rsidR="00D03C0F">
              <w:t xml:space="preserve">. </w:t>
            </w:r>
            <w:r w:rsidRPr="004D7F69">
              <w:t xml:space="preserve"> </w:t>
            </w:r>
          </w:p>
          <w:p w:rsidR="00AA6B18" w:rsidRPr="004D7F69" w:rsidRDefault="00AA6B18" w:rsidP="00506CC1">
            <w:pPr>
              <w:pStyle w:val="C-TableText"/>
            </w:pPr>
          </w:p>
          <w:p w:rsidR="00160A3D" w:rsidRPr="004D7F69" w:rsidRDefault="00F834CD" w:rsidP="00506CC1">
            <w:pPr>
              <w:pStyle w:val="C-TableText"/>
            </w:pPr>
            <w:r w:rsidRPr="004D7F69">
              <w:t>The mean (Std) baseline Lp</w:t>
            </w:r>
            <w:r w:rsidR="002B1DD7" w:rsidRPr="004D7F69">
              <w:t>-</w:t>
            </w:r>
            <w:r w:rsidRPr="004D7F69">
              <w:t>PLA</w:t>
            </w:r>
            <w:r w:rsidR="002B1DD7" w:rsidRPr="004D7F69">
              <w:rPr>
                <w:vertAlign w:val="subscript"/>
              </w:rPr>
              <w:t>2</w:t>
            </w:r>
            <w:r w:rsidRPr="004D7F69">
              <w:t xml:space="preserve"> for Oral TU was 320.081 </w:t>
            </w:r>
            <w:r w:rsidR="00C417F1" w:rsidRPr="004D7F69">
              <w:t>ng/mL</w:t>
            </w:r>
            <w:r w:rsidRPr="004D7F69">
              <w:t xml:space="preserve"> (81.3534) which was similar to the transdermal T-gel group mean b</w:t>
            </w:r>
            <w:r w:rsidR="007D64F0" w:rsidRPr="004D7F69">
              <w:t>aseline Lp</w:t>
            </w:r>
            <w:r w:rsidR="002B1DD7" w:rsidRPr="004D7F69">
              <w:t>-</w:t>
            </w:r>
            <w:r w:rsidR="007D64F0" w:rsidRPr="004D7F69">
              <w:t>PLA</w:t>
            </w:r>
            <w:r w:rsidR="002B1DD7" w:rsidRPr="004D7F69">
              <w:rPr>
                <w:vertAlign w:val="subscript"/>
              </w:rPr>
              <w:t>2</w:t>
            </w:r>
            <w:r w:rsidR="007D64F0" w:rsidRPr="004D7F69">
              <w:t xml:space="preserve"> of 312.616 </w:t>
            </w:r>
            <w:r w:rsidR="00C417F1" w:rsidRPr="004D7F69">
              <w:t>ng/mL</w:t>
            </w:r>
            <w:r w:rsidR="007D64F0" w:rsidRPr="004D7F69">
              <w:t xml:space="preserve"> </w:t>
            </w:r>
            <w:r w:rsidRPr="004D7F69">
              <w:t xml:space="preserve">(85.6869).  Change from baseline at Visit 4 (Day 90 or 105) was greater in the Oral TU group with an absolute mean decrease of 39.500 </w:t>
            </w:r>
            <w:r w:rsidR="00C417F1" w:rsidRPr="004D7F69">
              <w:t>ng/mL</w:t>
            </w:r>
            <w:r w:rsidRPr="004D7F69">
              <w:t xml:space="preserve"> (86.6330) compared to the transdermal T-gel group decrease of 27.049 </w:t>
            </w:r>
            <w:r w:rsidR="00C417F1" w:rsidRPr="004D7F69">
              <w:t>ng/mL</w:t>
            </w:r>
            <w:r w:rsidRPr="004D7F69">
              <w:t xml:space="preserve"> (78.3423).  At Visit 7 (Day 365)</w:t>
            </w:r>
            <w:r w:rsidR="00903821">
              <w:t>,</w:t>
            </w:r>
            <w:r w:rsidRPr="004D7F69">
              <w:t xml:space="preserve"> the absolute mean decrease for Oral TU subjects was 39.576 </w:t>
            </w:r>
            <w:r w:rsidR="00C417F1" w:rsidRPr="004D7F69">
              <w:t>ng/mL</w:t>
            </w:r>
            <w:r w:rsidRPr="004D7F69">
              <w:t xml:space="preserve"> (73.7492) compared </w:t>
            </w:r>
            <w:r w:rsidR="00903821">
              <w:t>with</w:t>
            </w:r>
            <w:r w:rsidR="00903821" w:rsidRPr="004D7F69">
              <w:t xml:space="preserve"> </w:t>
            </w:r>
            <w:r w:rsidR="007D2A11" w:rsidRPr="004D7F69">
              <w:t xml:space="preserve">the </w:t>
            </w:r>
            <w:r w:rsidRPr="004D7F69">
              <w:t xml:space="preserve">transdermal T-gel decrease of 37.561 </w:t>
            </w:r>
            <w:r w:rsidR="00C417F1" w:rsidRPr="004D7F69">
              <w:t>ng/mL</w:t>
            </w:r>
            <w:r w:rsidRPr="004D7F69">
              <w:t xml:space="preserve"> (77.6177).  Differences between the Oral TU and transdermal T-gel group were not statistically significant (p = 0.4</w:t>
            </w:r>
            <w:r w:rsidR="006622CB">
              <w:t>489</w:t>
            </w:r>
            <w:r w:rsidRPr="004D7F69">
              <w:t>).</w:t>
            </w:r>
          </w:p>
          <w:p w:rsidR="00F834CD" w:rsidRPr="004D7F69" w:rsidRDefault="00F834CD" w:rsidP="00506CC1">
            <w:pPr>
              <w:pStyle w:val="C-TableText"/>
            </w:pPr>
          </w:p>
          <w:p w:rsidR="00F834CD" w:rsidRPr="0031280B" w:rsidRDefault="00F834CD" w:rsidP="00F834CD">
            <w:pPr>
              <w:pStyle w:val="C-TableText"/>
            </w:pPr>
            <w:r w:rsidRPr="004D7F69">
              <w:t>In order to assess whether subjects with high C</w:t>
            </w:r>
            <w:r w:rsidRPr="004D7F69">
              <w:rPr>
                <w:vertAlign w:val="subscript"/>
              </w:rPr>
              <w:t>max</w:t>
            </w:r>
            <w:r w:rsidRPr="004D7F69">
              <w:t xml:space="preserve"> values (&gt;</w:t>
            </w:r>
            <w:r w:rsidR="00903821">
              <w:t xml:space="preserve"> </w:t>
            </w:r>
            <w:r w:rsidRPr="004D7F69">
              <w:t xml:space="preserve">1500 ng/dL) had </w:t>
            </w:r>
            <w:r w:rsidR="00D03C0F">
              <w:t>a greater change in</w:t>
            </w:r>
            <w:r w:rsidRPr="004D7F69">
              <w:t xml:space="preserve"> Lp</w:t>
            </w:r>
            <w:r w:rsidR="002B1DD7" w:rsidRPr="004D7F69">
              <w:t>-</w:t>
            </w:r>
            <w:r w:rsidRPr="004D7F69">
              <w:t>PLA</w:t>
            </w:r>
            <w:r w:rsidR="002B1DD7" w:rsidRPr="004D7F69">
              <w:rPr>
                <w:vertAlign w:val="subscript"/>
              </w:rPr>
              <w:t>2</w:t>
            </w:r>
            <w:r w:rsidRPr="004D7F69">
              <w:t>, Lp</w:t>
            </w:r>
            <w:r w:rsidR="002B1DD7" w:rsidRPr="004D7F69">
              <w:t>-</w:t>
            </w:r>
            <w:r w:rsidRPr="004D7F69">
              <w:t>PLA</w:t>
            </w:r>
            <w:r w:rsidRPr="004D7F69">
              <w:rPr>
                <w:vertAlign w:val="subscript"/>
              </w:rPr>
              <w:t>2</w:t>
            </w:r>
            <w:r w:rsidRPr="004D7F69">
              <w:t xml:space="preserve"> was analyzed by treatment group and serum T C</w:t>
            </w:r>
            <w:r w:rsidRPr="004D7F69">
              <w:rPr>
                <w:vertAlign w:val="subscript"/>
              </w:rPr>
              <w:t>max</w:t>
            </w:r>
            <w:r w:rsidRPr="004D7F69">
              <w:t xml:space="preserve"> levels.  For Oral TU subjects, the mean change from baseline of Lp</w:t>
            </w:r>
            <w:r w:rsidR="002B1DD7" w:rsidRPr="004D7F69">
              <w:t>-</w:t>
            </w:r>
            <w:r w:rsidRPr="004D7F69">
              <w:t>PLA</w:t>
            </w:r>
            <w:r w:rsidRPr="004D7F69">
              <w:rPr>
                <w:vertAlign w:val="subscript"/>
              </w:rPr>
              <w:t>2</w:t>
            </w:r>
            <w:r w:rsidRPr="004D7F69">
              <w:t xml:space="preserve"> was less in subjects whose serum T C</w:t>
            </w:r>
            <w:r w:rsidRPr="004D7F69">
              <w:rPr>
                <w:vertAlign w:val="subscript"/>
              </w:rPr>
              <w:t>max</w:t>
            </w:r>
            <w:r w:rsidRPr="004D7F69">
              <w:t xml:space="preserve"> level</w:t>
            </w:r>
            <w:r w:rsidRPr="0031280B">
              <w:t xml:space="preserve"> was &gt; 1500 ng/dL compared </w:t>
            </w:r>
            <w:r w:rsidR="00903821">
              <w:t>with</w:t>
            </w:r>
            <w:r w:rsidR="00903821" w:rsidRPr="0031280B">
              <w:t xml:space="preserve"> </w:t>
            </w:r>
            <w:r w:rsidRPr="0031280B">
              <w:t>subjects whose serum T C</w:t>
            </w:r>
            <w:r w:rsidRPr="0031280B">
              <w:rPr>
                <w:vertAlign w:val="subscript"/>
              </w:rPr>
              <w:t>max</w:t>
            </w:r>
            <w:r w:rsidRPr="0031280B">
              <w:t xml:space="preserve"> ≤ 1500 ng/dL.  At Visit 4</w:t>
            </w:r>
            <w:r w:rsidR="007D2A11" w:rsidRPr="0031280B">
              <w:t xml:space="preserve"> (Day 90 or 105)</w:t>
            </w:r>
            <w:r w:rsidRPr="0031280B">
              <w:t xml:space="preserve">, the mean decrease was 28.5 </w:t>
            </w:r>
            <w:r w:rsidR="00C417F1">
              <w:t>ng/mL</w:t>
            </w:r>
            <w:r w:rsidRPr="0031280B">
              <w:t xml:space="preserve"> (86.11) for subjects with serum T C</w:t>
            </w:r>
            <w:r w:rsidRPr="0031280B">
              <w:rPr>
                <w:vertAlign w:val="subscript"/>
              </w:rPr>
              <w:t>max</w:t>
            </w:r>
            <w:r w:rsidRPr="0031280B">
              <w:t xml:space="preserve"> &gt; 1500 ng/dL compared </w:t>
            </w:r>
            <w:r w:rsidR="00903821">
              <w:t>with</w:t>
            </w:r>
            <w:r w:rsidR="00903821" w:rsidRPr="0031280B">
              <w:t xml:space="preserve"> </w:t>
            </w:r>
            <w:r w:rsidRPr="0031280B">
              <w:t xml:space="preserve">a decrease of 48.8 </w:t>
            </w:r>
            <w:r w:rsidR="00C417F1">
              <w:t>ng/mL</w:t>
            </w:r>
            <w:r w:rsidRPr="0031280B">
              <w:t xml:space="preserve"> (86.39) for subjects with serum T C</w:t>
            </w:r>
            <w:r w:rsidRPr="0031280B">
              <w:rPr>
                <w:vertAlign w:val="subscript"/>
              </w:rPr>
              <w:t>max</w:t>
            </w:r>
            <w:r w:rsidRPr="0031280B">
              <w:t xml:space="preserve"> ≤ 1500 ng/dL.  At Visit 7</w:t>
            </w:r>
            <w:r w:rsidR="007D2A11" w:rsidRPr="0031280B">
              <w:t xml:space="preserve"> (Day 365)</w:t>
            </w:r>
            <w:r w:rsidRPr="0031280B">
              <w:t xml:space="preserve">, the mean decrease was 30.9 </w:t>
            </w:r>
            <w:r w:rsidR="00C417F1">
              <w:t>ng/mL</w:t>
            </w:r>
            <w:r w:rsidRPr="0031280B">
              <w:t xml:space="preserve"> (58.03) for subjects with serum T C</w:t>
            </w:r>
            <w:r w:rsidRPr="0031280B">
              <w:rPr>
                <w:vertAlign w:val="subscript"/>
              </w:rPr>
              <w:t>max</w:t>
            </w:r>
            <w:r w:rsidRPr="0031280B">
              <w:t xml:space="preserve"> &gt; 1500 ng/dL compared to a decrease of 42.0 </w:t>
            </w:r>
            <w:r w:rsidR="00C417F1">
              <w:t>ng/mL</w:t>
            </w:r>
            <w:r w:rsidRPr="0031280B">
              <w:t xml:space="preserve"> (77.24) for subjects with serum T C</w:t>
            </w:r>
            <w:r w:rsidRPr="0031280B">
              <w:rPr>
                <w:vertAlign w:val="subscript"/>
              </w:rPr>
              <w:t>max</w:t>
            </w:r>
            <w:r w:rsidRPr="0031280B">
              <w:t xml:space="preserve"> ≤ 1500 ng/dL.   </w:t>
            </w:r>
          </w:p>
          <w:p w:rsidR="00F834CD" w:rsidRPr="0031280B" w:rsidRDefault="00F834CD" w:rsidP="00F834CD">
            <w:pPr>
              <w:pStyle w:val="C-TableText"/>
            </w:pPr>
          </w:p>
          <w:p w:rsidR="00F834CD" w:rsidRPr="0031280B" w:rsidRDefault="00F834CD" w:rsidP="00506CC1">
            <w:pPr>
              <w:pStyle w:val="C-TableText"/>
            </w:pPr>
            <w:r w:rsidRPr="0031280B">
              <w:t>In order to assess whether subjects with high C</w:t>
            </w:r>
            <w:r w:rsidRPr="0031280B">
              <w:rPr>
                <w:vertAlign w:val="subscript"/>
              </w:rPr>
              <w:t>avg</w:t>
            </w:r>
            <w:r w:rsidRPr="0031280B">
              <w:t xml:space="preserve"> values (&gt;</w:t>
            </w:r>
            <w:r w:rsidR="00903821">
              <w:t xml:space="preserve"> </w:t>
            </w:r>
            <w:r w:rsidRPr="0031280B">
              <w:t xml:space="preserve">1000 ng/dL) had </w:t>
            </w:r>
            <w:r w:rsidR="00D03C0F">
              <w:t>a greater change in</w:t>
            </w:r>
            <w:r w:rsidRPr="0031280B">
              <w:t xml:space="preserve"> Lp</w:t>
            </w:r>
            <w:r w:rsidR="002B1DD7">
              <w:t>-</w:t>
            </w:r>
            <w:r w:rsidRPr="0031280B">
              <w:t>PLA2, Lp</w:t>
            </w:r>
            <w:r w:rsidR="002B1DD7">
              <w:t>-</w:t>
            </w:r>
            <w:r w:rsidRPr="0031280B">
              <w:t>PLA</w:t>
            </w:r>
            <w:r w:rsidRPr="002B1DD7">
              <w:rPr>
                <w:vertAlign w:val="subscript"/>
              </w:rPr>
              <w:t>2</w:t>
            </w:r>
            <w:r w:rsidRPr="0031280B">
              <w:t xml:space="preserve"> was analyzed by treatment group and serum T C</w:t>
            </w:r>
            <w:r w:rsidRPr="0031280B">
              <w:rPr>
                <w:vertAlign w:val="subscript"/>
              </w:rPr>
              <w:t>avg</w:t>
            </w:r>
            <w:r w:rsidRPr="0031280B">
              <w:t xml:space="preserve"> levels. </w:t>
            </w:r>
            <w:r w:rsidR="00A716FB" w:rsidRPr="0031280B">
              <w:t xml:space="preserve"> </w:t>
            </w:r>
            <w:r w:rsidRPr="0031280B">
              <w:t>There were relatively few subjects with C</w:t>
            </w:r>
            <w:r w:rsidRPr="0031280B">
              <w:rPr>
                <w:vertAlign w:val="subscript"/>
              </w:rPr>
              <w:t>avg</w:t>
            </w:r>
            <w:r w:rsidRPr="0031280B">
              <w:t xml:space="preserve"> greater than 1000 ng/dL</w:t>
            </w:r>
            <w:r w:rsidR="00EF5044">
              <w:t xml:space="preserve">, </w:t>
            </w:r>
            <w:r w:rsidR="00EF5044" w:rsidRPr="004D7F69">
              <w:t>which may limit the generalizability of the results</w:t>
            </w:r>
            <w:r w:rsidRPr="0031280B">
              <w:t>.  For Oral TU subjects, the mean change from baseline of Lp</w:t>
            </w:r>
            <w:r w:rsidR="002B1DD7">
              <w:t>-</w:t>
            </w:r>
            <w:r w:rsidRPr="0031280B">
              <w:t>PLA</w:t>
            </w:r>
            <w:r w:rsidRPr="002B1DD7">
              <w:rPr>
                <w:vertAlign w:val="subscript"/>
              </w:rPr>
              <w:t>2</w:t>
            </w:r>
            <w:r w:rsidRPr="0031280B">
              <w:t xml:space="preserve"> was similar in subjects whose serum T C</w:t>
            </w:r>
            <w:r w:rsidRPr="0031280B">
              <w:rPr>
                <w:vertAlign w:val="subscript"/>
              </w:rPr>
              <w:t>avg</w:t>
            </w:r>
            <w:r w:rsidRPr="0031280B">
              <w:t xml:space="preserve"> level was &gt;1000 ng/dL compared to subjects whose serum T C</w:t>
            </w:r>
            <w:r w:rsidRPr="0031280B">
              <w:rPr>
                <w:vertAlign w:val="subscript"/>
              </w:rPr>
              <w:t>avg</w:t>
            </w:r>
            <w:r w:rsidRPr="0031280B">
              <w:t xml:space="preserve"> level ≤ 1000 ng/dL group.  At Visit 4</w:t>
            </w:r>
            <w:r w:rsidR="007D2A11" w:rsidRPr="0031280B">
              <w:t xml:space="preserve"> (Day 90 or 105)</w:t>
            </w:r>
            <w:r w:rsidRPr="0031280B">
              <w:t xml:space="preserve">, the mean decrease was 30.5 </w:t>
            </w:r>
            <w:r w:rsidR="00C417F1">
              <w:t>ng/mL</w:t>
            </w:r>
            <w:r w:rsidRPr="0031280B">
              <w:t xml:space="preserve"> (66.73) for subjects with serum T C</w:t>
            </w:r>
            <w:r w:rsidRPr="0031280B">
              <w:rPr>
                <w:vertAlign w:val="subscript"/>
              </w:rPr>
              <w:t>avg</w:t>
            </w:r>
            <w:r w:rsidRPr="0031280B">
              <w:t xml:space="preserve"> &gt; 1000 ng/dL compared to a decrease of 41.5 </w:t>
            </w:r>
            <w:r w:rsidR="00C417F1">
              <w:t>ng/mL</w:t>
            </w:r>
            <w:r w:rsidRPr="0031280B">
              <w:t xml:space="preserve"> (88.54) for subjects with serum T C</w:t>
            </w:r>
            <w:r w:rsidRPr="0031280B">
              <w:rPr>
                <w:vertAlign w:val="subscript"/>
              </w:rPr>
              <w:t>avg</w:t>
            </w:r>
            <w:r w:rsidRPr="0031280B">
              <w:t xml:space="preserve"> ≤ 1000 ng/dL.  At Visit 7</w:t>
            </w:r>
            <w:r w:rsidR="007D2A11" w:rsidRPr="0031280B">
              <w:t xml:space="preserve"> (Day 365)</w:t>
            </w:r>
            <w:r w:rsidRPr="0031280B">
              <w:t xml:space="preserve">, the mean decrease was 50.8 </w:t>
            </w:r>
            <w:r w:rsidR="00C417F1">
              <w:t>ng/mL</w:t>
            </w:r>
            <w:r w:rsidRPr="0031280B">
              <w:t xml:space="preserve"> (35.20) for subjects with serum T C</w:t>
            </w:r>
            <w:r w:rsidRPr="0031280B">
              <w:rPr>
                <w:vertAlign w:val="subscript"/>
              </w:rPr>
              <w:t>avg</w:t>
            </w:r>
            <w:r w:rsidRPr="0031280B">
              <w:t xml:space="preserve"> &gt; 1000 ng/dL compared </w:t>
            </w:r>
            <w:r w:rsidR="00903821">
              <w:t>with</w:t>
            </w:r>
            <w:r w:rsidR="00903821" w:rsidRPr="0031280B">
              <w:t xml:space="preserve"> </w:t>
            </w:r>
            <w:r w:rsidRPr="0031280B">
              <w:t xml:space="preserve">a decrease of 39.7 </w:t>
            </w:r>
            <w:r w:rsidR="00C417F1">
              <w:t>ng/mL</w:t>
            </w:r>
            <w:r w:rsidRPr="0031280B">
              <w:t xml:space="preserve"> (75.22) for subjects with serum T C</w:t>
            </w:r>
            <w:r w:rsidRPr="0031280B">
              <w:rPr>
                <w:vertAlign w:val="subscript"/>
              </w:rPr>
              <w:t>avg</w:t>
            </w:r>
            <w:r w:rsidRPr="0031280B">
              <w:t xml:space="preserve"> ≤ 1000 ng/dL.   </w:t>
            </w:r>
          </w:p>
          <w:p w:rsidR="008347DA" w:rsidRPr="0031280B" w:rsidRDefault="008347DA" w:rsidP="00506CC1">
            <w:pPr>
              <w:pStyle w:val="C-TableText"/>
            </w:pPr>
          </w:p>
          <w:p w:rsidR="00506CC1" w:rsidRPr="0031280B" w:rsidRDefault="00AD4AB0" w:rsidP="00506CC1">
            <w:pPr>
              <w:pStyle w:val="C-TableText"/>
              <w:rPr>
                <w:i/>
              </w:rPr>
            </w:pPr>
            <w:r w:rsidRPr="0031280B">
              <w:rPr>
                <w:i/>
              </w:rPr>
              <w:t>Lipoprotein A and Apolipoprotein A1</w:t>
            </w:r>
          </w:p>
          <w:p w:rsidR="001F248E" w:rsidRDefault="001F248E" w:rsidP="00587192">
            <w:pPr>
              <w:pStyle w:val="C-TableText"/>
            </w:pPr>
            <w:r>
              <w:t xml:space="preserve">Lipoprotein(a) is a very well recognized CV disease risk factor with elevations associated with increased cardiovascular risk.  </w:t>
            </w:r>
          </w:p>
          <w:p w:rsidR="00D03C0F" w:rsidRDefault="00D03C0F" w:rsidP="00587192">
            <w:pPr>
              <w:pStyle w:val="C-TableText"/>
            </w:pPr>
          </w:p>
          <w:p w:rsidR="00587192" w:rsidRPr="0031280B" w:rsidRDefault="00587192" w:rsidP="00587192">
            <w:pPr>
              <w:pStyle w:val="C-TableText"/>
            </w:pPr>
            <w:r w:rsidRPr="0031280B">
              <w:t>The mean (Std) baseline Lp(a) for Oral TU was 18.277 mg/dL (22.2246) which was similar to the transdermal T-gel group mean baseline Lp(a) of 20.327 mg/dL (23.0243).  At Visit 4 (Day 90 or 105)</w:t>
            </w:r>
            <w:r w:rsidR="00903821">
              <w:t>,</w:t>
            </w:r>
            <w:r w:rsidRPr="0031280B">
              <w:t xml:space="preserve"> the absolute mean decrease for the Oral TU group was 3.961 mg/dL (10.1491) compared </w:t>
            </w:r>
            <w:r w:rsidR="00903821">
              <w:t>with</w:t>
            </w:r>
            <w:r w:rsidR="00903821" w:rsidRPr="0031280B">
              <w:t xml:space="preserve"> </w:t>
            </w:r>
            <w:r w:rsidRPr="0031280B">
              <w:t xml:space="preserve">the transdermal </w:t>
            </w:r>
            <w:r w:rsidR="00D00C64">
              <w:br/>
            </w:r>
            <w:r w:rsidRPr="0031280B">
              <w:lastRenderedPageBreak/>
              <w:t>T-gel group increase of 1.828 mg/dL (8.9502).  This trend continued at Visit 7</w:t>
            </w:r>
            <w:r w:rsidR="007D2A11" w:rsidRPr="0031280B">
              <w:t xml:space="preserve"> (Day 365)</w:t>
            </w:r>
            <w:r w:rsidRPr="0031280B">
              <w:t>.  At Visit 7 (Day 365)</w:t>
            </w:r>
            <w:r w:rsidR="00903821">
              <w:t>,</w:t>
            </w:r>
            <w:r w:rsidRPr="0031280B">
              <w:t xml:space="preserve"> the absolute mean decrease for Oral TU subjects was 4.001 mg/dL (10.5435) compared to transdermal T-gel increase of 1.556 mg/dL (9.1896).  The mean Lp(a) levels at Visit 7 were within the normal range.  </w:t>
            </w:r>
            <w:r w:rsidRPr="006E65C0">
              <w:t xml:space="preserve">Differences between the Oral TU and transdermal T-gel group were statistically significant (p </w:t>
            </w:r>
            <w:r w:rsidR="00C22A68" w:rsidRPr="006E65C0">
              <w:t>&lt; 0.0001) with the Oral TU group having a greater decrease in mean Lp(a) levels</w:t>
            </w:r>
            <w:r w:rsidRPr="006E65C0">
              <w:t>.</w:t>
            </w:r>
          </w:p>
          <w:p w:rsidR="00587192" w:rsidRPr="0031280B" w:rsidRDefault="00587192" w:rsidP="00587192">
            <w:pPr>
              <w:pStyle w:val="C-TableText"/>
            </w:pPr>
          </w:p>
          <w:p w:rsidR="00E76420" w:rsidRDefault="00290472" w:rsidP="00587192">
            <w:pPr>
              <w:pStyle w:val="C-TableText"/>
            </w:pPr>
            <w:r w:rsidRPr="00290472">
              <w:t xml:space="preserve">ApoA1 is the main constituent of HDL and is known to drop across all T replacement regimens like HDL.  </w:t>
            </w:r>
            <w:r w:rsidR="00587192" w:rsidRPr="0031280B">
              <w:t xml:space="preserve">The mean (Std) baseline ApoA1 for Oral TU was 149.422 mg/dL (27.5725) which was similar to the transdermal T-gel group mean ApoA1 of 149.862 mg/dL (30.1161).  Mean change from baseline at Visit 4 (Day 90 or 105) was greater in the Oral TU group with an absolute mean decrease of 32.209 mg/dL (26.2661) compared to the transdermal T-gel group decrease of 14.347 mg/dL (26.7713).  At Visit 7 (Day 365), the absolute mean decrease for Oral TU subjects was 28.408 mg/dL (26.9079) compared to transdermal T-gel mean decrease of 11.636 mg/dL (28.9852).   The mean ApoA1 levels at Visit 7 </w:t>
            </w:r>
            <w:r w:rsidR="00534B06" w:rsidRPr="0031280B">
              <w:t xml:space="preserve">(Day 365) </w:t>
            </w:r>
            <w:r w:rsidR="00587192" w:rsidRPr="0031280B">
              <w:t>were within the normal range</w:t>
            </w:r>
            <w:r w:rsidR="00D03C0F">
              <w:t xml:space="preserve"> for both groups</w:t>
            </w:r>
            <w:r w:rsidR="00587192" w:rsidRPr="0031280B">
              <w:t xml:space="preserve">.  There was a statistically significant difference between the Oral TU and transdermal T-gel group (p &lt; 0.0001), with the Oral TU group having a greater decrease </w:t>
            </w:r>
            <w:r>
              <w:t xml:space="preserve">in </w:t>
            </w:r>
            <w:r w:rsidR="00587192" w:rsidRPr="0031280B">
              <w:t>ApoA1</w:t>
            </w:r>
            <w:r>
              <w:t xml:space="preserve">.  </w:t>
            </w:r>
            <w:r w:rsidRPr="00290472">
              <w:t xml:space="preserve">The drop occurred early on Day 90 </w:t>
            </w:r>
            <w:r w:rsidR="00FF655A">
              <w:t>with a</w:t>
            </w:r>
            <w:r w:rsidR="00FF655A" w:rsidRPr="00290472">
              <w:t xml:space="preserve"> </w:t>
            </w:r>
            <w:r w:rsidRPr="00290472">
              <w:t xml:space="preserve">20% change from baseline and stabilized at 17.54% at Day 365 in Oral TU versus an initial drop of 7.6% in the </w:t>
            </w:r>
            <w:r>
              <w:t xml:space="preserve">transdermal </w:t>
            </w:r>
            <w:r w:rsidRPr="00290472">
              <w:t xml:space="preserve">T-gel group that stabilized at Day 365 at 5.75%.  This drop in ApoA1 as well as the drop in HDL that was greater in the Oral TU group than in the </w:t>
            </w:r>
            <w:r w:rsidR="00D03C0F">
              <w:t xml:space="preserve">transdermal </w:t>
            </w:r>
            <w:r w:rsidRPr="00290472">
              <w:t xml:space="preserve">T gel group cannot be taken in isolation of other CV biomarker results and </w:t>
            </w:r>
            <w:r w:rsidR="00D03C0F">
              <w:t xml:space="preserve">is </w:t>
            </w:r>
            <w:r w:rsidRPr="00290472">
              <w:t xml:space="preserve">summarized in the CV biomarker </w:t>
            </w:r>
            <w:r w:rsidR="00D03C0F">
              <w:t>sub-</w:t>
            </w:r>
            <w:r w:rsidRPr="00290472">
              <w:t xml:space="preserve">study report. </w:t>
            </w:r>
            <w:r>
              <w:t xml:space="preserve"> </w:t>
            </w:r>
          </w:p>
          <w:p w:rsidR="00E76420" w:rsidRPr="0031280B" w:rsidRDefault="00E76420" w:rsidP="00506CC1">
            <w:pPr>
              <w:pStyle w:val="C-TableText"/>
              <w:rPr>
                <w:i/>
              </w:rPr>
            </w:pPr>
          </w:p>
          <w:p w:rsidR="00AD4AB0" w:rsidRDefault="00587192" w:rsidP="00506CC1">
            <w:pPr>
              <w:pStyle w:val="C-TableText"/>
              <w:rPr>
                <w:i/>
              </w:rPr>
            </w:pPr>
            <w:r w:rsidRPr="0031280B">
              <w:rPr>
                <w:i/>
              </w:rPr>
              <w:t>Non-inferiority Analysis</w:t>
            </w:r>
            <w:r w:rsidR="00AD4AB0" w:rsidRPr="0031280B">
              <w:rPr>
                <w:i/>
              </w:rPr>
              <w:t xml:space="preserve"> of Cardiovascular Biomarkers</w:t>
            </w:r>
          </w:p>
          <w:p w:rsidR="00290472" w:rsidRDefault="00821E47" w:rsidP="00821E47">
            <w:pPr>
              <w:pStyle w:val="C-TableText"/>
            </w:pPr>
            <w:r>
              <w:t xml:space="preserve">In addition to the analysis above </w:t>
            </w:r>
            <w:r w:rsidR="00D03C0F">
              <w:t>which examined</w:t>
            </w:r>
            <w:r>
              <w:t xml:space="preserve"> changes in </w:t>
            </w:r>
            <w:r w:rsidR="00290D46">
              <w:t>h</w:t>
            </w:r>
            <w:r w:rsidR="002B1DD7">
              <w:t>s-CRP</w:t>
            </w:r>
            <w:r>
              <w:t xml:space="preserve"> and Lp</w:t>
            </w:r>
            <w:r w:rsidR="002B1DD7">
              <w:t>-</w:t>
            </w:r>
            <w:r>
              <w:t>PLA</w:t>
            </w:r>
            <w:r w:rsidRPr="002B1DD7">
              <w:rPr>
                <w:vertAlign w:val="subscript"/>
              </w:rPr>
              <w:t>2</w:t>
            </w:r>
            <w:r>
              <w:t xml:space="preserve"> separately between the two T treatment regimens, a non-inferiority analysis was conducted.  The results of this analysis showed that the difference between point estimat</w:t>
            </w:r>
            <w:r w:rsidR="00D03C0F">
              <w:t xml:space="preserve">es for Oral TU and transdermal </w:t>
            </w:r>
            <w:r>
              <w:t xml:space="preserve">T-gel and its 95% </w:t>
            </w:r>
            <w:r w:rsidR="00AF0F74">
              <w:t>CI</w:t>
            </w:r>
            <w:r>
              <w:t xml:space="preserve"> was 0.049 (-0.074 to 0.171).  Since the lower boundary of the CI was &lt; 0 and the upper boundary was 0.171 which is &lt; 0.20 or 20% (the predefined safety margin in this analysis), both criterion were met to conclude that there was non-inferiority for Oral TU compared to transdermal T-Gel in prediction of CV risk based on the composite reclassification of risk based on these two biomarkers.</w:t>
            </w:r>
          </w:p>
          <w:p w:rsidR="00FA5798" w:rsidRDefault="00FA5798" w:rsidP="00821E47">
            <w:pPr>
              <w:pStyle w:val="C-TableText"/>
            </w:pPr>
          </w:p>
          <w:p w:rsidR="00D17A82" w:rsidRPr="0031280B" w:rsidRDefault="00D17A82" w:rsidP="00AD4AB0">
            <w:pPr>
              <w:pStyle w:val="C-TableText"/>
              <w:rPr>
                <w:u w:val="single"/>
              </w:rPr>
            </w:pPr>
            <w:r w:rsidRPr="0031280B">
              <w:rPr>
                <w:u w:val="single"/>
              </w:rPr>
              <w:t>Relatedness of Other Hormones Derived from T for  Safety Parameters</w:t>
            </w:r>
          </w:p>
          <w:p w:rsidR="00FF655A" w:rsidRDefault="00290D46" w:rsidP="00290D46">
            <w:pPr>
              <w:pStyle w:val="C-TableText"/>
            </w:pPr>
            <w:r w:rsidRPr="00932AEA">
              <w:t xml:space="preserve">A stepwise regression model was used to evaluate the effects of Day 365 change from baseline of T, DHT, DHT/T ratio, and E2 on the change from baseline </w:t>
            </w:r>
            <w:r w:rsidR="00FF655A">
              <w:t>to</w:t>
            </w:r>
            <w:r w:rsidRPr="00932AEA">
              <w:t xml:space="preserve"> Day 365 of Hct</w:t>
            </w:r>
            <w:r>
              <w:t xml:space="preserve">, </w:t>
            </w:r>
            <w:r w:rsidRPr="00932AEA">
              <w:t>HDL, PSA, prostate volume, hs-CRP, and Lp-PLA</w:t>
            </w:r>
            <w:r w:rsidRPr="00932AEA">
              <w:rPr>
                <w:vertAlign w:val="subscript"/>
              </w:rPr>
              <w:t>2</w:t>
            </w:r>
            <w:r w:rsidRPr="00932AEA">
              <w:t xml:space="preserve">. </w:t>
            </w:r>
            <w:r w:rsidR="00FF655A">
              <w:t xml:space="preserve"> </w:t>
            </w:r>
            <w:r w:rsidRPr="00932AEA">
              <w:t>Treatment (Oral TU vs. tran</w:t>
            </w:r>
            <w:r w:rsidR="00493391">
              <w:t>s</w:t>
            </w:r>
            <w:r w:rsidRPr="00932AEA">
              <w:t xml:space="preserve">dermal T-gel) was always included in the model regardless of significance level.  All hormone variables left in the model were significant at the 0.15 significance level.  </w:t>
            </w:r>
          </w:p>
          <w:p w:rsidR="00FF655A" w:rsidRDefault="00FF655A" w:rsidP="00290D46">
            <w:pPr>
              <w:pStyle w:val="C-TableText"/>
            </w:pPr>
          </w:p>
          <w:p w:rsidR="00FF655A" w:rsidRDefault="00FF655A" w:rsidP="00290D46">
            <w:pPr>
              <w:pStyle w:val="C-TableText"/>
            </w:pPr>
            <w:r>
              <w:t xml:space="preserve">From baseline to </w:t>
            </w:r>
            <w:r w:rsidRPr="00932AEA">
              <w:t>Day 365, there was a significant relationship between</w:t>
            </w:r>
            <w:r>
              <w:t xml:space="preserve"> treatment group and Hct </w:t>
            </w:r>
            <w:r w:rsidRPr="00932AEA">
              <w:t>(p = 0.0031).  Of all hormone parameters, only serum T appeared to have a significant relationship with Hct levels (p = 0.0905).  For HDL at Day 365, treatment group appeared to have a significant relationship with HDL (p &lt; 0.0001).  Of all hormone parameters, only DHT/T ratio appeared to have a significant relationship with HDL (p = 0.0386).  For hs-CRP at Day 365, there was no significant relationship between treatment groups and hs-CRP levels (p = 0.5762).  Additionally, none of the hormone parameters appeared to have an effect on hs-CRP.  For Lp-PLA</w:t>
            </w:r>
            <w:r w:rsidRPr="00932AEA">
              <w:rPr>
                <w:vertAlign w:val="subscript"/>
              </w:rPr>
              <w:t xml:space="preserve">2 </w:t>
            </w:r>
            <w:r w:rsidRPr="00932AEA">
              <w:t>at Day 365, there was no significant relationship between Lp-PLA</w:t>
            </w:r>
            <w:r w:rsidRPr="00932AEA">
              <w:rPr>
                <w:vertAlign w:val="subscript"/>
              </w:rPr>
              <w:t>2</w:t>
            </w:r>
            <w:r w:rsidRPr="00932AEA">
              <w:t xml:space="preserve"> and treatment groups (p = 0.6695).  Additionally, of all hormone parameters, only E2 appeared to have a significant relationship with Lp-PLA</w:t>
            </w:r>
            <w:r w:rsidRPr="00932AEA">
              <w:rPr>
                <w:vertAlign w:val="subscript"/>
              </w:rPr>
              <w:t>2</w:t>
            </w:r>
            <w:r w:rsidRPr="00932AEA">
              <w:t xml:space="preserve"> levels (p = 0.0531).  For PSA at Day 365, there was no significant relationship be</w:t>
            </w:r>
            <w:r>
              <w:t xml:space="preserve">tween PSA and treatment groups </w:t>
            </w:r>
            <w:r w:rsidRPr="00932AEA">
              <w:t>(p = 0.4586).  Additionally, of all hormone parameters, only E2 appeared to relate with PSA (p = 0.0313).  For prostate volume at Day 365, there was no significant relationship between treatment group and prostate volume (p = 0.5674) and none of the hormone parameters was related to prostate volume.</w:t>
            </w:r>
          </w:p>
          <w:p w:rsidR="00FF655A" w:rsidRDefault="00FF655A" w:rsidP="00290D46">
            <w:pPr>
              <w:pStyle w:val="C-TableText"/>
            </w:pPr>
          </w:p>
          <w:p w:rsidR="00702116" w:rsidRDefault="00290D46" w:rsidP="00290D46">
            <w:pPr>
              <w:pStyle w:val="C-TableText"/>
            </w:pPr>
            <w:r w:rsidRPr="00932AEA">
              <w:t>The model was also repeated for the change from baseline to Day 90; as well as the change from Day 90 to 365.</w:t>
            </w:r>
            <w:r w:rsidR="00FF655A">
              <w:t xml:space="preserve">  </w:t>
            </w:r>
            <w:r w:rsidRPr="00932AEA">
              <w:t xml:space="preserve">At Day 90, none of the hormone parameters appeared to have an effect on Hct levels.  There was a significant relationship between treatment and Hct (p &lt; 0.0001).  For HDL at Day 90, DHT/T ratio </w:t>
            </w:r>
            <w:r w:rsidR="00DF480B">
              <w:br/>
            </w:r>
            <w:r w:rsidRPr="00932AEA">
              <w:t>(p = 0.0978) and E2 (p = 0.0262) had an effect on HDL.  There was a significant relationship between treatment and HDL (p &lt; 0.0001).  For hs-CRP at Day 90, no hormone parameters appeared to have an effect on hs-CRP.  There was a significant relationship between treatment and hs-CRP (p = 0.0795).  For Lp-PLA</w:t>
            </w:r>
            <w:r w:rsidRPr="00932AEA">
              <w:rPr>
                <w:vertAlign w:val="subscript"/>
              </w:rPr>
              <w:t>2</w:t>
            </w:r>
            <w:r w:rsidR="00702116">
              <w:t xml:space="preserve"> </w:t>
            </w:r>
            <w:r w:rsidR="00702116">
              <w:lastRenderedPageBreak/>
              <w:t xml:space="preserve">at Day 90, DHT </w:t>
            </w:r>
            <w:r w:rsidRPr="00932AEA">
              <w:t>(p = 0.0244) and E2 (p= 0.0984) had effect on LpP-LA</w:t>
            </w:r>
            <w:r w:rsidRPr="00932AEA">
              <w:rPr>
                <w:vertAlign w:val="subscript"/>
              </w:rPr>
              <w:t>2</w:t>
            </w:r>
            <w:r w:rsidRPr="00932AEA">
              <w:t>.  There was a significant relationship between treatment and Lp-PLA</w:t>
            </w:r>
            <w:r w:rsidRPr="00932AEA">
              <w:rPr>
                <w:vertAlign w:val="subscript"/>
              </w:rPr>
              <w:t>2</w:t>
            </w:r>
            <w:r w:rsidRPr="00932AEA">
              <w:t xml:space="preserve"> (p = 0.0755).  For PSA at Day 90, no hormone parameters appeared to have an effect on PSA.   There was a significant relationship between treatment and PSA </w:t>
            </w:r>
            <w:r w:rsidR="00004D17">
              <w:br/>
            </w:r>
            <w:r w:rsidRPr="00932AEA">
              <w:t>(p = 0.121) levels.</w:t>
            </w:r>
          </w:p>
          <w:p w:rsidR="00290D46" w:rsidRPr="00932AEA" w:rsidRDefault="00290D46" w:rsidP="00290D46">
            <w:pPr>
              <w:pStyle w:val="C-TableText"/>
            </w:pPr>
            <w:r w:rsidRPr="00932AEA">
              <w:t xml:space="preserve">   </w:t>
            </w:r>
          </w:p>
          <w:p w:rsidR="00702116" w:rsidRPr="00932AEA" w:rsidRDefault="00290D46" w:rsidP="00290D46">
            <w:pPr>
              <w:pStyle w:val="C-TableText"/>
            </w:pPr>
            <w:r w:rsidRPr="00932AEA">
              <w:t xml:space="preserve">From Day 90 – Day 365, there was no significant relationship between treatment group and Hct </w:t>
            </w:r>
            <w:r w:rsidR="00702116">
              <w:br/>
            </w:r>
            <w:r w:rsidRPr="00932AEA">
              <w:t xml:space="preserve">(p = 0.7325).  Additionally, of all hormone parameters, only serum T appeared to have a relationship with Hct levels (p = 0.1448).  For HDL at Day 90 – Day 365, treatment group (p = 0.0789) and DHT </w:t>
            </w:r>
            <w:r w:rsidR="00702116">
              <w:br/>
            </w:r>
            <w:r w:rsidRPr="00932AEA">
              <w:t>(p = 0.1265) levels appeared to have a relationship with HDL.  For hs-CRP at Day 90 – Day 365, there was no significant relationship between treatment and hs-CRP (p = 0.3029).  Additionally, none of the hormone parameters appeared to have an effect.  For Lp-PLA</w:t>
            </w:r>
            <w:r w:rsidRPr="00932AEA">
              <w:rPr>
                <w:vertAlign w:val="subscript"/>
              </w:rPr>
              <w:t>2</w:t>
            </w:r>
            <w:r w:rsidRPr="00932AEA">
              <w:t xml:space="preserve"> at Day 90 – Day 365, treatment group (p = 0.1256) and E2 (p = 0.0136) levels appeared to have a significant relationship with Lp-PLA</w:t>
            </w:r>
            <w:r w:rsidRPr="00932AEA">
              <w:rPr>
                <w:vertAlign w:val="subscript"/>
              </w:rPr>
              <w:t>2</w:t>
            </w:r>
            <w:r w:rsidRPr="00932AEA">
              <w:t>.  For PSA at Day 90 – Day 365, treatment group (p = 0.0755) and E2 appeared to have a significant relationship with PSA levels.</w:t>
            </w:r>
          </w:p>
          <w:p w:rsidR="00EE2E04" w:rsidRPr="0031280B" w:rsidRDefault="00EE2E04" w:rsidP="00702116">
            <w:pPr>
              <w:pStyle w:val="C-TableText"/>
            </w:pPr>
          </w:p>
        </w:tc>
      </w:tr>
    </w:tbl>
    <w:p w:rsidR="00290D46" w:rsidRDefault="00290D46" w:rsidP="00290D46">
      <w:pPr>
        <w:pStyle w:val="C-TableText"/>
        <w:rPr>
          <w:b/>
        </w:rPr>
        <w:sectPr w:rsidR="00290D46" w:rsidSect="00A16D58">
          <w:footnotePr>
            <w:numFmt w:val="lowerRoman"/>
            <w:numStart w:val="2"/>
          </w:footnotePr>
          <w:endnotePr>
            <w:numFmt w:val="decimal"/>
          </w:endnotePr>
          <w:pgSz w:w="12240" w:h="15840"/>
          <w:pgMar w:top="1440" w:right="1440" w:bottom="1440" w:left="1800" w:header="720" w:footer="720" w:gutter="0"/>
          <w:cols w:space="720"/>
          <w:noEndnote/>
        </w:sectPr>
      </w:pPr>
    </w:p>
    <w:tbl>
      <w:tblPr>
        <w:tblW w:w="9000" w:type="dxa"/>
        <w:tblInd w:w="120" w:type="dxa"/>
        <w:tblLayout w:type="fixed"/>
        <w:tblCellMar>
          <w:left w:w="120" w:type="dxa"/>
          <w:right w:w="120" w:type="dxa"/>
        </w:tblCellMar>
        <w:tblLook w:val="0000"/>
      </w:tblPr>
      <w:tblGrid>
        <w:gridCol w:w="9000"/>
      </w:tblGrid>
      <w:tr w:rsidR="001F4B1B" w:rsidRPr="00E677BD" w:rsidTr="00290D46">
        <w:tc>
          <w:tcPr>
            <w:tcW w:w="9000" w:type="dxa"/>
            <w:tcBorders>
              <w:top w:val="single" w:sz="6" w:space="0" w:color="auto"/>
              <w:left w:val="single" w:sz="6" w:space="0" w:color="auto"/>
              <w:bottom w:val="single" w:sz="6" w:space="0" w:color="auto"/>
              <w:right w:val="single" w:sz="6" w:space="0" w:color="auto"/>
            </w:tcBorders>
          </w:tcPr>
          <w:p w:rsidR="00A31FBE" w:rsidRPr="00A31FBE" w:rsidRDefault="00A31FBE" w:rsidP="00290D46">
            <w:pPr>
              <w:pStyle w:val="C-TableText"/>
              <w:rPr>
                <w:u w:val="single"/>
              </w:rPr>
            </w:pPr>
            <w:r w:rsidRPr="00A31FBE">
              <w:rPr>
                <w:u w:val="single"/>
              </w:rPr>
              <w:lastRenderedPageBreak/>
              <w:t>Cardiovascular Biomarker Sub-study</w:t>
            </w:r>
          </w:p>
          <w:p w:rsidR="00A31FBE" w:rsidRDefault="00A31FBE" w:rsidP="00D669AC">
            <w:pPr>
              <w:pStyle w:val="C-TableText"/>
            </w:pPr>
            <w:r>
              <w:t xml:space="preserve">The CV biomarker sub-study evaluated an expanded list of CV biomarkers that were not assessed in the main study.  The purpose of this focused evaluation in 57 subjects </w:t>
            </w:r>
            <w:r w:rsidR="00D669AC">
              <w:t>who were randomized to treatment at</w:t>
            </w:r>
            <w:r>
              <w:t xml:space="preserve"> three study sites (28 Oral TU and 29 transdermal T-gel subjects) was to gain a more complete understanding of the effects of Oral TU and transdermal T-gel therapy on additional CV biomarkers known to be associated with increased CV risk.  </w:t>
            </w:r>
          </w:p>
          <w:p w:rsidR="00F134C5" w:rsidRDefault="00F134C5" w:rsidP="00A31FBE">
            <w:pPr>
              <w:pStyle w:val="C-TableText"/>
            </w:pPr>
          </w:p>
          <w:p w:rsidR="00F134C5" w:rsidRDefault="00F134C5" w:rsidP="00F134C5">
            <w:pPr>
              <w:pStyle w:val="C-TableText"/>
            </w:pPr>
            <w:r w:rsidRPr="001C7E6B">
              <w:rPr>
                <w:rFonts w:eastAsia="MS Mincho"/>
              </w:rPr>
              <w:t xml:space="preserve">The most </w:t>
            </w:r>
            <w:r>
              <w:rPr>
                <w:rFonts w:eastAsia="MS Mincho"/>
              </w:rPr>
              <w:t>important</w:t>
            </w:r>
            <w:r w:rsidRPr="001C7E6B">
              <w:rPr>
                <w:rFonts w:eastAsia="MS Mincho"/>
              </w:rPr>
              <w:t xml:space="preserve"> findings</w:t>
            </w:r>
            <w:r>
              <w:rPr>
                <w:rFonts w:eastAsia="MS Mincho"/>
              </w:rPr>
              <w:t xml:space="preserve"> </w:t>
            </w:r>
            <w:r w:rsidRPr="003D4EA8">
              <w:rPr>
                <w:rFonts w:eastAsia="MS Mincho"/>
              </w:rPr>
              <w:t>of this exploratory analysis are</w:t>
            </w:r>
            <w:r w:rsidRPr="001C7E6B">
              <w:rPr>
                <w:rFonts w:eastAsia="MS Mincho"/>
              </w:rPr>
              <w:t xml:space="preserve"> </w:t>
            </w:r>
            <w:r>
              <w:rPr>
                <w:rFonts w:eastAsia="MS Mincho"/>
              </w:rPr>
              <w:t xml:space="preserve">in the functional assessment of HDL, namely CE capacity, and in the quantitation of </w:t>
            </w:r>
            <w:r w:rsidRPr="001C7E6B">
              <w:t>HDL particle numbers</w:t>
            </w:r>
            <w:r>
              <w:t xml:space="preserve"> and HDL subfractions.  These assessments are</w:t>
            </w:r>
            <w:r w:rsidRPr="001C7E6B">
              <w:t xml:space="preserve"> considered to be better </w:t>
            </w:r>
            <w:r w:rsidR="00ED777E">
              <w:t xml:space="preserve">indicators of </w:t>
            </w:r>
            <w:r w:rsidR="005D772A">
              <w:t>cardiovascular disease</w:t>
            </w:r>
            <w:r w:rsidR="00ED777E">
              <w:t xml:space="preserve"> risk than HDL</w:t>
            </w:r>
            <w:r w:rsidRPr="001C7E6B">
              <w:t xml:space="preserve"> or Apo-A1. </w:t>
            </w:r>
            <w:r>
              <w:t xml:space="preserve"> The main findings were:</w:t>
            </w:r>
          </w:p>
          <w:p w:rsidR="00F134C5" w:rsidRPr="001C7E6B" w:rsidRDefault="00F134C5" w:rsidP="00F134C5">
            <w:pPr>
              <w:pStyle w:val="C-TableText"/>
            </w:pPr>
          </w:p>
          <w:p w:rsidR="00F134C5" w:rsidRPr="00F134C5" w:rsidRDefault="00F134C5" w:rsidP="00ED777E">
            <w:pPr>
              <w:pStyle w:val="C-TableText"/>
              <w:numPr>
                <w:ilvl w:val="0"/>
                <w:numId w:val="36"/>
              </w:numPr>
              <w:rPr>
                <w:rFonts w:eastAsia="MS Mincho"/>
              </w:rPr>
            </w:pPr>
            <w:r w:rsidRPr="00F134C5">
              <w:rPr>
                <w:rFonts w:eastAsia="MS Mincho"/>
              </w:rPr>
              <w:t xml:space="preserve">The mean </w:t>
            </w:r>
            <w:r w:rsidR="005D772A">
              <w:rPr>
                <w:rFonts w:eastAsia="MS Mincho"/>
              </w:rPr>
              <w:t>cholesterol efflux (</w:t>
            </w:r>
            <w:r w:rsidRPr="00F134C5">
              <w:rPr>
                <w:rFonts w:eastAsia="MS Mincho"/>
              </w:rPr>
              <w:t>CE</w:t>
            </w:r>
            <w:r w:rsidR="005D772A">
              <w:rPr>
                <w:rFonts w:eastAsia="MS Mincho"/>
              </w:rPr>
              <w:t>)</w:t>
            </w:r>
            <w:r w:rsidRPr="00F134C5">
              <w:rPr>
                <w:rFonts w:eastAsia="MS Mincho"/>
              </w:rPr>
              <w:t xml:space="preserve"> capacity showed a modest but statistically significant drop in </w:t>
            </w:r>
            <w:r w:rsidR="00ED777E">
              <w:rPr>
                <w:rFonts w:eastAsia="MS Mincho"/>
              </w:rPr>
              <w:t>O</w:t>
            </w:r>
            <w:r w:rsidRPr="00F134C5">
              <w:rPr>
                <w:rFonts w:eastAsia="MS Mincho"/>
              </w:rPr>
              <w:t xml:space="preserve">ral TU group compared to </w:t>
            </w:r>
            <w:r w:rsidR="00ED777E">
              <w:rPr>
                <w:rFonts w:eastAsia="MS Mincho"/>
              </w:rPr>
              <w:t xml:space="preserve">transdermal </w:t>
            </w:r>
            <w:r w:rsidRPr="00F134C5">
              <w:rPr>
                <w:rFonts w:eastAsia="MS Mincho"/>
              </w:rPr>
              <w:t xml:space="preserve">T-Gel but both treatments were associated with a decrease.  Although the CE decreased more with </w:t>
            </w:r>
            <w:r w:rsidR="00ED777E">
              <w:rPr>
                <w:rFonts w:eastAsia="MS Mincho"/>
              </w:rPr>
              <w:t>O</w:t>
            </w:r>
            <w:r w:rsidRPr="00F134C5">
              <w:rPr>
                <w:rFonts w:eastAsia="MS Mincho"/>
              </w:rPr>
              <w:t xml:space="preserve">ral TU treatment than </w:t>
            </w:r>
            <w:r w:rsidR="00ED777E">
              <w:rPr>
                <w:rFonts w:eastAsia="MS Mincho"/>
              </w:rPr>
              <w:t xml:space="preserve">transdermal </w:t>
            </w:r>
            <w:r w:rsidRPr="00F134C5">
              <w:rPr>
                <w:rFonts w:eastAsia="MS Mincho"/>
              </w:rPr>
              <w:t>T-gel, the difference between the groups was of unclear clinical significance given the complexities of cholesterol trafficking.</w:t>
            </w:r>
          </w:p>
          <w:p w:rsidR="00F134C5" w:rsidRPr="00F134C5" w:rsidRDefault="00F134C5" w:rsidP="00ED777E">
            <w:pPr>
              <w:pStyle w:val="C-TableText"/>
              <w:numPr>
                <w:ilvl w:val="0"/>
                <w:numId w:val="36"/>
              </w:numPr>
              <w:rPr>
                <w:rFonts w:eastAsia="MS Mincho"/>
              </w:rPr>
            </w:pPr>
            <w:r w:rsidRPr="00F134C5">
              <w:rPr>
                <w:rFonts w:eastAsia="MS Mincho"/>
              </w:rPr>
              <w:t>The corresponding decrease in total HDL particle number was not statistically significant between the two groups.</w:t>
            </w:r>
          </w:p>
          <w:p w:rsidR="00F134C5" w:rsidRPr="00F134C5" w:rsidRDefault="00F134C5" w:rsidP="00ED777E">
            <w:pPr>
              <w:pStyle w:val="C-TableText"/>
              <w:numPr>
                <w:ilvl w:val="0"/>
                <w:numId w:val="36"/>
              </w:numPr>
              <w:rPr>
                <w:rFonts w:eastAsia="MS Mincho"/>
              </w:rPr>
            </w:pPr>
            <w:r w:rsidRPr="00F134C5">
              <w:rPr>
                <w:rFonts w:eastAsia="MS Mincho"/>
              </w:rPr>
              <w:t xml:space="preserve">There was a redistribution in HDL subclasses in the </w:t>
            </w:r>
            <w:r w:rsidR="00ED777E">
              <w:rPr>
                <w:rFonts w:eastAsia="MS Mincho"/>
              </w:rPr>
              <w:t>O</w:t>
            </w:r>
            <w:r w:rsidRPr="00F134C5">
              <w:rPr>
                <w:rFonts w:eastAsia="MS Mincho"/>
              </w:rPr>
              <w:t xml:space="preserve">ral TU group with a significant shift toward very small HDL particles in the </w:t>
            </w:r>
            <w:r w:rsidR="00ED777E">
              <w:rPr>
                <w:rFonts w:eastAsia="MS Mincho"/>
              </w:rPr>
              <w:t>O</w:t>
            </w:r>
            <w:r w:rsidRPr="00F134C5">
              <w:rPr>
                <w:rFonts w:eastAsia="MS Mincho"/>
              </w:rPr>
              <w:t>ral TU group and a significant corresponding decrease predominantly in the l</w:t>
            </w:r>
            <w:r w:rsidR="00ED777E">
              <w:rPr>
                <w:rFonts w:eastAsia="MS Mincho"/>
              </w:rPr>
              <w:t>arge HDL.  This indicates that O</w:t>
            </w:r>
            <w:r w:rsidRPr="00F134C5">
              <w:rPr>
                <w:rFonts w:eastAsia="MS Mincho"/>
              </w:rPr>
              <w:t>ral TU caused a shift towards the more anti-atherogenic HDL subclasses.</w:t>
            </w:r>
          </w:p>
          <w:p w:rsidR="00ED777E" w:rsidRDefault="00ED777E" w:rsidP="00F134C5">
            <w:pPr>
              <w:pStyle w:val="C-TableText"/>
            </w:pPr>
          </w:p>
          <w:p w:rsidR="00F134C5" w:rsidRDefault="00F134C5" w:rsidP="00F134C5">
            <w:pPr>
              <w:pStyle w:val="C-TableText"/>
            </w:pPr>
            <w:r w:rsidRPr="001C7E6B">
              <w:t>For most</w:t>
            </w:r>
            <w:r>
              <w:t xml:space="preserve"> of the CV</w:t>
            </w:r>
            <w:r w:rsidRPr="001C7E6B">
              <w:t xml:space="preserve"> biomarkers</w:t>
            </w:r>
            <w:r>
              <w:t xml:space="preserve"> evaluated in this exploratory sub-study, </w:t>
            </w:r>
            <w:r w:rsidRPr="001C7E6B">
              <w:t>responses</w:t>
            </w:r>
            <w:r w:rsidR="00ED777E">
              <w:t xml:space="preserve"> observed in response to O</w:t>
            </w:r>
            <w:r>
              <w:t xml:space="preserve">ral TU after 365 days of therapy were not </w:t>
            </w:r>
            <w:r w:rsidRPr="001C7E6B">
              <w:t xml:space="preserve">statistically different from the response observed in </w:t>
            </w:r>
            <w:r w:rsidR="00ED777E">
              <w:t xml:space="preserve">transdermal </w:t>
            </w:r>
            <w:r w:rsidRPr="001C7E6B">
              <w:t>T-gel subjects</w:t>
            </w:r>
            <w:r w:rsidR="00D03473">
              <w:t xml:space="preserve"> (e.g., sPLA2, IDL, VLDL, and most of the markers of immune response to modified LDL and its atherogenic components)</w:t>
            </w:r>
            <w:r w:rsidRPr="001C7E6B">
              <w:t>.</w:t>
            </w:r>
            <w:r>
              <w:t xml:space="preserve">  However, there were exceptions to this general trend.  These were:</w:t>
            </w:r>
          </w:p>
          <w:p w:rsidR="00F134C5" w:rsidRPr="001C7E6B" w:rsidRDefault="00F134C5" w:rsidP="00F134C5">
            <w:pPr>
              <w:pStyle w:val="C-TableText"/>
            </w:pPr>
          </w:p>
          <w:p w:rsidR="00F134C5" w:rsidRPr="00F134C5" w:rsidRDefault="00F134C5" w:rsidP="00ED777E">
            <w:pPr>
              <w:pStyle w:val="C-TableText"/>
              <w:numPr>
                <w:ilvl w:val="0"/>
                <w:numId w:val="37"/>
              </w:numPr>
            </w:pPr>
            <w:r w:rsidRPr="00F134C5">
              <w:t xml:space="preserve">PC Ox-PL, an independent risk factor for </w:t>
            </w:r>
            <w:r w:rsidR="003230C0">
              <w:t>cardiovascular disease</w:t>
            </w:r>
            <w:r w:rsidRPr="00F134C5">
              <w:t xml:space="preserve">, exhibited a statistically significant decrease in </w:t>
            </w:r>
            <w:r w:rsidR="00ED777E">
              <w:t>O</w:t>
            </w:r>
            <w:r w:rsidRPr="00F134C5">
              <w:t xml:space="preserve">ral TU subjects versus an increase in </w:t>
            </w:r>
            <w:r w:rsidR="00ED777E">
              <w:t xml:space="preserve">transdermal </w:t>
            </w:r>
            <w:r w:rsidRPr="00F134C5">
              <w:t xml:space="preserve">T-gel subjects.  Based on this biomarker, there was decreased </w:t>
            </w:r>
            <w:r w:rsidR="003230C0">
              <w:t>cardiovascular</w:t>
            </w:r>
            <w:r w:rsidRPr="00F134C5">
              <w:t xml:space="preserve"> risk in the </w:t>
            </w:r>
            <w:r w:rsidR="00ED777E">
              <w:t>O</w:t>
            </w:r>
            <w:r w:rsidRPr="00F134C5">
              <w:t xml:space="preserve">ral TU group but increased risk in the </w:t>
            </w:r>
            <w:r w:rsidR="003230C0">
              <w:t xml:space="preserve">transdermal </w:t>
            </w:r>
            <w:r w:rsidRPr="00F134C5">
              <w:t>T-gel group.</w:t>
            </w:r>
          </w:p>
          <w:p w:rsidR="00F134C5" w:rsidRPr="00F134C5" w:rsidRDefault="00F134C5" w:rsidP="00ED777E">
            <w:pPr>
              <w:pStyle w:val="C-TableText"/>
              <w:numPr>
                <w:ilvl w:val="0"/>
                <w:numId w:val="37"/>
              </w:numPr>
            </w:pPr>
            <w:r w:rsidRPr="00F134C5">
              <w:t xml:space="preserve">IgG class Immune Complexes to Apo-B1, considered to be associated with a higher risk for adverse </w:t>
            </w:r>
            <w:r w:rsidR="003230C0">
              <w:t xml:space="preserve">cardiovascular disease </w:t>
            </w:r>
            <w:r w:rsidRPr="00F134C5">
              <w:t>outcomes, statistically significantly decreased in both treatment groups across all study days.</w:t>
            </w:r>
          </w:p>
          <w:p w:rsidR="00F134C5" w:rsidRPr="00F134C5" w:rsidRDefault="00F134C5" w:rsidP="00ED777E">
            <w:pPr>
              <w:pStyle w:val="C-TableText"/>
              <w:numPr>
                <w:ilvl w:val="0"/>
                <w:numId w:val="37"/>
              </w:numPr>
            </w:pPr>
            <w:r w:rsidRPr="00F134C5">
              <w:t>Ion Mobility analysis showed:</w:t>
            </w:r>
          </w:p>
          <w:p w:rsidR="00F134C5" w:rsidRPr="00F134C5" w:rsidRDefault="00F134C5" w:rsidP="00ED777E">
            <w:pPr>
              <w:pStyle w:val="C-TableText"/>
              <w:numPr>
                <w:ilvl w:val="0"/>
                <w:numId w:val="38"/>
              </w:numPr>
              <w:ind w:left="870"/>
            </w:pPr>
            <w:r w:rsidRPr="00F134C5">
              <w:t xml:space="preserve">There was a favorable trend toward an increase in the non-atherogenic larger LDL particle subfractions in both treatment groups that was not statistically different between the two groups. </w:t>
            </w:r>
          </w:p>
          <w:p w:rsidR="00F134C5" w:rsidRPr="00F134C5" w:rsidRDefault="00F134C5" w:rsidP="00ED777E">
            <w:pPr>
              <w:pStyle w:val="C-TableText"/>
              <w:numPr>
                <w:ilvl w:val="0"/>
                <w:numId w:val="38"/>
              </w:numPr>
              <w:ind w:left="870"/>
            </w:pPr>
            <w:r w:rsidRPr="00F134C5">
              <w:t xml:space="preserve">A statistically significant increase (albeit numerically small and not clinically meaningful) was observed with very small LDL fraction in response to </w:t>
            </w:r>
            <w:r w:rsidR="00ED777E">
              <w:t>O</w:t>
            </w:r>
            <w:r w:rsidRPr="00F134C5">
              <w:t>ral TU.</w:t>
            </w:r>
          </w:p>
          <w:p w:rsidR="00F134C5" w:rsidRPr="00F134C5" w:rsidRDefault="00F134C5" w:rsidP="00ED777E">
            <w:pPr>
              <w:pStyle w:val="C-TableText"/>
              <w:numPr>
                <w:ilvl w:val="0"/>
                <w:numId w:val="38"/>
              </w:numPr>
              <w:ind w:left="870"/>
            </w:pPr>
            <w:r w:rsidRPr="00F134C5">
              <w:t xml:space="preserve">There was a trend towards an increase in medium LDL (numerically small and not clinically meaningful) that failed to achieve statistical significance in response to </w:t>
            </w:r>
            <w:r w:rsidR="00ED777E">
              <w:t>O</w:t>
            </w:r>
            <w:r w:rsidRPr="00F134C5">
              <w:t>ral TU.</w:t>
            </w:r>
          </w:p>
          <w:p w:rsidR="00F134C5" w:rsidRPr="001F3D20" w:rsidRDefault="00F134C5" w:rsidP="00ED777E">
            <w:pPr>
              <w:pStyle w:val="C-TableText"/>
              <w:numPr>
                <w:ilvl w:val="0"/>
                <w:numId w:val="38"/>
              </w:numPr>
              <w:ind w:left="870"/>
            </w:pPr>
            <w:r w:rsidRPr="00F134C5">
              <w:t xml:space="preserve">The most reassuring finding in the LDL phenotype analyses was that most subjects started and remained in the non- atherogenic phenotype A group with very few subjects transitioning to the more atherogenic phenotypes I or B.  </w:t>
            </w:r>
            <w:r w:rsidR="00ED777E">
              <w:t xml:space="preserve">This analysis did not show </w:t>
            </w:r>
            <w:r w:rsidRPr="00F134C5">
              <w:t>statistical differences between the two treatment groups</w:t>
            </w:r>
            <w:r w:rsidRPr="001F3D20">
              <w:t>.</w:t>
            </w:r>
          </w:p>
          <w:p w:rsidR="00F134C5" w:rsidRDefault="00F134C5" w:rsidP="00F134C5">
            <w:pPr>
              <w:pStyle w:val="C-TableText"/>
            </w:pPr>
          </w:p>
          <w:p w:rsidR="001F4B1B" w:rsidRDefault="007E7BFE" w:rsidP="00290D46">
            <w:pPr>
              <w:pStyle w:val="C-TableText"/>
              <w:rPr>
                <w:b/>
              </w:rPr>
            </w:pPr>
            <w:r>
              <w:rPr>
                <w:b/>
              </w:rPr>
              <w:t xml:space="preserve">Overall </w:t>
            </w:r>
            <w:r w:rsidR="001F4B1B" w:rsidRPr="00506CC1">
              <w:rPr>
                <w:b/>
              </w:rPr>
              <w:t xml:space="preserve">Conclusions: </w:t>
            </w:r>
          </w:p>
          <w:p w:rsidR="007E7BFE" w:rsidRDefault="007C0693" w:rsidP="007E7BFE">
            <w:pPr>
              <w:pStyle w:val="C-TableText"/>
              <w:rPr>
                <w:b/>
              </w:rPr>
            </w:pPr>
            <w:r>
              <w:rPr>
                <w:b/>
              </w:rPr>
              <w:t>Efficacy</w:t>
            </w:r>
          </w:p>
          <w:p w:rsidR="007E7BFE" w:rsidRDefault="007E7BFE" w:rsidP="007E7BFE">
            <w:pPr>
              <w:pStyle w:val="C-TableText"/>
            </w:pPr>
            <w:r>
              <w:t>The primary objective of this study was to determine the safety and efficacy of Oral TU in hypogonadal men for androgen replacement therapy during approximately one year of continuous therapy.  Efficacy was defined as attaining a serum total T C</w:t>
            </w:r>
            <w:r w:rsidRPr="00E84FF9">
              <w:rPr>
                <w:vertAlign w:val="subscript"/>
              </w:rPr>
              <w:t>avg</w:t>
            </w:r>
            <w:r>
              <w:t xml:space="preserve"> on Day 90 of treatment in the eugonadal range (300 ng/dL ≤ C</w:t>
            </w:r>
            <w:r w:rsidRPr="00E84FF9">
              <w:rPr>
                <w:vertAlign w:val="subscript"/>
              </w:rPr>
              <w:t>avg</w:t>
            </w:r>
            <w:r>
              <w:t xml:space="preserve"> </w:t>
            </w:r>
            <w:r w:rsidR="00E4140D">
              <w:t>≤ </w:t>
            </w:r>
            <w:r>
              <w:t xml:space="preserve">1000 ng/dL) in at least 75% of evaluable subjects treated with Oral TU.  The lower limit of the 95% CI for the observed efficacy rate needed to be at least 65%.  The PK component of the safety was to be assessed by </w:t>
            </w:r>
            <w:r>
              <w:lastRenderedPageBreak/>
              <w:t>determining the proportions of the Oral TU treated subjects with C</w:t>
            </w:r>
            <w:r w:rsidRPr="00E84FF9">
              <w:rPr>
                <w:vertAlign w:val="subscript"/>
              </w:rPr>
              <w:t xml:space="preserve">max </w:t>
            </w:r>
            <w:r>
              <w:t xml:space="preserve">greater than 1500 ng/dL, </w:t>
            </w:r>
            <w:r w:rsidR="00200E8B">
              <w:t xml:space="preserve">between 1500 ng/dL and 1800 ng/dL, and &gt; 2500 ng/dL.  </w:t>
            </w:r>
            <w:r>
              <w:t>An additional study objective was validation of the proposed dose titration scheme for Oral TU dose selection in study participants.</w:t>
            </w:r>
          </w:p>
          <w:p w:rsidR="007E7BFE" w:rsidRDefault="007E7BFE" w:rsidP="007E7BFE">
            <w:pPr>
              <w:pStyle w:val="C-TableText"/>
            </w:pPr>
            <w:r>
              <w:t xml:space="preserve"> </w:t>
            </w:r>
          </w:p>
          <w:p w:rsidR="007E7BFE" w:rsidRDefault="007E7BFE" w:rsidP="007E7BFE">
            <w:pPr>
              <w:pStyle w:val="C-TableText"/>
            </w:pPr>
            <w:r>
              <w:t xml:space="preserve">The PK of T </w:t>
            </w:r>
            <w:r w:rsidR="00A62CA4">
              <w:t>was</w:t>
            </w:r>
            <w:r>
              <w:t xml:space="preserve"> determined on each of three PK observation days – approximately Day 30, Day 90</w:t>
            </w:r>
            <w:r w:rsidR="00E4140D">
              <w:t>,</w:t>
            </w:r>
            <w:r>
              <w:t xml:space="preserve"> and Day 365 of the study.  In addition, </w:t>
            </w:r>
            <w:r w:rsidR="00200E8B">
              <w:t>a sample was</w:t>
            </w:r>
            <w:r>
              <w:t xml:space="preserve"> collected on Day 0 (just prior to starting the T treatment to which the subject was randomized), and </w:t>
            </w:r>
            <w:r w:rsidR="00200E8B">
              <w:t xml:space="preserve">4-6 hours post AM dose </w:t>
            </w:r>
            <w:r>
              <w:t>on approximately Day 180 and Day 270 of treatment.</w:t>
            </w:r>
          </w:p>
          <w:p w:rsidR="007E7BFE" w:rsidRDefault="007E7BFE" w:rsidP="007E7BFE">
            <w:pPr>
              <w:pStyle w:val="C-TableText"/>
            </w:pPr>
            <w:r>
              <w:t xml:space="preserve">  </w:t>
            </w:r>
          </w:p>
          <w:p w:rsidR="007E7BFE" w:rsidRDefault="007E7BFE" w:rsidP="007E7BFE">
            <w:pPr>
              <w:pStyle w:val="C-TableText"/>
            </w:pPr>
            <w:r>
              <w:t>On Day 0/1 of the study</w:t>
            </w:r>
            <w:r w:rsidR="00E4140D">
              <w:t>,</w:t>
            </w:r>
            <w:r>
              <w:t xml:space="preserve"> all subjects received the first dose of the treatment to which they were randomized, either Oral TU at 200 mg T BID, or topical gel at 50 mg T once daily as a 1% gel (i.e., 5 g of AndroGel</w:t>
            </w:r>
            <w:r w:rsidRPr="00E84FF9">
              <w:rPr>
                <w:vertAlign w:val="superscript"/>
              </w:rPr>
              <w:t>®</w:t>
            </w:r>
            <w:r>
              <w:t xml:space="preserve">).  Subjects returned to the clinic for a Day 30 visit during which serial blood PK samples were collected over the 12 hour period following dose administration, with the sample collected 4-6 hours post-drug administration being used to assess the status of a subject's T concentration relative to the titration criteria for holding the T dose the same, increasing the dose, or decreasing the dose.  Those subjects whose dose was adjusted following the Day 30 visit returned to the clinic for a Day 60 visit and a status sample PK blood draw 4-6 hours post dose to determine whether another dose titration step was required.  All subjects returned to the clinic for a Day 90 PK evaluation visit where serial PK samples were collected over a </w:t>
            </w:r>
            <w:r w:rsidR="00E4140D">
              <w:t>24-</w:t>
            </w:r>
            <w:r>
              <w:t>hour period.  The serum total T PK on the Day 90 visit determined whether a subject met the primary efficacy endpoint, namely whether the T C</w:t>
            </w:r>
            <w:r w:rsidRPr="00E84FF9">
              <w:rPr>
                <w:vertAlign w:val="subscript"/>
              </w:rPr>
              <w:t>avg</w:t>
            </w:r>
            <w:r>
              <w:t xml:space="preserve"> over the 24 hour period of Day 90 fell within the targeted range of </w:t>
            </w:r>
            <w:r w:rsidR="00D00C64">
              <w:br/>
            </w:r>
            <w:r>
              <w:t>300 ng/dL ≤ Cavg ≤ 1000 ng/dL.  The designated T treatments were continued for the remainder of a year with single status monitoring PK samples being collected during a Day 180 visit and a Day 270 visit, and serial PK samples being collected over the 12 hours following the morning dose administration on a Day 365 visit.</w:t>
            </w:r>
          </w:p>
          <w:p w:rsidR="007E7BFE" w:rsidRDefault="007E7BFE" w:rsidP="007E7BFE">
            <w:pPr>
              <w:pStyle w:val="C-TableText"/>
            </w:pPr>
          </w:p>
          <w:p w:rsidR="007E7BFE" w:rsidRDefault="007E7BFE" w:rsidP="007E7BFE">
            <w:pPr>
              <w:pStyle w:val="C-TableText"/>
            </w:pPr>
            <w:r>
              <w:t>Results from this study support the following conclusions:</w:t>
            </w:r>
          </w:p>
          <w:p w:rsidR="007E7BFE" w:rsidRDefault="007E7BFE" w:rsidP="007E7BFE">
            <w:pPr>
              <w:pStyle w:val="C-TableText"/>
            </w:pPr>
          </w:p>
          <w:p w:rsidR="007E7BFE" w:rsidRDefault="007E7BFE" w:rsidP="007E7BFE">
            <w:pPr>
              <w:pStyle w:val="C-TableText"/>
              <w:numPr>
                <w:ilvl w:val="0"/>
                <w:numId w:val="27"/>
              </w:numPr>
            </w:pPr>
            <w:r>
              <w:t>The efficacy objective of the study was met by achieving a serum total T C</w:t>
            </w:r>
            <w:r w:rsidRPr="00A7352F">
              <w:rPr>
                <w:vertAlign w:val="subscript"/>
              </w:rPr>
              <w:t>avg</w:t>
            </w:r>
            <w:r>
              <w:t xml:space="preserve"> in the eugonadal range in 83.6% of the Oral TU treated subjects.  The lower limit of the 95% </w:t>
            </w:r>
            <w:r w:rsidR="00AF0F74">
              <w:t>CI</w:t>
            </w:r>
            <w:r>
              <w:t xml:space="preserve"> was 76.5%.  The success rate validated the proposed titration scheme as an effective means of controlling C</w:t>
            </w:r>
            <w:r w:rsidRPr="00A7352F">
              <w:rPr>
                <w:vertAlign w:val="subscript"/>
              </w:rPr>
              <w:t>avg</w:t>
            </w:r>
            <w:r>
              <w:t xml:space="preserve"> concentrations by adjusting the administered dose based on the total T concentration in a single, status indicating blood sample collected 4-6 hours post dose.</w:t>
            </w:r>
          </w:p>
          <w:p w:rsidR="007E7BFE" w:rsidRDefault="007E7BFE" w:rsidP="007E7BFE">
            <w:pPr>
              <w:pStyle w:val="C-TableText"/>
              <w:numPr>
                <w:ilvl w:val="0"/>
                <w:numId w:val="27"/>
              </w:numPr>
            </w:pPr>
            <w:r>
              <w:t>The safety related objective of avoiding a significant number of C</w:t>
            </w:r>
            <w:r w:rsidRPr="00F923F3">
              <w:rPr>
                <w:vertAlign w:val="subscript"/>
              </w:rPr>
              <w:t xml:space="preserve">max </w:t>
            </w:r>
            <w:r>
              <w:t>concentrations in excess of 1500 ng/mL was not met.  Approximately 40% of the Oral TU treated subjects had C</w:t>
            </w:r>
            <w:r w:rsidRPr="00F923F3">
              <w:rPr>
                <w:vertAlign w:val="subscript"/>
              </w:rPr>
              <w:t>max</w:t>
            </w:r>
            <w:r>
              <w:t xml:space="preserve"> values in excess of a 1500 ng/dL threshold, instead of the 15% or fewer that was targeted.  The titration scheme for adjusting the administered dose based on the serum T concentration in the status sample collected 4-6 hours post dose was not validated as an adequately effective protocol to control C</w:t>
            </w:r>
            <w:r w:rsidRPr="00F923F3">
              <w:rPr>
                <w:vertAlign w:val="subscript"/>
              </w:rPr>
              <w:t>max</w:t>
            </w:r>
            <w:r>
              <w:rPr>
                <w:vertAlign w:val="subscript"/>
              </w:rPr>
              <w:t>.</w:t>
            </w:r>
            <w:r>
              <w:t xml:space="preserve"> </w:t>
            </w:r>
          </w:p>
          <w:p w:rsidR="007E7BFE" w:rsidRDefault="007E7BFE" w:rsidP="007E7BFE">
            <w:pPr>
              <w:pStyle w:val="C-TableText"/>
              <w:numPr>
                <w:ilvl w:val="0"/>
                <w:numId w:val="27"/>
              </w:numPr>
            </w:pPr>
            <w:r>
              <w:t>The titration process was demonstrated to be an effective means of controlling systemic exposures to total T, although the designation of the appropriate limits for dose adjustment, and the timing of collection of the monitoring sample need additional optimization.  Testosterone concentrations responded in a dose proportional manner to dosage adjustments.</w:t>
            </w:r>
          </w:p>
          <w:p w:rsidR="007E7BFE" w:rsidRDefault="007E7BFE" w:rsidP="007E7BFE">
            <w:pPr>
              <w:pStyle w:val="C-TableText"/>
              <w:numPr>
                <w:ilvl w:val="0"/>
                <w:numId w:val="27"/>
              </w:numPr>
            </w:pPr>
            <w:r>
              <w:t>C</w:t>
            </w:r>
            <w:r w:rsidRPr="00A7352F">
              <w:rPr>
                <w:vertAlign w:val="subscript"/>
              </w:rPr>
              <w:t>max</w:t>
            </w:r>
            <w:r>
              <w:t xml:space="preserve"> and C</w:t>
            </w:r>
            <w:r w:rsidRPr="001D207F">
              <w:rPr>
                <w:vertAlign w:val="subscript"/>
              </w:rPr>
              <w:t>avg</w:t>
            </w:r>
            <w:r>
              <w:t xml:space="preserve"> for total T following Oral TU administration were highly correlated with each other, and both correlated well with the concentration in the status sample collected 4-6 hours post dose.  C</w:t>
            </w:r>
            <w:r w:rsidRPr="00A7352F">
              <w:rPr>
                <w:vertAlign w:val="subscript"/>
              </w:rPr>
              <w:t>max</w:t>
            </w:r>
            <w:r>
              <w:t xml:space="preserve"> was approximately 2.5 x C</w:t>
            </w:r>
            <w:r w:rsidRPr="004B331A">
              <w:rPr>
                <w:vertAlign w:val="subscript"/>
              </w:rPr>
              <w:t>avg</w:t>
            </w:r>
            <w:r>
              <w:t xml:space="preserve"> and approximately 2.3 x C</w:t>
            </w:r>
            <w:r>
              <w:rPr>
                <w:vertAlign w:val="subscript"/>
              </w:rPr>
              <w:t>4-6</w:t>
            </w:r>
            <w:r>
              <w:t>, while C</w:t>
            </w:r>
            <w:r w:rsidRPr="004B331A">
              <w:rPr>
                <w:vertAlign w:val="subscript"/>
              </w:rPr>
              <w:t>avg</w:t>
            </w:r>
            <w:r>
              <w:t xml:space="preserve"> was approximately 0.87 x C</w:t>
            </w:r>
            <w:r>
              <w:rPr>
                <w:vertAlign w:val="subscript"/>
              </w:rPr>
              <w:t>4-6</w:t>
            </w:r>
            <w:r>
              <w:t>.  T</w:t>
            </w:r>
            <w:r w:rsidRPr="004B331A">
              <w:rPr>
                <w:vertAlign w:val="subscript"/>
              </w:rPr>
              <w:t>max</w:t>
            </w:r>
            <w:r>
              <w:t xml:space="preserve"> occurred 3-6 hours post dose in approximately 75% of the subjects.</w:t>
            </w:r>
          </w:p>
          <w:p w:rsidR="007E7BFE" w:rsidRDefault="007E7BFE" w:rsidP="007E7BFE">
            <w:pPr>
              <w:pStyle w:val="C-TableText"/>
              <w:numPr>
                <w:ilvl w:val="0"/>
                <w:numId w:val="27"/>
              </w:numPr>
            </w:pPr>
            <w:r>
              <w:t xml:space="preserve">The PK of Oral TU were stable over an extended time period (&gt; 9 months) of chronic dosing.  Steady state exposures for the Oral TU treatment subjects did not change between Day 90 (after at least 1 month on the maintenance dose) and Day 365 (after at least 10 months on the maintenance dose). </w:t>
            </w:r>
          </w:p>
          <w:p w:rsidR="007E7BFE" w:rsidRDefault="007E7BFE" w:rsidP="007E7BFE">
            <w:pPr>
              <w:pStyle w:val="C-TableText"/>
              <w:numPr>
                <w:ilvl w:val="0"/>
                <w:numId w:val="27"/>
              </w:numPr>
            </w:pPr>
            <w:r>
              <w:t>The PK of total T were not dependent on age, race, ethnicity</w:t>
            </w:r>
            <w:r w:rsidR="00C96EAF">
              <w:t>,</w:t>
            </w:r>
            <w:r>
              <w:t xml:space="preserve"> or BMI.  A trend for lower body weight to correlate with higher T exposure following Oral TU dosing, while statistically significant, was not strong enough to be a helpful tool for selecting the </w:t>
            </w:r>
            <w:r w:rsidR="00EE2E04">
              <w:t>appropriate</w:t>
            </w:r>
            <w:r>
              <w:t xml:space="preserve"> Oral TU dose.  Titration to the proper Oral TU dose is required for all therapeutic candidates. </w:t>
            </w:r>
          </w:p>
          <w:p w:rsidR="007E7BFE" w:rsidRDefault="007E7BFE" w:rsidP="007E7BFE">
            <w:pPr>
              <w:pStyle w:val="C-TableText"/>
              <w:numPr>
                <w:ilvl w:val="0"/>
                <w:numId w:val="27"/>
              </w:numPr>
            </w:pPr>
            <w:r>
              <w:t xml:space="preserve">The fat content of the meal can affect the T oral bioavailability from Oral TU.  On average, the PM dose of Oral TU resulted in higher systemic exposures to T than did the AM dose, possibly because </w:t>
            </w:r>
            <w:r>
              <w:lastRenderedPageBreak/>
              <w:t>of likely fat content differences between a typical evening meal as compared to breakfast.  However, nearly half of the Oral TU subjects did not have higher exposures after the PM dose, and approximately 1/3 of subjects had systemic exposures following the AM and PM doses that were within ±</w:t>
            </w:r>
            <w:r w:rsidR="00C96EAF">
              <w:t xml:space="preserve"> </w:t>
            </w:r>
            <w:r>
              <w:t>20% of each other.  The differences in AM and PM bioavailability were not considered clinically meaningful.</w:t>
            </w:r>
          </w:p>
          <w:p w:rsidR="007E7BFE" w:rsidRDefault="007E7BFE" w:rsidP="007C0693">
            <w:pPr>
              <w:pStyle w:val="C-TableText"/>
              <w:numPr>
                <w:ilvl w:val="0"/>
                <w:numId w:val="27"/>
              </w:numPr>
            </w:pPr>
            <w:r w:rsidRPr="001D207F">
              <w:t xml:space="preserve">Overall, the </w:t>
            </w:r>
            <w:r>
              <w:t>O</w:t>
            </w:r>
            <w:r w:rsidRPr="001D207F">
              <w:t>ral TU formulation was an effective method for treating hypogonadal men, but the dose titration scheme, as employed in this study, requires adjustment in order to control both C</w:t>
            </w:r>
            <w:r w:rsidRPr="007E7BFE">
              <w:rPr>
                <w:vertAlign w:val="subscript"/>
              </w:rPr>
              <w:t>avg</w:t>
            </w:r>
            <w:r w:rsidRPr="001D207F">
              <w:t xml:space="preserve"> and C</w:t>
            </w:r>
            <w:r w:rsidRPr="007E7BFE">
              <w:rPr>
                <w:vertAlign w:val="subscript"/>
              </w:rPr>
              <w:t>max</w:t>
            </w:r>
            <w:r w:rsidRPr="001D207F">
              <w:t xml:space="preserve">. </w:t>
            </w:r>
            <w:r>
              <w:t xml:space="preserve"> </w:t>
            </w:r>
            <w:r w:rsidRPr="001D207F">
              <w:t>The C</w:t>
            </w:r>
            <w:r w:rsidRPr="007E7BFE">
              <w:rPr>
                <w:vertAlign w:val="subscript"/>
              </w:rPr>
              <w:t>avg</w:t>
            </w:r>
            <w:r w:rsidRPr="001D207F">
              <w:t xml:space="preserve"> observed in </w:t>
            </w:r>
            <w:r>
              <w:t>O</w:t>
            </w:r>
            <w:r w:rsidRPr="001D207F">
              <w:t>ral TU subjects was in the upper range of normal (628 ng/dL) and was closely correlated with the C</w:t>
            </w:r>
            <w:r w:rsidRPr="007E7BFE">
              <w:rPr>
                <w:vertAlign w:val="subscript"/>
              </w:rPr>
              <w:t>max</w:t>
            </w:r>
            <w:r w:rsidRPr="001D207F">
              <w:t>.  Thus, there is a high probability that a revised dose titration scheme can achieve a T C</w:t>
            </w:r>
            <w:r w:rsidRPr="007E7BFE">
              <w:rPr>
                <w:vertAlign w:val="subscript"/>
              </w:rPr>
              <w:t>avg</w:t>
            </w:r>
            <w:r w:rsidRPr="001D207F">
              <w:t xml:space="preserve"> still in the normal range, but with lower C</w:t>
            </w:r>
            <w:r w:rsidRPr="007E7BFE">
              <w:rPr>
                <w:vertAlign w:val="subscript"/>
              </w:rPr>
              <w:t>max</w:t>
            </w:r>
            <w:r w:rsidRPr="001D207F">
              <w:t xml:space="preserve"> values.</w:t>
            </w:r>
          </w:p>
          <w:p w:rsidR="007E7BFE" w:rsidRDefault="007E7BFE" w:rsidP="007C0693">
            <w:pPr>
              <w:pStyle w:val="C-TableText"/>
            </w:pPr>
          </w:p>
          <w:p w:rsidR="007C0693" w:rsidRDefault="007C0693" w:rsidP="00E452AC">
            <w:pPr>
              <w:pStyle w:val="C-TableText"/>
            </w:pPr>
            <w:r>
              <w:t xml:space="preserve">There were no statistical differences between Oral TU and transdermal T-gel for any of the psychosexual questionnaire parameters.  In contrast, for the SF-36 questionnaire, Oral TU was superior to transdermal </w:t>
            </w:r>
            <w:r w:rsidR="00FB71B7">
              <w:br/>
            </w:r>
            <w:r>
              <w:t>T-gel with respect to physical and social functioning, enhancing energy/vitality, and overcoming role limitations due to physical and emotional problems.  Oral TU</w:t>
            </w:r>
            <w:r w:rsidRPr="00FF473F">
              <w:t xml:space="preserve"> was also superior to transdermal T-gel with regards to increasing hip bone mineral density and improving body composition and muscle mass.</w:t>
            </w:r>
          </w:p>
          <w:p w:rsidR="00E452AC" w:rsidRDefault="00E452AC" w:rsidP="00E452AC">
            <w:pPr>
              <w:pStyle w:val="C-TableText"/>
            </w:pPr>
          </w:p>
          <w:p w:rsidR="00E452AC" w:rsidRDefault="00E452AC" w:rsidP="00E452AC">
            <w:pPr>
              <w:pStyle w:val="C-TableText"/>
              <w:rPr>
                <w:b/>
              </w:rPr>
            </w:pPr>
            <w:r w:rsidRPr="00E452AC">
              <w:rPr>
                <w:b/>
              </w:rPr>
              <w:t>Safety</w:t>
            </w:r>
          </w:p>
          <w:p w:rsidR="00E452AC" w:rsidRDefault="00E452AC" w:rsidP="00E452AC">
            <w:pPr>
              <w:pStyle w:val="C-TableText"/>
            </w:pPr>
            <w:r w:rsidRPr="007E16D8">
              <w:t xml:space="preserve">Oral TU was </w:t>
            </w:r>
            <w:r>
              <w:t xml:space="preserve">generally </w:t>
            </w:r>
            <w:r w:rsidRPr="007E16D8">
              <w:t xml:space="preserve">safe and well tolerated.  </w:t>
            </w:r>
            <w:r>
              <w:t xml:space="preserve">Most TEAEs were mild or moderate in severity.  </w:t>
            </w:r>
            <w:r w:rsidRPr="007E16D8">
              <w:t xml:space="preserve">The incidence of TEAEs was similar between the </w:t>
            </w:r>
            <w:r>
              <w:t>Oral TU group</w:t>
            </w:r>
            <w:r w:rsidRPr="007E16D8">
              <w:t xml:space="preserve"> </w:t>
            </w:r>
            <w:r>
              <w:t>and</w:t>
            </w:r>
            <w:r w:rsidRPr="007E16D8">
              <w:t xml:space="preserve"> </w:t>
            </w:r>
            <w:r>
              <w:t xml:space="preserve">the </w:t>
            </w:r>
            <w:r w:rsidRPr="007E16D8">
              <w:t>transd</w:t>
            </w:r>
            <w:r>
              <w:t xml:space="preserve">ermal T-gel group.  Based on the physiologic activity of T and/or its metabolites, TRT’s major effects are on </w:t>
            </w:r>
            <w:r w:rsidR="00B76A0F">
              <w:t>red blood cell (</w:t>
            </w:r>
            <w:r>
              <w:t>RBC</w:t>
            </w:r>
            <w:r w:rsidR="00B76A0F">
              <w:t>)</w:t>
            </w:r>
            <w:r>
              <w:t xml:space="preserve"> mass, the prostate, sodium retention (edema, hypertension), and the lipid profile, particularly HDL.  Effects on these organ systems have been noted for other recently approved TRTs, and warnings and monitoring suggestions are addressed on their product labels.  </w:t>
            </w:r>
          </w:p>
          <w:p w:rsidR="00E452AC" w:rsidRDefault="00E452AC" w:rsidP="00E452AC">
            <w:pPr>
              <w:pStyle w:val="C-TableText"/>
            </w:pPr>
          </w:p>
          <w:p w:rsidR="00E452AC" w:rsidRPr="007E16D8" w:rsidRDefault="00E452AC" w:rsidP="00E452AC">
            <w:pPr>
              <w:pStyle w:val="C-TableText"/>
            </w:pPr>
            <w:r w:rsidRPr="007E16D8">
              <w:t xml:space="preserve">The predominant AEs experienced by subjects in either the Oral TU or transdermal T-gel group were polycythaemia, hypertension, nasopharyngitis, and upper respiratory tract infection.  </w:t>
            </w:r>
            <w:r w:rsidR="00FE7EE1" w:rsidRPr="007E16D8">
              <w:t>The incidences of diarrhea</w:t>
            </w:r>
            <w:r w:rsidR="00FE7EE1">
              <w:t xml:space="preserve"> and</w:t>
            </w:r>
            <w:r w:rsidR="00FE7EE1" w:rsidRPr="007E16D8">
              <w:t xml:space="preserve"> abdominal discomfort</w:t>
            </w:r>
            <w:r w:rsidR="00FE7EE1">
              <w:t xml:space="preserve"> were higher in the Oral TU group while the incidence of </w:t>
            </w:r>
            <w:r w:rsidR="00FE7EE1" w:rsidRPr="007E16D8">
              <w:t>prostatomegaly w</w:t>
            </w:r>
            <w:r w:rsidR="00FE7EE1">
              <w:t>as</w:t>
            </w:r>
            <w:r w:rsidR="00FE7EE1" w:rsidRPr="007E16D8">
              <w:t xml:space="preserve"> similar between the Oral TU and transdermal T-gel group.  </w:t>
            </w:r>
            <w:r w:rsidRPr="007E16D8">
              <w:t xml:space="preserve">An increase in PSA and incidence of nipple pain occurred similarly in both groups.    </w:t>
            </w:r>
          </w:p>
          <w:p w:rsidR="00E452AC" w:rsidRDefault="00E452AC" w:rsidP="00E452AC">
            <w:pPr>
              <w:pStyle w:val="C-TableText"/>
            </w:pPr>
          </w:p>
          <w:p w:rsidR="00E452AC" w:rsidRDefault="00E452AC" w:rsidP="00E452AC">
            <w:pPr>
              <w:pStyle w:val="C-TableText"/>
            </w:pPr>
            <w:r w:rsidRPr="007E16D8">
              <w:t>A total of 17 subjects reported a</w:t>
            </w:r>
            <w:r>
              <w:t xml:space="preserve"> serious TEAE.  The numbers</w:t>
            </w:r>
            <w:r w:rsidRPr="007E16D8">
              <w:t xml:space="preserve"> of subjects that experienced serious TEAEs were similar between the transdermal T-gel and Oral TU group</w:t>
            </w:r>
            <w:r w:rsidR="00C96EAF">
              <w:t>s</w:t>
            </w:r>
            <w:r w:rsidRPr="007E16D8">
              <w:t xml:space="preserve">.  For both study groups, a total of 13 subjects had a TEAE that led to study discontinuation.  Three subjects in the Oral TU group and one subject in the transdermal T-gel group had severe AEs that resulted in discontinuation of study drug.  Two subjects in the Oral TU group and two subjects in the transdermal T-gel group had severe AEs that resulted in dose adjustment or study drug interruption.  </w:t>
            </w:r>
          </w:p>
          <w:p w:rsidR="00E452AC" w:rsidRDefault="00E452AC" w:rsidP="00E452AC">
            <w:pPr>
              <w:pStyle w:val="C-TableText"/>
            </w:pPr>
          </w:p>
          <w:p w:rsidR="00E452AC" w:rsidRDefault="00E452AC" w:rsidP="00E452AC">
            <w:pPr>
              <w:pStyle w:val="C-TableText"/>
            </w:pPr>
            <w:r w:rsidRPr="007E16D8">
              <w:t>Treatment-emergent adverse events and related TEAEs were also analyzed by serum T C</w:t>
            </w:r>
            <w:r w:rsidRPr="007E16D8">
              <w:rPr>
                <w:vertAlign w:val="subscript"/>
              </w:rPr>
              <w:t>max</w:t>
            </w:r>
            <w:r w:rsidR="00200E8B">
              <w:rPr>
                <w:vertAlign w:val="subscript"/>
              </w:rPr>
              <w:t xml:space="preserve"> </w:t>
            </w:r>
            <w:r w:rsidR="00200E8B">
              <w:t>and C</w:t>
            </w:r>
            <w:r w:rsidR="00200E8B" w:rsidRPr="00200E8B">
              <w:rPr>
                <w:vertAlign w:val="subscript"/>
              </w:rPr>
              <w:t>avg</w:t>
            </w:r>
            <w:r w:rsidRPr="007E16D8">
              <w:t xml:space="preserve">.  </w:t>
            </w:r>
            <w:r w:rsidR="00200E8B">
              <w:t>For most TEAEs, there was no clear relationship between high C</w:t>
            </w:r>
            <w:r w:rsidR="00200E8B" w:rsidRPr="00200E8B">
              <w:rPr>
                <w:vertAlign w:val="subscript"/>
              </w:rPr>
              <w:t>max</w:t>
            </w:r>
            <w:r w:rsidR="00D03473">
              <w:t xml:space="preserve"> (&gt; 1500 ng/dL)</w:t>
            </w:r>
            <w:r w:rsidR="00200E8B">
              <w:t xml:space="preserve"> and C</w:t>
            </w:r>
            <w:r w:rsidR="00200E8B" w:rsidRPr="00200E8B">
              <w:rPr>
                <w:vertAlign w:val="subscript"/>
              </w:rPr>
              <w:t>avg</w:t>
            </w:r>
            <w:r w:rsidR="00200E8B">
              <w:t xml:space="preserve"> </w:t>
            </w:r>
            <w:r w:rsidR="00D03473">
              <w:t xml:space="preserve">(&gt;1000 ng/dL) </w:t>
            </w:r>
            <w:r w:rsidR="00200E8B">
              <w:t>and increased incidence of TEAEs.  Because C</w:t>
            </w:r>
            <w:r w:rsidR="00200E8B" w:rsidRPr="00200E8B">
              <w:rPr>
                <w:vertAlign w:val="subscript"/>
              </w:rPr>
              <w:t>max</w:t>
            </w:r>
            <w:r w:rsidR="00200E8B">
              <w:t xml:space="preserve"> correlates with C</w:t>
            </w:r>
            <w:r w:rsidR="00200E8B" w:rsidRPr="00200E8B">
              <w:rPr>
                <w:vertAlign w:val="subscript"/>
              </w:rPr>
              <w:t>avg</w:t>
            </w:r>
            <w:r w:rsidR="00200E8B">
              <w:t>, association of TEAEs with a high C</w:t>
            </w:r>
            <w:r w:rsidR="00200E8B" w:rsidRPr="00200E8B">
              <w:rPr>
                <w:vertAlign w:val="subscript"/>
              </w:rPr>
              <w:t>max</w:t>
            </w:r>
            <w:r w:rsidR="00200E8B">
              <w:t xml:space="preserve"> may reflect an association with higher T exposure. </w:t>
            </w:r>
            <w:r w:rsidRPr="007E16D8">
              <w:t xml:space="preserve"> </w:t>
            </w:r>
          </w:p>
          <w:p w:rsidR="00E452AC" w:rsidRPr="007E16D8" w:rsidRDefault="00E452AC" w:rsidP="00E452AC">
            <w:pPr>
              <w:pStyle w:val="C-TableText"/>
            </w:pPr>
          </w:p>
          <w:p w:rsidR="00E452AC" w:rsidRDefault="00E452AC" w:rsidP="00E452AC">
            <w:pPr>
              <w:pStyle w:val="C-TableText"/>
            </w:pPr>
            <w:r w:rsidRPr="00C431BD">
              <w:t>T</w:t>
            </w:r>
            <w:r>
              <w:t>estosterone replacement therapy</w:t>
            </w:r>
            <w:r w:rsidRPr="00C431BD">
              <w:t xml:space="preserve"> can stimulate the prostate, particularly in a hypogonadal man. </w:t>
            </w:r>
            <w:r>
              <w:t xml:space="preserve"> </w:t>
            </w:r>
            <w:r w:rsidRPr="00C431BD">
              <w:t xml:space="preserve">This stimulation can present as increases in PSA, increases in prostate size, and increases in symptoms associated with an enlarged prostate. </w:t>
            </w:r>
            <w:r>
              <w:t xml:space="preserve"> </w:t>
            </w:r>
            <w:r w:rsidRPr="00C431BD">
              <w:t xml:space="preserve">The PSA increase was not statistically significantly different between the </w:t>
            </w:r>
            <w:r>
              <w:t>O</w:t>
            </w:r>
            <w:r w:rsidRPr="00C431BD">
              <w:t xml:space="preserve">ral TU and the </w:t>
            </w:r>
            <w:r>
              <w:t xml:space="preserve">transdermal </w:t>
            </w:r>
            <w:r w:rsidRPr="00C431BD">
              <w:t>T-gel group and at Day 365</w:t>
            </w:r>
            <w:r w:rsidR="00C96EAF">
              <w:t>,</w:t>
            </w:r>
            <w:r w:rsidRPr="00C431BD">
              <w:t xml:space="preserve"> the me</w:t>
            </w:r>
            <w:r w:rsidR="00DA0947">
              <w:t>di</w:t>
            </w:r>
            <w:r w:rsidRPr="00C431BD">
              <w:t>an increases were 0.</w:t>
            </w:r>
            <w:r w:rsidR="00DA0947">
              <w:t>150</w:t>
            </w:r>
            <w:r w:rsidRPr="00C431BD">
              <w:t xml:space="preserve"> </w:t>
            </w:r>
            <w:r w:rsidR="00C417F1">
              <w:t>ng/mL</w:t>
            </w:r>
            <w:r>
              <w:t xml:space="preserve"> </w:t>
            </w:r>
            <w:r w:rsidRPr="00C431BD">
              <w:t>and 0.1</w:t>
            </w:r>
            <w:r w:rsidR="00DA0947">
              <w:t>00</w:t>
            </w:r>
            <w:r w:rsidRPr="00C431BD">
              <w:t xml:space="preserve"> </w:t>
            </w:r>
            <w:r w:rsidR="00C417F1">
              <w:t>ng/mL</w:t>
            </w:r>
            <w:r w:rsidRPr="00C431BD">
              <w:t xml:space="preserve">, respectively. </w:t>
            </w:r>
            <w:r>
              <w:t xml:space="preserve"> </w:t>
            </w:r>
            <w:r w:rsidRPr="00C431BD">
              <w:t>The average PSA levels at the end of the study were within the normal range, and neither group’s me</w:t>
            </w:r>
            <w:r w:rsidR="00DA0947">
              <w:t>di</w:t>
            </w:r>
            <w:r w:rsidRPr="00C431BD">
              <w:t>an changes were close to an increase</w:t>
            </w:r>
            <w:r>
              <w:t xml:space="preserve"> </w:t>
            </w:r>
            <w:r w:rsidRPr="00C431BD">
              <w:t xml:space="preserve">of 1.4 </w:t>
            </w:r>
            <w:r w:rsidR="00C417F1">
              <w:t>ng/mL</w:t>
            </w:r>
            <w:r w:rsidRPr="00C431BD">
              <w:t xml:space="preserve">, which is the change that the Endocrine Society Guidelines recommends as a threshold for referral for evaluation.  The number (%) of AEs of PSA increase was actually higher in the </w:t>
            </w:r>
            <w:r>
              <w:t xml:space="preserve">transdermal </w:t>
            </w:r>
            <w:r w:rsidRPr="00C431BD">
              <w:t xml:space="preserve">T-gel group with 8 (5.0%) compared with 5 (3.1%) in the </w:t>
            </w:r>
            <w:r>
              <w:t>O</w:t>
            </w:r>
            <w:r w:rsidRPr="00C431BD">
              <w:t>ral TU group.</w:t>
            </w:r>
          </w:p>
          <w:p w:rsidR="00E452AC" w:rsidRDefault="00E452AC" w:rsidP="00E452AC">
            <w:pPr>
              <w:pStyle w:val="C-TableText"/>
            </w:pPr>
          </w:p>
          <w:p w:rsidR="00E452AC" w:rsidRDefault="00E452AC" w:rsidP="00E452AC">
            <w:pPr>
              <w:pStyle w:val="C-TableText"/>
            </w:pPr>
            <w:r w:rsidRPr="00C431BD">
              <w:t>Prostate size was evaluated with TRUS, with the increase in prostate volume being only about 1</w:t>
            </w:r>
            <w:r>
              <w:t xml:space="preserve"> </w:t>
            </w:r>
            <w:r w:rsidRPr="00C431BD">
              <w:t xml:space="preserve">cc greater in the </w:t>
            </w:r>
            <w:r>
              <w:t>O</w:t>
            </w:r>
            <w:r w:rsidRPr="00C431BD">
              <w:t xml:space="preserve">ral TU group than the </w:t>
            </w:r>
            <w:r>
              <w:t xml:space="preserve">transdermal </w:t>
            </w:r>
            <w:r w:rsidRPr="00C431BD">
              <w:t>T-gel group (2.97 cc [9.831] vs</w:t>
            </w:r>
            <w:r w:rsidR="00EE2E04">
              <w:t>.</w:t>
            </w:r>
            <w:r w:rsidRPr="00C431BD">
              <w:t xml:space="preserve"> 1.81 cc [26.400], respectively), and the change in volume </w:t>
            </w:r>
            <w:r>
              <w:t>was</w:t>
            </w:r>
            <w:r w:rsidRPr="00C431BD">
              <w:t xml:space="preserve"> not clinically significant.  The net number of related TEAEs of prostatomegaly </w:t>
            </w:r>
            <w:r w:rsidRPr="00C431BD">
              <w:lastRenderedPageBreak/>
              <w:t>a</w:t>
            </w:r>
            <w:r w:rsidR="00EA718D">
              <w:t xml:space="preserve">nd BPH </w:t>
            </w:r>
            <w:r w:rsidRPr="00C431BD">
              <w:t xml:space="preserve">was essentially equal with </w:t>
            </w:r>
            <w:r>
              <w:t>ten</w:t>
            </w:r>
            <w:r w:rsidRPr="00C431BD">
              <w:t xml:space="preserve"> in the </w:t>
            </w:r>
            <w:r>
              <w:t>O</w:t>
            </w:r>
            <w:r w:rsidRPr="00C431BD">
              <w:t>ral TU (</w:t>
            </w:r>
            <w:r>
              <w:t>nine</w:t>
            </w:r>
            <w:r w:rsidRPr="00C431BD">
              <w:t xml:space="preserve"> prostatomegaly and </w:t>
            </w:r>
            <w:r>
              <w:t>one</w:t>
            </w:r>
            <w:r w:rsidRPr="00C431BD">
              <w:t xml:space="preserve"> BPH) </w:t>
            </w:r>
            <w:r>
              <w:t xml:space="preserve">group </w:t>
            </w:r>
            <w:r w:rsidRPr="00C431BD">
              <w:t xml:space="preserve">and </w:t>
            </w:r>
            <w:r>
              <w:t>eight</w:t>
            </w:r>
            <w:r w:rsidRPr="00C431BD">
              <w:t xml:space="preserve"> (</w:t>
            </w:r>
            <w:r>
              <w:t>five</w:t>
            </w:r>
            <w:r w:rsidRPr="00C431BD">
              <w:t xml:space="preserve"> prostatomegaly and </w:t>
            </w:r>
            <w:r>
              <w:t>three</w:t>
            </w:r>
            <w:r w:rsidRPr="00C431BD">
              <w:t xml:space="preserve"> BPH)</w:t>
            </w:r>
            <w:r>
              <w:t xml:space="preserve"> in the transdermal T-gel group</w:t>
            </w:r>
            <w:r w:rsidRPr="00C431BD">
              <w:t xml:space="preserve">.  This balance between the </w:t>
            </w:r>
            <w:r>
              <w:t>O</w:t>
            </w:r>
            <w:r w:rsidRPr="00C431BD">
              <w:t>ral TU and</w:t>
            </w:r>
            <w:r>
              <w:t xml:space="preserve"> transdermal </w:t>
            </w:r>
            <w:r w:rsidRPr="00C431BD">
              <w:t xml:space="preserve">T-gel groups was also reflected </w:t>
            </w:r>
            <w:r>
              <w:t xml:space="preserve">in </w:t>
            </w:r>
            <w:r w:rsidRPr="00C431BD">
              <w:t xml:space="preserve">the clinical symptoms of BPH as assessed by the AUA/I-PSS scores, where increase was not statistically significantly different between the groups and ranged between 0.4 and 0.5 during the course of the study.  There was only one case of prostate cancer in the study, in a patient on </w:t>
            </w:r>
            <w:r>
              <w:t xml:space="preserve">transdermal </w:t>
            </w:r>
            <w:r w:rsidRPr="00C431BD">
              <w:t xml:space="preserve">T-gel.  The findings in the study suggest that the safety profile of </w:t>
            </w:r>
            <w:r>
              <w:t>O</w:t>
            </w:r>
            <w:r w:rsidRPr="00C431BD">
              <w:t>ral TU is similar to</w:t>
            </w:r>
            <w:r>
              <w:t xml:space="preserve"> transdermal </w:t>
            </w:r>
            <w:r w:rsidRPr="00C431BD">
              <w:t>T-gel and supports the standard warnings on TRT products to monitor patients for worsening of signs and symptoms of BPH and to monitor PSA periodically.</w:t>
            </w:r>
          </w:p>
          <w:p w:rsidR="00E452AC" w:rsidRDefault="00E452AC" w:rsidP="00E452AC">
            <w:pPr>
              <w:pStyle w:val="C-TableText"/>
            </w:pPr>
          </w:p>
          <w:p w:rsidR="00F20CD0" w:rsidRDefault="00E452AC" w:rsidP="00E452AC">
            <w:pPr>
              <w:pStyle w:val="C-TableText"/>
            </w:pPr>
            <w:r>
              <w:t xml:space="preserve">Testosterone replacement </w:t>
            </w:r>
            <w:r w:rsidR="009927A1">
              <w:t>therapy</w:t>
            </w:r>
            <w:r>
              <w:t xml:space="preserve"> product labels warn about the development of edema with or wi</w:t>
            </w:r>
            <w:r w:rsidR="00AA0E2E">
              <w:t xml:space="preserve">thout </w:t>
            </w:r>
            <w:r>
              <w:t xml:space="preserve">CHF, both related to the ability of T to promote sodium retention.  Peripheral edema was more frequent in the Oral TU group than the transdermal T-gel group (9 [5.6%] vs. 2 [1.3%], respectively).  There were two (1.2%) TEAEs of </w:t>
            </w:r>
            <w:r w:rsidR="00AA0E2E">
              <w:t>CHF</w:t>
            </w:r>
            <w:r>
              <w:t xml:space="preserve"> in the Oral TU group but only one (0.6%) in the transdermal T-gel group.  As has been previously noted with other TRTs, greater exposures promote sodium retention and so it is not unexpected that the TEAEs </w:t>
            </w:r>
            <w:r w:rsidR="00AA0E2E">
              <w:t xml:space="preserve">of edema and CHF are common in </w:t>
            </w:r>
            <w:r>
              <w:t>subjects with higher C</w:t>
            </w:r>
            <w:r w:rsidRPr="00B54321">
              <w:rPr>
                <w:vertAlign w:val="subscript"/>
              </w:rPr>
              <w:t>max</w:t>
            </w:r>
            <w:r>
              <w:t xml:space="preserve"> values (33% of edema TEAEs and 50</w:t>
            </w:r>
            <w:r w:rsidR="00AA0E2E">
              <w:t xml:space="preserve">% of CHFs).  </w:t>
            </w:r>
          </w:p>
          <w:p w:rsidR="00F20CD0" w:rsidRDefault="00F20CD0" w:rsidP="00E452AC">
            <w:pPr>
              <w:pStyle w:val="C-TableText"/>
            </w:pPr>
          </w:p>
          <w:p w:rsidR="00E452AC" w:rsidRDefault="00E452AC" w:rsidP="00E452AC">
            <w:pPr>
              <w:pStyle w:val="C-TableText"/>
            </w:pPr>
            <w:r>
              <w:t xml:space="preserve">Despite the greater number of TEAEs associated with sodium retention in the Oral TU group, another sodium dependent TEAE, hypertension, was more frequent in the transdermal T-gel group (11 [6.9%] on transdermal T-gel </w:t>
            </w:r>
            <w:r w:rsidR="00EE2E04">
              <w:t>vs.</w:t>
            </w:r>
            <w:r>
              <w:t xml:space="preserve"> 6 [3.7%] on Oral TU).  </w:t>
            </w:r>
            <w:r w:rsidRPr="00B54321">
              <w:t xml:space="preserve">Although the </w:t>
            </w:r>
            <w:r>
              <w:t>mean systolic and diastolic BP increased after baseline</w:t>
            </w:r>
            <w:r w:rsidR="006E65C0">
              <w:t xml:space="preserve">, </w:t>
            </w:r>
            <w:r w:rsidRPr="000B29EE">
              <w:t>the mean BP in both groups was in the pre-hypertensive range pre and posttreatment</w:t>
            </w:r>
            <w:r>
              <w:t xml:space="preserve">.  As is indicated on TRT product labels, it is necessary to monitor for signs and symptoms of sodium retention, and any increase in frequency of these TEAEs in the Oral TU group may be related to the higher T exposure. </w:t>
            </w:r>
          </w:p>
          <w:p w:rsidR="00E452AC" w:rsidRDefault="00E452AC" w:rsidP="00E452AC">
            <w:pPr>
              <w:pStyle w:val="C-TableText"/>
            </w:pPr>
          </w:p>
          <w:p w:rsidR="00E452AC" w:rsidRDefault="00E452AC" w:rsidP="00E452AC">
            <w:pPr>
              <w:pStyle w:val="C-TableText"/>
            </w:pPr>
            <w:r>
              <w:t>Subjects who received Oral TU were more likely to report gastrointestinal TEAEs than those receiving transdermal T-gel replacement</w:t>
            </w:r>
            <w:r w:rsidR="00AC7663">
              <w:t xml:space="preserve"> therapy</w:t>
            </w:r>
            <w:r>
              <w:t>.  Adverse events were reported in the gastrointestinal disorder system organ class by 13.7% of all subjects (Oral TU 16.1% and transdermal T-gel 11.3%).  The most frequently reported events in the Oral TU group included abdominal discomfort, eructation, diarrhea, and nausea</w:t>
            </w:r>
            <w:r w:rsidR="00B76A0F">
              <w:t>,</w:t>
            </w:r>
            <w:r>
              <w:t xml:space="preserve"> and are consistent with events reported in other approved lipid based oral medications such as Lovaza</w:t>
            </w:r>
            <w:r w:rsidRPr="004735EB">
              <w:rPr>
                <w:vertAlign w:val="superscript"/>
              </w:rPr>
              <w:t>®</w:t>
            </w:r>
            <w:r>
              <w:t xml:space="preserve">.  There were no SAEs in the gastrointestinal system organ class and none of these TEAEs led to discontinuation of treatment.  One event of diarrhea required dose interruption. </w:t>
            </w:r>
          </w:p>
          <w:p w:rsidR="00E452AC" w:rsidRDefault="00E452AC" w:rsidP="00E452AC">
            <w:pPr>
              <w:pStyle w:val="C-TableText"/>
            </w:pPr>
          </w:p>
          <w:p w:rsidR="00E452AC" w:rsidRDefault="00E452AC" w:rsidP="00E452AC">
            <w:pPr>
              <w:pStyle w:val="C-TableText"/>
            </w:pPr>
            <w:r>
              <w:t xml:space="preserve">Hypogonadism is associated with obesity and elevated lipids, which is reflected in the </w:t>
            </w:r>
            <w:r w:rsidR="00EE2E04">
              <w:t>demographics</w:t>
            </w:r>
            <w:r>
              <w:t xml:space="preserve"> of this study.  </w:t>
            </w:r>
            <w:r w:rsidRPr="007E16D8">
              <w:t>There were no significant changes in LDL levels for either the Oral TU or transdermal T-gel group</w:t>
            </w:r>
            <w:r>
              <w:t xml:space="preserve">.  Testosterone replacement therapy was effective in shifting subjects who had high </w:t>
            </w:r>
            <w:r w:rsidR="006C0B1B">
              <w:t xml:space="preserve">TG </w:t>
            </w:r>
            <w:r>
              <w:t xml:space="preserve">at baseline into the normal range in both treatment groups with 40.5% of Oral TU treated subjects improved by </w:t>
            </w:r>
            <w:r w:rsidR="00B76A0F">
              <w:t xml:space="preserve">Visit </w:t>
            </w:r>
            <w:r>
              <w:t xml:space="preserve">7.  The drop in TG may well be related to the decrease in obesity (fat mass) and increase in lean mass.  </w:t>
            </w:r>
            <w:r w:rsidRPr="007E16D8">
              <w:t xml:space="preserve">There was an apparent trend for both treatment groups for </w:t>
            </w:r>
            <w:r>
              <w:t>TG</w:t>
            </w:r>
            <w:r w:rsidRPr="007E16D8">
              <w:t xml:space="preserve"> to decline over the treatment period.  For </w:t>
            </w:r>
            <w:r>
              <w:t>TG</w:t>
            </w:r>
            <w:r w:rsidRPr="007E16D8">
              <w:t xml:space="preserve">, differences between the Oral TU and transdermal T-gel group were not statistically significant.  </w:t>
            </w:r>
          </w:p>
          <w:p w:rsidR="00C738A0" w:rsidRDefault="00C738A0" w:rsidP="00E452AC">
            <w:pPr>
              <w:pStyle w:val="C-TableText"/>
            </w:pPr>
          </w:p>
          <w:p w:rsidR="00C738A0" w:rsidRDefault="00C738A0" w:rsidP="00C738A0">
            <w:pPr>
              <w:pStyle w:val="C-TableText"/>
            </w:pPr>
            <w:r w:rsidRPr="0019785E">
              <w:t>Higher HDL concentrations have been associated with a reduced risk of MI, although pharmaceutical mediated increases in HDL concentration have not uniformly been associat</w:t>
            </w:r>
            <w:r>
              <w:t>ed with reductions in CV events</w:t>
            </w:r>
            <w:r w:rsidRPr="0019785E">
              <w:t>.  Some pharmaceutical agents lower HDL, as an unintended consequence.  For instance, beta blockers and hydroclorothiazide can lower HDL, but these agents reduce the rate of CV events.  These agents’ pharmacological activities (e.g., beta blockers reduce heart rate/decrease sympathetic tone, hydroclorothiazide reduces BP) may confound any negative effect of the change in HDL.  Although TRT can cause decreases in HDL, they also are associated with positive changes in other CV risk factors such as improvements in insulin resistance and obesity.  Notwithstanding these important limitations in interpreting the clinical significance of changes in HDL, we have attempted to put the changes in HDL observed in the study into clinical context by comparing the HDL values to re</w:t>
            </w:r>
            <w:r>
              <w:t>sults from the Framingham study</w:t>
            </w:r>
            <w:r w:rsidRPr="0019785E">
              <w:t>.</w:t>
            </w:r>
            <w:r w:rsidRPr="004D138B">
              <w:t xml:space="preserve">  As part of the Framingham study, the relation between HDL and the development of MI was examined in 2425 subjects.  After 12 years of follow-up, men in the bottom three quartiles of HDL experienced a 60-70% excess of MI as compared to men whose HDL</w:t>
            </w:r>
            <w:r>
              <w:t xml:space="preserve"> were higher (p &lt; 0.05).  </w:t>
            </w:r>
          </w:p>
          <w:p w:rsidR="00C738A0" w:rsidRDefault="00C738A0" w:rsidP="00C738A0">
            <w:pPr>
              <w:pStyle w:val="C-TableText"/>
            </w:pPr>
          </w:p>
          <w:p w:rsidR="00C738A0" w:rsidRDefault="00C738A0" w:rsidP="00C738A0">
            <w:pPr>
              <w:pStyle w:val="C-TableText"/>
            </w:pPr>
            <w:r w:rsidRPr="007D3FF5">
              <w:t xml:space="preserve">At baseline, the mean HDL for the Oral TU group and the transdermal T-gel group was 48.747 mg/dL and 51.151 mg/dL, respectively which placed the subjects in the 3rd quartile.  At Day 365, the Oral TU group </w:t>
            </w:r>
            <w:r w:rsidRPr="007D3FF5">
              <w:lastRenderedPageBreak/>
              <w:t xml:space="preserve">had a mean HDL of 37.945 mg/dL and the transdermal T-gel group had a mean HDL of 44.765 mg/dL.  These values correspond to the 2nd risk quartile for the Oral TU group and the 3rd risk quartile for the transdermal T-gel group.  Because the change in risk is not uniform between quartiles, the difference in risk identified by these quartiles for Oral TU versus transdermal T-gel is only 0.1 per 100 (14.9 vs. 14.8) over </w:t>
            </w:r>
            <w:r>
              <w:br/>
            </w:r>
            <w:r w:rsidRPr="007D3FF5">
              <w:t>12</w:t>
            </w:r>
            <w:r>
              <w:t xml:space="preserve"> </w:t>
            </w:r>
            <w:r w:rsidRPr="007D3FF5">
              <w:t>years.  The only statistically significant change in risk is between the 1st and 4th quartile, so neither treatment group had a statistically significant change in risk attributable to the change in HDL.</w:t>
            </w:r>
            <w:r>
              <w:br w:type="page"/>
            </w:r>
          </w:p>
          <w:p w:rsidR="00C738A0" w:rsidRDefault="00C738A0" w:rsidP="00E452AC">
            <w:pPr>
              <w:pStyle w:val="C-TableText"/>
            </w:pPr>
          </w:p>
          <w:p w:rsidR="00EA0FAB" w:rsidRDefault="00E452AC" w:rsidP="00760576">
            <w:pPr>
              <w:pStyle w:val="C-TableText"/>
            </w:pPr>
            <w:r>
              <w:t>The largest change observed in lipids after TRT is normally in HDL cholesterol.  In this study</w:t>
            </w:r>
            <w:r w:rsidR="00B76A0F">
              <w:t>,</w:t>
            </w:r>
            <w:r>
              <w:t xml:space="preserve"> the HDL dropped soon after initiation of treatment and was greater in the Oral TU group than the transdermal T-gel group (e.g., -2</w:t>
            </w:r>
            <w:r w:rsidR="00DA0947">
              <w:t>5</w:t>
            </w:r>
            <w:r>
              <w:t>.</w:t>
            </w:r>
            <w:r w:rsidR="00DA0947">
              <w:t>0</w:t>
            </w:r>
            <w:r>
              <w:t>% Oral TU v. -12.</w:t>
            </w:r>
            <w:r w:rsidR="00DA0947">
              <w:t>8</w:t>
            </w:r>
            <w:r>
              <w:t>% in transdermal T-gel arm</w:t>
            </w:r>
            <w:r w:rsidR="00B76A0F">
              <w:t>)</w:t>
            </w:r>
            <w:r>
              <w:t xml:space="preserve"> on Day 365</w:t>
            </w:r>
            <w:r w:rsidRPr="007E16D8">
              <w:t>.</w:t>
            </w:r>
            <w:r>
              <w:t xml:space="preserve">  Because of the well described impact of TRT on HDL, there has been concern that TRTs could impact CV </w:t>
            </w:r>
            <w:r w:rsidRPr="00D75294">
              <w:t xml:space="preserve">risk.  </w:t>
            </w:r>
            <w:r w:rsidR="00EA0FAB" w:rsidRPr="00EA0FAB">
              <w:t>HDL is a well recognized risk factor and all TRTs are know</w:t>
            </w:r>
            <w:r w:rsidR="00EA0FAB">
              <w:t>n</w:t>
            </w:r>
            <w:r w:rsidR="00EA0FAB" w:rsidRPr="00EA0FAB">
              <w:t xml:space="preserve"> to lower HDL.  Pharmaceutically induced changes in HDL have not always had the impact on CV risk expected based on the change in HDL (e.g., CETP inhibitors).  Hypogonadism is associated with increased CV risk and TRT is known to improve certain CV risk factors (e.g., insulin resistance, obesity).  There have been no prospective randomized trials that examine TRT on CV risk and retrospective studies have offered mixed results.</w:t>
            </w:r>
            <w:r w:rsidR="00EA0FAB">
              <w:t xml:space="preserve">  </w:t>
            </w:r>
          </w:p>
          <w:p w:rsidR="00EA0FAB" w:rsidRDefault="00EA0FAB" w:rsidP="00760576">
            <w:pPr>
              <w:pStyle w:val="C-TableText"/>
            </w:pPr>
          </w:p>
          <w:p w:rsidR="00E452AC" w:rsidRDefault="00E452AC" w:rsidP="00760576">
            <w:pPr>
              <w:pStyle w:val="C-TableText"/>
            </w:pPr>
            <w:r w:rsidRPr="00D75294">
              <w:t xml:space="preserve">There were CV TEAEs during the course of this study.  TEAEs in the system organ class of cardiac disorders were reported by 2.8% of all subjects.  Of these, cardiovascular (CV) SAEs were reported by four subjects on </w:t>
            </w:r>
            <w:r w:rsidR="00EA718D" w:rsidRPr="00D75294">
              <w:t>O</w:t>
            </w:r>
            <w:r w:rsidRPr="00D75294">
              <w:t>ral TU and one subject on T-gel.  Two subjects</w:t>
            </w:r>
            <w:r w:rsidRPr="00174FB7">
              <w:t xml:space="preserve"> on </w:t>
            </w:r>
            <w:r w:rsidR="00EA718D">
              <w:t>O</w:t>
            </w:r>
            <w:r w:rsidRPr="00174FB7">
              <w:t xml:space="preserve">ral TU had acute MIs, although one </w:t>
            </w:r>
            <w:r>
              <w:t xml:space="preserve">(as detailed above) </w:t>
            </w:r>
            <w:r w:rsidRPr="00174FB7">
              <w:t xml:space="preserve">occurred in the setting of a </w:t>
            </w:r>
            <w:r>
              <w:t xml:space="preserve">CHF and </w:t>
            </w:r>
            <w:r w:rsidRPr="00174FB7">
              <w:t xml:space="preserve">hospitalization for pneumonia and presented as a troponin enzyme leak. </w:t>
            </w:r>
            <w:r>
              <w:t xml:space="preserve"> </w:t>
            </w:r>
            <w:r w:rsidRPr="00174FB7">
              <w:t xml:space="preserve">Two subjects on </w:t>
            </w:r>
            <w:r w:rsidR="00EA718D">
              <w:t>O</w:t>
            </w:r>
            <w:r w:rsidRPr="00174FB7">
              <w:t>ral TU had coronary artery disease leading to coronary stent placement, although one of these subjects presented on Day 3 of the study with a ≈</w:t>
            </w:r>
            <w:r w:rsidR="00B76A0F" w:rsidRPr="00174FB7">
              <w:t>21</w:t>
            </w:r>
            <w:r w:rsidR="00B76A0F">
              <w:t>-</w:t>
            </w:r>
            <w:r w:rsidRPr="00174FB7">
              <w:t xml:space="preserve">day history of intermittent chest pain. </w:t>
            </w:r>
            <w:r>
              <w:t xml:space="preserve"> </w:t>
            </w:r>
            <w:r w:rsidRPr="00174FB7">
              <w:t xml:space="preserve">The other subject with an SAE of coronary artery disease also had an SAE of angina which resulted in a hospitalization prior to the hospitalization for coronary stent placement. </w:t>
            </w:r>
            <w:r>
              <w:t xml:space="preserve"> </w:t>
            </w:r>
            <w:r w:rsidRPr="00174FB7">
              <w:t>One subject on T-gel had an SAE of coronary artery disease as a result of a hospitalization for coronary stent placement.</w:t>
            </w:r>
          </w:p>
          <w:p w:rsidR="00760576" w:rsidRDefault="00760576" w:rsidP="00760576">
            <w:pPr>
              <w:pStyle w:val="C-TableText"/>
            </w:pPr>
          </w:p>
          <w:p w:rsidR="00E452AC" w:rsidRDefault="00E452AC" w:rsidP="00760576">
            <w:pPr>
              <w:pStyle w:val="C-TableText"/>
            </w:pPr>
            <w:r>
              <w:t>Both Oral TU and transdermal T-gel had effects on red cell mass based on lab assessments and AEs.  During the course of the study, the ab</w:t>
            </w:r>
            <w:r w:rsidR="00DA0947">
              <w:t>solute me</w:t>
            </w:r>
            <w:r w:rsidR="00740669">
              <w:t>a</w:t>
            </w:r>
            <w:r w:rsidR="00DA0947">
              <w:t>n increase in Hct</w:t>
            </w:r>
            <w:r>
              <w:t xml:space="preserve"> in the Oral TU group was </w:t>
            </w:r>
            <w:r w:rsidR="00740669">
              <w:t>2.9</w:t>
            </w:r>
            <w:r>
              <w:t>% compared with 1.</w:t>
            </w:r>
            <w:r w:rsidR="00740669">
              <w:t>4</w:t>
            </w:r>
            <w:r>
              <w:t>% in the transdermal T-gel group.  The increase in the Oral TU group was statistically significantly more than the increase observed in transdermal T-gel</w:t>
            </w:r>
            <w:r w:rsidR="00740669">
              <w:t xml:space="preserve"> </w:t>
            </w:r>
            <w:r>
              <w:t>and the me</w:t>
            </w:r>
            <w:r w:rsidR="00740669">
              <w:t>a</w:t>
            </w:r>
            <w:r>
              <w:t>n H</w:t>
            </w:r>
            <w:r w:rsidR="00DA0947">
              <w:t>ct</w:t>
            </w:r>
            <w:r>
              <w:t xml:space="preserve"> in the Oral TU group at the end of the study was 4</w:t>
            </w:r>
            <w:r w:rsidR="00740669">
              <w:t>7.0</w:t>
            </w:r>
            <w:r>
              <w:t xml:space="preserve">% which </w:t>
            </w:r>
            <w:r w:rsidR="00DA0947">
              <w:t>wa</w:t>
            </w:r>
            <w:r>
              <w:t>s within the normal range (37.0 - 49.0%).  There were a small number of subjects with a persistent H</w:t>
            </w:r>
            <w:r w:rsidR="00DA0947">
              <w:t>ct</w:t>
            </w:r>
            <w:r>
              <w:t xml:space="preserve"> &gt; 54% (4 subjects on Oral TU </w:t>
            </w:r>
            <w:r w:rsidR="00EE2E04">
              <w:t>vs.</w:t>
            </w:r>
            <w:r>
              <w:t xml:space="preserve"> 1 subject on transdermal T-gel).  </w:t>
            </w:r>
          </w:p>
          <w:p w:rsidR="00760576" w:rsidRDefault="00760576" w:rsidP="00760576">
            <w:pPr>
              <w:pStyle w:val="C-TableText"/>
            </w:pPr>
          </w:p>
          <w:p w:rsidR="00E452AC" w:rsidRDefault="00E452AC" w:rsidP="00760576">
            <w:pPr>
              <w:pStyle w:val="C-TableText"/>
            </w:pPr>
            <w:r>
              <w:t xml:space="preserve">Consistent with the laboratory findings, there were more AEs of polycythaemia in the Oral TU group than in the transdermal T-gel group (8.1% </w:t>
            </w:r>
            <w:r w:rsidR="00EE2E04">
              <w:t>vs.</w:t>
            </w:r>
            <w:r>
              <w:t xml:space="preserve"> 3.8%).  Approximately half of the subjects on Oral TU who had an AE of polycythaemia had a C</w:t>
            </w:r>
            <w:r w:rsidRPr="00A24CBF">
              <w:rPr>
                <w:vertAlign w:val="subscript"/>
              </w:rPr>
              <w:t>max</w:t>
            </w:r>
            <w:r>
              <w:t xml:space="preserve"> &gt; 1500 ng/dL</w:t>
            </w:r>
            <w:r w:rsidR="00D31EB9">
              <w:t xml:space="preserve">. </w:t>
            </w:r>
            <w:r>
              <w:t xml:space="preserve"> Since C</w:t>
            </w:r>
            <w:r w:rsidRPr="00A24CBF">
              <w:rPr>
                <w:vertAlign w:val="subscript"/>
              </w:rPr>
              <w:t>max</w:t>
            </w:r>
            <w:r>
              <w:t xml:space="preserve"> is strongly correlated with C</w:t>
            </w:r>
            <w:r w:rsidRPr="00A24CBF">
              <w:rPr>
                <w:vertAlign w:val="subscript"/>
              </w:rPr>
              <w:t>avg</w:t>
            </w:r>
            <w:r>
              <w:t>, it is not clear whether the association between the polycythaemia and high C</w:t>
            </w:r>
            <w:r w:rsidRPr="00A24CBF">
              <w:rPr>
                <w:vertAlign w:val="subscript"/>
              </w:rPr>
              <w:t>max</w:t>
            </w:r>
            <w:r>
              <w:t xml:space="preserve"> was an indication of the peak T levels stimulating </w:t>
            </w:r>
            <w:r w:rsidR="00B76A0F">
              <w:t>RBC</w:t>
            </w:r>
            <w:r>
              <w:t xml:space="preserve"> production or that the higher C</w:t>
            </w:r>
            <w:r w:rsidRPr="00A24CBF">
              <w:rPr>
                <w:vertAlign w:val="subscript"/>
              </w:rPr>
              <w:t>avg</w:t>
            </w:r>
            <w:r>
              <w:t xml:space="preserve"> promotes </w:t>
            </w:r>
            <w:r w:rsidR="00B76A0F">
              <w:t>RBC</w:t>
            </w:r>
            <w:r>
              <w:t xml:space="preserve"> production.  </w:t>
            </w:r>
            <w:r w:rsidR="00D31EB9">
              <w:t>T</w:t>
            </w:r>
            <w:r w:rsidR="00D31EB9" w:rsidRPr="00760576">
              <w:t>he literature</w:t>
            </w:r>
            <w:r w:rsidR="00D31EB9">
              <w:t xml:space="preserve"> suggests that higher T exposure promotes increased RBC production.  </w:t>
            </w:r>
            <w:r>
              <w:t xml:space="preserve">Regardless, TRT product labels indicate that HCT should be checked prior to initiating treatment and then three to six months after starting treatment and then annually, and that an increase in Hct may require lowering the dose or discontinuation of testosterone. </w:t>
            </w:r>
          </w:p>
          <w:p w:rsidR="00760576" w:rsidRDefault="00760576" w:rsidP="00760576">
            <w:pPr>
              <w:pStyle w:val="C-TableText"/>
            </w:pPr>
          </w:p>
          <w:p w:rsidR="00E452AC" w:rsidRDefault="00E452AC" w:rsidP="00760576">
            <w:pPr>
              <w:pStyle w:val="C-TableText"/>
            </w:pPr>
            <w:r>
              <w:t xml:space="preserve">Aside from the occasional </w:t>
            </w:r>
            <w:r w:rsidR="00EA718D">
              <w:t>gastrointestinal</w:t>
            </w:r>
            <w:r>
              <w:t xml:space="preserve"> TEAEs, the safety profile of Oral TU was very similar to transdermal T-gel.  Many of the common TEAEs were those expected with T replacement.  These T replacement TEAEs are indicated on the recently approved TRTs, such as Androgel</w:t>
            </w:r>
            <w:r w:rsidRPr="001C7EAE">
              <w:rPr>
                <w:vertAlign w:val="superscript"/>
              </w:rPr>
              <w:t>®</w:t>
            </w:r>
            <w:r>
              <w:t xml:space="preserve"> 1.62% and Axiron</w:t>
            </w:r>
            <w:r w:rsidRPr="001C7EAE">
              <w:rPr>
                <w:vertAlign w:val="superscript"/>
              </w:rPr>
              <w:t>®</w:t>
            </w:r>
            <w:r>
              <w:t>, so health care professionals and patients are well aware of these adverse events.  Tolerability of Oral TU was similar to T-gel as indicated by the fact that the patient completion rate in both groups was high and si</w:t>
            </w:r>
            <w:r w:rsidR="00F15A8E">
              <w:t xml:space="preserve">milar (79.6%, Oral TU </w:t>
            </w:r>
            <w:r w:rsidR="00EE2E04">
              <w:t>vs.</w:t>
            </w:r>
            <w:r w:rsidR="00F15A8E">
              <w:t xml:space="preserve"> 81.6% </w:t>
            </w:r>
            <w:r>
              <w:t>transdermal T-gel), and the compliance with therapy for Oral TU was very high (94.64%).</w:t>
            </w:r>
          </w:p>
          <w:p w:rsidR="00FF4AD8" w:rsidRDefault="00FF4AD8" w:rsidP="00760576">
            <w:pPr>
              <w:pStyle w:val="C-TableText"/>
            </w:pPr>
          </w:p>
          <w:p w:rsidR="00FF4AD8" w:rsidRDefault="00FF4AD8" w:rsidP="00FF4AD8">
            <w:pPr>
              <w:pStyle w:val="C-TableText"/>
            </w:pPr>
            <w:r w:rsidRPr="007E16D8">
              <w:t>Several clinical laboratory parameters were also analyzed by serum T C</w:t>
            </w:r>
            <w:r w:rsidRPr="007E16D8">
              <w:rPr>
                <w:vertAlign w:val="subscript"/>
              </w:rPr>
              <w:t>max</w:t>
            </w:r>
            <w:r w:rsidRPr="007E16D8">
              <w:t xml:space="preserve"> and C</w:t>
            </w:r>
            <w:r w:rsidRPr="007E16D8">
              <w:rPr>
                <w:vertAlign w:val="subscript"/>
              </w:rPr>
              <w:t xml:space="preserve">avg </w:t>
            </w:r>
            <w:r w:rsidRPr="007E16D8">
              <w:t xml:space="preserve">levels. </w:t>
            </w:r>
            <w:r w:rsidR="006C0B1B">
              <w:t xml:space="preserve"> </w:t>
            </w:r>
            <w:r w:rsidRPr="007E16D8">
              <w:t>For serum T C</w:t>
            </w:r>
            <w:r w:rsidRPr="007E16D8">
              <w:rPr>
                <w:vertAlign w:val="subscript"/>
              </w:rPr>
              <w:t>max</w:t>
            </w:r>
            <w:r w:rsidRPr="007E16D8">
              <w:t>,</w:t>
            </w:r>
            <w:r w:rsidRPr="007E16D8">
              <w:rPr>
                <w:vertAlign w:val="subscript"/>
              </w:rPr>
              <w:t xml:space="preserve"> </w:t>
            </w:r>
            <w:r w:rsidRPr="007E16D8">
              <w:t>in Oral TU subjects, the mean absolute change from baseline of Hct was slightly greater in subjects whose serum T C</w:t>
            </w:r>
            <w:r w:rsidRPr="007E16D8">
              <w:rPr>
                <w:vertAlign w:val="subscript"/>
              </w:rPr>
              <w:t>max</w:t>
            </w:r>
            <w:r w:rsidRPr="007E16D8">
              <w:t xml:space="preserve"> level was &gt; 1500 ng/dL compared </w:t>
            </w:r>
            <w:r w:rsidR="00A85FFA">
              <w:t>with</w:t>
            </w:r>
            <w:r w:rsidR="00A85FFA" w:rsidRPr="007E16D8">
              <w:t xml:space="preserve"> </w:t>
            </w:r>
            <w:r w:rsidRPr="007E16D8">
              <w:t>subjects whose serum T C</w:t>
            </w:r>
            <w:r w:rsidRPr="007E16D8">
              <w:rPr>
                <w:vertAlign w:val="subscript"/>
              </w:rPr>
              <w:t>max</w:t>
            </w:r>
            <w:r w:rsidRPr="007E16D8">
              <w:t xml:space="preserve"> ≤ 1500 ng/dL.  For Lp</w:t>
            </w:r>
            <w:r>
              <w:t>-</w:t>
            </w:r>
            <w:r w:rsidRPr="007E16D8">
              <w:t>PLA</w:t>
            </w:r>
            <w:r w:rsidRPr="002B1DD7">
              <w:rPr>
                <w:vertAlign w:val="subscript"/>
              </w:rPr>
              <w:t>2</w:t>
            </w:r>
            <w:r w:rsidRPr="007E16D8">
              <w:t>, in Oral TU subjects, the mean change from baseline of Lp</w:t>
            </w:r>
            <w:r>
              <w:t>-</w:t>
            </w:r>
            <w:r w:rsidRPr="007E16D8">
              <w:t>PLA</w:t>
            </w:r>
            <w:r w:rsidRPr="002B1DD7">
              <w:rPr>
                <w:vertAlign w:val="subscript"/>
              </w:rPr>
              <w:t>2</w:t>
            </w:r>
            <w:r w:rsidRPr="007E16D8">
              <w:t xml:space="preserve"> was less in subjects whose serum T C</w:t>
            </w:r>
            <w:r w:rsidRPr="007E16D8">
              <w:rPr>
                <w:vertAlign w:val="subscript"/>
              </w:rPr>
              <w:t>max</w:t>
            </w:r>
            <w:r w:rsidRPr="007E16D8">
              <w:t xml:space="preserve"> level was &gt; 1500 ng/dL compared to subjects whose serum T C</w:t>
            </w:r>
            <w:r w:rsidRPr="007E16D8">
              <w:rPr>
                <w:vertAlign w:val="subscript"/>
              </w:rPr>
              <w:t>max</w:t>
            </w:r>
            <w:r w:rsidRPr="007E16D8">
              <w:t xml:space="preserve"> ≤ 1500 ng/dL.  For all other </w:t>
            </w:r>
            <w:r w:rsidRPr="007E16D8">
              <w:lastRenderedPageBreak/>
              <w:t xml:space="preserve">laboratory parameters, the mean </w:t>
            </w:r>
            <w:r>
              <w:t xml:space="preserve">or median </w:t>
            </w:r>
            <w:r w:rsidRPr="007E16D8">
              <w:t>absolute change from baseline was similar between subjects whose serum T C</w:t>
            </w:r>
            <w:r w:rsidRPr="007E16D8">
              <w:rPr>
                <w:vertAlign w:val="subscript"/>
              </w:rPr>
              <w:t>max</w:t>
            </w:r>
            <w:r w:rsidRPr="007E16D8">
              <w:t xml:space="preserve"> level was &gt; 1500 ng/dL compared to subjects whose serum T C</w:t>
            </w:r>
            <w:r w:rsidRPr="007E16D8">
              <w:rPr>
                <w:vertAlign w:val="subscript"/>
              </w:rPr>
              <w:t>max</w:t>
            </w:r>
            <w:r w:rsidRPr="007E16D8">
              <w:t xml:space="preserve"> ≤ 1500 ng/dL.</w:t>
            </w:r>
          </w:p>
          <w:p w:rsidR="00E452AC" w:rsidRDefault="00E452AC" w:rsidP="00760576">
            <w:pPr>
              <w:pStyle w:val="C-TableText"/>
            </w:pPr>
          </w:p>
          <w:p w:rsidR="00431025" w:rsidRDefault="007A29C9" w:rsidP="007A29C9">
            <w:pPr>
              <w:pStyle w:val="C-TableText"/>
            </w:pPr>
            <w:r>
              <w:t xml:space="preserve">Several CV biomarkers were analyzed in order to determine the effects of TRT on potential CV risk.  These included </w:t>
            </w:r>
            <w:r w:rsidR="00517FB4">
              <w:t>h</w:t>
            </w:r>
            <w:r>
              <w:t>s-CRP, Lp-PLA</w:t>
            </w:r>
            <w:r w:rsidRPr="007A29C9">
              <w:rPr>
                <w:vertAlign w:val="subscript"/>
              </w:rPr>
              <w:t>2</w:t>
            </w:r>
            <w:r>
              <w:t xml:space="preserve">, Lp(a), and ApoA1.  </w:t>
            </w:r>
            <w:r w:rsidRPr="00AC7663">
              <w:t xml:space="preserve">For </w:t>
            </w:r>
            <w:r w:rsidR="00517FB4">
              <w:t>h</w:t>
            </w:r>
            <w:r w:rsidRPr="00AC7663">
              <w:t xml:space="preserve">s-CRP, differences between the Oral TU and transdermal T-gel group were not statistically significant (p = 0.2781).  </w:t>
            </w:r>
            <w:r w:rsidR="00431025">
              <w:t>Similarly, f</w:t>
            </w:r>
            <w:r w:rsidRPr="007A29C9">
              <w:t>or Lp-PLA</w:t>
            </w:r>
            <w:r w:rsidRPr="007A29C9">
              <w:rPr>
                <w:vertAlign w:val="subscript"/>
              </w:rPr>
              <w:t>2</w:t>
            </w:r>
            <w:r w:rsidRPr="007A29C9">
              <w:t>, differences between the Oral TU and transdermal T-gel group were not statistically significant (p = 0.4</w:t>
            </w:r>
            <w:r w:rsidR="00517FB4">
              <w:t>489</w:t>
            </w:r>
            <w:r w:rsidRPr="007A29C9">
              <w:t xml:space="preserve">).  </w:t>
            </w:r>
            <w:r w:rsidR="00431025">
              <w:t xml:space="preserve">Notably, </w:t>
            </w:r>
            <w:r w:rsidR="0076579F">
              <w:t>O</w:t>
            </w:r>
            <w:r w:rsidR="00431025">
              <w:t xml:space="preserve">ral TU was found to be non-inferior to </w:t>
            </w:r>
            <w:r w:rsidR="0076579F">
              <w:t xml:space="preserve">transdermal </w:t>
            </w:r>
            <w:r w:rsidR="00431025">
              <w:t xml:space="preserve">T-gel based on changes in hs-CRP and </w:t>
            </w:r>
            <w:r w:rsidR="0076579F">
              <w:br/>
            </w:r>
            <w:r w:rsidR="00431025">
              <w:t>Lp-PLA</w:t>
            </w:r>
            <w:r w:rsidR="00431025" w:rsidRPr="0076579F">
              <w:rPr>
                <w:vertAlign w:val="subscript"/>
              </w:rPr>
              <w:t>2</w:t>
            </w:r>
            <w:r w:rsidR="00431025">
              <w:t xml:space="preserve"> and associated changes in </w:t>
            </w:r>
            <w:r w:rsidR="0076579F">
              <w:t>CV</w:t>
            </w:r>
            <w:r w:rsidR="00431025">
              <w:t xml:space="preserve"> risk based on established risk tertiles for each biomarker.</w:t>
            </w:r>
          </w:p>
          <w:p w:rsidR="00431025" w:rsidRDefault="00431025" w:rsidP="007A29C9">
            <w:pPr>
              <w:pStyle w:val="C-TableText"/>
            </w:pPr>
          </w:p>
          <w:p w:rsidR="007A29C9" w:rsidRPr="007A29C9" w:rsidRDefault="007A29C9" w:rsidP="007A29C9">
            <w:pPr>
              <w:pStyle w:val="C-TableText"/>
            </w:pPr>
            <w:r w:rsidRPr="00AC7663">
              <w:t>Differences between the Oral TU and transdermal T-gel group for Lp(a) were statistically significant (p &lt; 0.0001) with the Oral TU group having a greater decrease in mean Lp(a) levels.  For ApoA1, there was a statistically significant difference between the Oral TU and transdermal T-gel</w:t>
            </w:r>
            <w:r w:rsidRPr="007A29C9">
              <w:t xml:space="preserve"> group (p &lt; 0.0001), with the Oral TU group </w:t>
            </w:r>
            <w:r w:rsidR="00517FB4">
              <w:t>having a greater decrease ApoA1</w:t>
            </w:r>
            <w:r w:rsidRPr="007A29C9">
              <w:t xml:space="preserve">.  </w:t>
            </w:r>
          </w:p>
          <w:p w:rsidR="007A29C9" w:rsidRDefault="007A29C9" w:rsidP="00760576">
            <w:pPr>
              <w:pStyle w:val="C-TableText"/>
            </w:pPr>
          </w:p>
          <w:p w:rsidR="005A4246" w:rsidRPr="00B4561B" w:rsidRDefault="00AE398A" w:rsidP="00EA0FAB">
            <w:pPr>
              <w:pStyle w:val="C-TableText"/>
            </w:pPr>
            <w:r w:rsidRPr="0076579F">
              <w:rPr>
                <w:rFonts w:eastAsia="MS Mincho"/>
              </w:rPr>
              <w:t>Finally, t</w:t>
            </w:r>
            <w:r w:rsidR="003C4DEE" w:rsidRPr="0076579F">
              <w:rPr>
                <w:rFonts w:eastAsia="MS Mincho"/>
              </w:rPr>
              <w:t xml:space="preserve">he </w:t>
            </w:r>
            <w:r w:rsidR="003C4DEE" w:rsidRPr="001B00DC">
              <w:rPr>
                <w:rFonts w:eastAsia="MS Mincho"/>
              </w:rPr>
              <w:t xml:space="preserve">exploratory biomarker sub-study analysis </w:t>
            </w:r>
            <w:r w:rsidR="00EA0FAB">
              <w:rPr>
                <w:rFonts w:eastAsia="MS Mincho"/>
              </w:rPr>
              <w:t>indicated</w:t>
            </w:r>
            <w:r w:rsidR="00F134C5" w:rsidRPr="001B00DC">
              <w:rPr>
                <w:rFonts w:eastAsia="MS Mincho"/>
              </w:rPr>
              <w:t xml:space="preserve"> that TRT</w:t>
            </w:r>
            <w:r w:rsidR="00F134C5">
              <w:rPr>
                <w:rFonts w:eastAsia="MS Mincho"/>
              </w:rPr>
              <w:t xml:space="preserve">, with either </w:t>
            </w:r>
            <w:r w:rsidR="0076579F">
              <w:rPr>
                <w:rFonts w:eastAsia="MS Mincho"/>
              </w:rPr>
              <w:t>O</w:t>
            </w:r>
            <w:r w:rsidR="00F134C5">
              <w:rPr>
                <w:rFonts w:eastAsia="MS Mincho"/>
              </w:rPr>
              <w:t>ral TU or transdermal T does not substantially change the CV risk.  Most of the trends in the biomarke</w:t>
            </w:r>
            <w:r w:rsidR="00CB751A">
              <w:rPr>
                <w:rFonts w:eastAsia="MS Mincho"/>
              </w:rPr>
              <w:t>rs, such as the decrease in Pc O</w:t>
            </w:r>
            <w:r w:rsidR="00F134C5">
              <w:rPr>
                <w:rFonts w:eastAsia="MS Mincho"/>
              </w:rPr>
              <w:t xml:space="preserve">xPL, the increase in small HDL particles that mediate a number of anti-atherogenic properties and the decrease in IgG Apo-B1, along with the decrease in Lp(a) reported in the clinical report for CLAR-09007, indicate a benefit although this needs to be balanced against the modest decrease in </w:t>
            </w:r>
            <w:r w:rsidR="00CB751A">
              <w:rPr>
                <w:rFonts w:eastAsia="MS Mincho"/>
              </w:rPr>
              <w:t>cholesterol efflux</w:t>
            </w:r>
            <w:r w:rsidR="00F134C5">
              <w:rPr>
                <w:rFonts w:eastAsia="MS Mincho"/>
              </w:rPr>
              <w:t xml:space="preserve">.  The results of this sub-study, in conjunction with the lack of change observed in the two principle inflammatory biomarkers (namely, hsCRP and Lp-PLA2) assessed in the main study, support the conclusion that neither </w:t>
            </w:r>
            <w:r w:rsidR="00CB751A">
              <w:rPr>
                <w:rFonts w:eastAsia="MS Mincho"/>
              </w:rPr>
              <w:t>O</w:t>
            </w:r>
            <w:r w:rsidR="00F134C5">
              <w:rPr>
                <w:rFonts w:eastAsia="MS Mincho"/>
              </w:rPr>
              <w:t xml:space="preserve">ral TU nor </w:t>
            </w:r>
            <w:r w:rsidR="00CB751A">
              <w:rPr>
                <w:rFonts w:eastAsia="MS Mincho"/>
              </w:rPr>
              <w:t xml:space="preserve">trasndermal </w:t>
            </w:r>
            <w:r w:rsidR="00F134C5">
              <w:rPr>
                <w:rFonts w:eastAsia="MS Mincho"/>
              </w:rPr>
              <w:t>T-gel substantially change CV risk.</w:t>
            </w:r>
          </w:p>
        </w:tc>
      </w:tr>
      <w:tr w:rsidR="001F4B1B" w:rsidRPr="00E677BD" w:rsidTr="00290D46">
        <w:tc>
          <w:tcPr>
            <w:tcW w:w="9000" w:type="dxa"/>
            <w:tcBorders>
              <w:top w:val="single" w:sz="6" w:space="0" w:color="auto"/>
              <w:left w:val="single" w:sz="6" w:space="0" w:color="auto"/>
              <w:bottom w:val="single" w:sz="6" w:space="0" w:color="auto"/>
              <w:right w:val="single" w:sz="6" w:space="0" w:color="auto"/>
            </w:tcBorders>
          </w:tcPr>
          <w:p w:rsidR="001F4B1B" w:rsidRPr="00E677BD" w:rsidRDefault="001F4B1B" w:rsidP="00DF480B">
            <w:pPr>
              <w:pStyle w:val="Synop1"/>
              <w:spacing w:before="60" w:after="60"/>
            </w:pPr>
            <w:r w:rsidRPr="00E677BD">
              <w:rPr>
                <w:b/>
              </w:rPr>
              <w:lastRenderedPageBreak/>
              <w:t>Date of Report:</w:t>
            </w:r>
            <w:r>
              <w:t xml:space="preserve"> </w:t>
            </w:r>
            <w:r w:rsidR="00DF480B">
              <w:t>22</w:t>
            </w:r>
            <w:r w:rsidR="00EA1CBE">
              <w:t xml:space="preserve"> Nov 2013</w:t>
            </w:r>
          </w:p>
        </w:tc>
      </w:tr>
    </w:tbl>
    <w:p w:rsidR="001F4B1B" w:rsidRPr="00E677BD" w:rsidRDefault="001F4B1B" w:rsidP="001F4B1B">
      <w:pPr>
        <w:rPr>
          <w:sz w:val="18"/>
          <w:szCs w:val="18"/>
        </w:rPr>
      </w:pPr>
    </w:p>
    <w:p w:rsidR="001F4B1B" w:rsidRDefault="001F4B1B" w:rsidP="001F4B1B"/>
    <w:p w:rsidR="008A4F8B" w:rsidRPr="00347978" w:rsidRDefault="008A4F8B" w:rsidP="001F4B1B">
      <w:pPr>
        <w:pStyle w:val="C-BodyText"/>
      </w:pPr>
    </w:p>
    <w:p w:rsidR="008A4F8B" w:rsidRPr="00E677BD" w:rsidRDefault="008A4F8B" w:rsidP="00CF5D9E">
      <w:pPr>
        <w:pStyle w:val="TOC1"/>
        <w:rPr>
          <w:sz w:val="2"/>
        </w:rPr>
      </w:pPr>
    </w:p>
    <w:p w:rsidR="008A4F8B" w:rsidRPr="00E677BD" w:rsidRDefault="008A4F8B" w:rsidP="008A4F8B">
      <w:pPr>
        <w:rPr>
          <w:sz w:val="2"/>
        </w:rPr>
      </w:pPr>
    </w:p>
    <w:p w:rsidR="0080745A" w:rsidRPr="008A4F8B" w:rsidRDefault="00B06156" w:rsidP="00B4561B">
      <w:pPr>
        <w:tabs>
          <w:tab w:val="left" w:pos="1980"/>
        </w:tabs>
      </w:pPr>
      <w:r>
        <w:rPr>
          <w:b/>
          <w:szCs w:val="24"/>
        </w:rPr>
        <w:t xml:space="preserve"> </w:t>
      </w:r>
    </w:p>
    <w:sectPr w:rsidR="0080745A" w:rsidRPr="008A4F8B" w:rsidSect="002831C2">
      <w:headerReference w:type="even" r:id="rId10"/>
      <w:footnotePr>
        <w:numFmt w:val="lowerRoman"/>
        <w:numStart w:val="2"/>
      </w:footnotePr>
      <w:endnotePr>
        <w:numFmt w:val="decimal"/>
      </w:endnotePr>
      <w:pgSz w:w="12240" w:h="15840" w:code="1"/>
      <w:pgMar w:top="1440" w:right="1440" w:bottom="1440" w:left="1800"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2ACA" w:rsidRDefault="00092ACA">
      <w:r>
        <w:separator/>
      </w:r>
    </w:p>
    <w:p w:rsidR="00092ACA" w:rsidRDefault="00092ACA"/>
  </w:endnote>
  <w:endnote w:type="continuationSeparator" w:id="1">
    <w:p w:rsidR="00092ACA" w:rsidRDefault="00092ACA">
      <w:r>
        <w:continuationSeparator/>
      </w:r>
    </w:p>
    <w:p w:rsidR="00092ACA" w:rsidRDefault="00092AC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02C" w:rsidRPr="006234EE" w:rsidRDefault="00DF102C">
    <w:pPr>
      <w:widowControl w:val="0"/>
    </w:pPr>
  </w:p>
  <w:p w:rsidR="00DF102C" w:rsidRPr="002831C2" w:rsidRDefault="00DF480B" w:rsidP="00AE4328">
    <w:pPr>
      <w:pBdr>
        <w:top w:val="single" w:sz="4" w:space="0" w:color="auto"/>
      </w:pBdr>
      <w:tabs>
        <w:tab w:val="right" w:pos="9000"/>
      </w:tabs>
      <w:rPr>
        <w:sz w:val="18"/>
        <w:szCs w:val="18"/>
      </w:rPr>
    </w:pPr>
    <w:r>
      <w:rPr>
        <w:sz w:val="18"/>
        <w:szCs w:val="18"/>
      </w:rPr>
      <w:t>22</w:t>
    </w:r>
    <w:r w:rsidR="00DF102C">
      <w:rPr>
        <w:sz w:val="18"/>
        <w:szCs w:val="18"/>
      </w:rPr>
      <w:t>NOV2013</w:t>
    </w:r>
    <w:r w:rsidR="00DF102C" w:rsidRPr="002831C2">
      <w:rPr>
        <w:sz w:val="18"/>
        <w:szCs w:val="18"/>
      </w:rPr>
      <w:tab/>
      <w:t xml:space="preserve">Page </w:t>
    </w:r>
    <w:r w:rsidR="001B336F" w:rsidRPr="002831C2">
      <w:rPr>
        <w:sz w:val="18"/>
        <w:szCs w:val="18"/>
      </w:rPr>
      <w:fldChar w:fldCharType="begin"/>
    </w:r>
    <w:r w:rsidR="00DF102C" w:rsidRPr="002831C2">
      <w:rPr>
        <w:sz w:val="18"/>
        <w:szCs w:val="18"/>
      </w:rPr>
      <w:instrText xml:space="preserve"> PAGE   \* MERGEFORMAT </w:instrText>
    </w:r>
    <w:r w:rsidR="001B336F" w:rsidRPr="002831C2">
      <w:rPr>
        <w:sz w:val="18"/>
        <w:szCs w:val="18"/>
      </w:rPr>
      <w:fldChar w:fldCharType="separate"/>
    </w:r>
    <w:r w:rsidR="00B02762">
      <w:rPr>
        <w:noProof/>
        <w:sz w:val="18"/>
        <w:szCs w:val="18"/>
      </w:rPr>
      <w:t>1</w:t>
    </w:r>
    <w:r w:rsidR="001B336F" w:rsidRPr="002831C2">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2ACA" w:rsidRDefault="00092ACA">
      <w:r>
        <w:separator/>
      </w:r>
    </w:p>
    <w:p w:rsidR="00092ACA" w:rsidRDefault="00092ACA"/>
  </w:footnote>
  <w:footnote w:type="continuationSeparator" w:id="1">
    <w:p w:rsidR="00092ACA" w:rsidRDefault="00092ACA">
      <w:r>
        <w:continuationSeparator/>
      </w:r>
    </w:p>
    <w:p w:rsidR="00092ACA" w:rsidRDefault="00092AC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02C" w:rsidRPr="002831C2" w:rsidRDefault="00DF102C" w:rsidP="002831C2">
    <w:pPr>
      <w:widowControl w:val="0"/>
      <w:tabs>
        <w:tab w:val="right" w:pos="9000"/>
      </w:tabs>
      <w:spacing w:line="240" w:lineRule="auto"/>
      <w:rPr>
        <w:sz w:val="18"/>
        <w:szCs w:val="18"/>
      </w:rPr>
    </w:pPr>
    <w:r>
      <w:rPr>
        <w:sz w:val="18"/>
        <w:szCs w:val="18"/>
      </w:rPr>
      <w:t xml:space="preserve">Clarus Therapeutics, Inc. </w:t>
    </w:r>
    <w:r w:rsidRPr="002831C2">
      <w:rPr>
        <w:sz w:val="18"/>
        <w:szCs w:val="18"/>
      </w:rPr>
      <w:tab/>
    </w:r>
    <w:r>
      <w:rPr>
        <w:sz w:val="18"/>
        <w:szCs w:val="18"/>
      </w:rPr>
      <w:t>5.3 Clinical Study Reports and Related Information</w:t>
    </w:r>
  </w:p>
  <w:p w:rsidR="00DF102C" w:rsidRDefault="00DF102C" w:rsidP="00B60959">
    <w:pPr>
      <w:widowControl w:val="0"/>
      <w:pBdr>
        <w:bottom w:val="single" w:sz="4" w:space="1" w:color="auto"/>
      </w:pBdr>
      <w:tabs>
        <w:tab w:val="right" w:pos="9000"/>
      </w:tabs>
      <w:spacing w:line="240" w:lineRule="auto"/>
      <w:rPr>
        <w:sz w:val="18"/>
        <w:szCs w:val="18"/>
      </w:rPr>
    </w:pPr>
    <w:r>
      <w:rPr>
        <w:sz w:val="18"/>
        <w:szCs w:val="18"/>
      </w:rPr>
      <w:t>Oral Testosterone Undecanoate</w:t>
    </w:r>
    <w:r w:rsidRPr="002831C2">
      <w:rPr>
        <w:sz w:val="18"/>
        <w:szCs w:val="18"/>
      </w:rPr>
      <w:t xml:space="preserve">                  </w:t>
    </w:r>
    <w:r w:rsidRPr="002831C2">
      <w:rPr>
        <w:sz w:val="18"/>
        <w:szCs w:val="18"/>
      </w:rPr>
      <w:tab/>
      <w:t xml:space="preserve"> </w:t>
    </w:r>
    <w:r>
      <w:rPr>
        <w:sz w:val="18"/>
        <w:szCs w:val="18"/>
      </w:rPr>
      <w:t xml:space="preserve">CLAR-09007 </w:t>
    </w:r>
    <w:r w:rsidRPr="002831C2">
      <w:rPr>
        <w:sz w:val="18"/>
        <w:szCs w:val="18"/>
      </w:rPr>
      <w:t xml:space="preserve">Clinical Study Report </w:t>
    </w:r>
    <w:r>
      <w:rPr>
        <w:sz w:val="18"/>
        <w:szCs w:val="18"/>
      </w:rPr>
      <w:t xml:space="preserve">Synopsis Final </w:t>
    </w:r>
  </w:p>
  <w:p w:rsidR="00DF102C" w:rsidRPr="00740828" w:rsidRDefault="00DF102C" w:rsidP="00740828">
    <w:pPr>
      <w:widowControl w:val="0"/>
      <w:tabs>
        <w:tab w:val="right" w:pos="9000"/>
      </w:tabs>
      <w:spacing w:line="240" w:lineRule="auto"/>
      <w:rPr>
        <w:sz w:val="18"/>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02C" w:rsidRDefault="00DF102C"/>
  <w:p w:rsidR="00DF102C" w:rsidRDefault="00DF102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6CE595E"/>
    <w:lvl w:ilvl="0">
      <w:start w:val="1"/>
      <w:numFmt w:val="decimal"/>
      <w:lvlText w:val="%1."/>
      <w:lvlJc w:val="left"/>
      <w:pPr>
        <w:tabs>
          <w:tab w:val="num" w:pos="1800"/>
        </w:tabs>
        <w:ind w:left="1800" w:hanging="360"/>
      </w:pPr>
    </w:lvl>
  </w:abstractNum>
  <w:abstractNum w:abstractNumId="1">
    <w:nsid w:val="FFFFFF7D"/>
    <w:multiLevelType w:val="singleLevel"/>
    <w:tmpl w:val="AD72A034"/>
    <w:lvl w:ilvl="0">
      <w:start w:val="1"/>
      <w:numFmt w:val="decimal"/>
      <w:lvlText w:val="%1."/>
      <w:lvlJc w:val="left"/>
      <w:pPr>
        <w:tabs>
          <w:tab w:val="num" w:pos="1440"/>
        </w:tabs>
        <w:ind w:left="1440" w:hanging="360"/>
      </w:pPr>
    </w:lvl>
  </w:abstractNum>
  <w:abstractNum w:abstractNumId="2">
    <w:nsid w:val="FFFFFF7E"/>
    <w:multiLevelType w:val="singleLevel"/>
    <w:tmpl w:val="4D005248"/>
    <w:lvl w:ilvl="0">
      <w:start w:val="1"/>
      <w:numFmt w:val="decimal"/>
      <w:lvlText w:val="%1."/>
      <w:lvlJc w:val="left"/>
      <w:pPr>
        <w:tabs>
          <w:tab w:val="num" w:pos="1080"/>
        </w:tabs>
        <w:ind w:left="1080" w:hanging="360"/>
      </w:pPr>
    </w:lvl>
  </w:abstractNum>
  <w:abstractNum w:abstractNumId="3">
    <w:nsid w:val="FFFFFF7F"/>
    <w:multiLevelType w:val="singleLevel"/>
    <w:tmpl w:val="541C1CCE"/>
    <w:lvl w:ilvl="0">
      <w:start w:val="1"/>
      <w:numFmt w:val="decimal"/>
      <w:lvlText w:val="%1."/>
      <w:lvlJc w:val="left"/>
      <w:pPr>
        <w:tabs>
          <w:tab w:val="num" w:pos="720"/>
        </w:tabs>
        <w:ind w:left="720" w:hanging="360"/>
      </w:pPr>
    </w:lvl>
  </w:abstractNum>
  <w:abstractNum w:abstractNumId="4">
    <w:nsid w:val="FFFFFF80"/>
    <w:multiLevelType w:val="singleLevel"/>
    <w:tmpl w:val="E670F51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184EC8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AC064B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63A76D2"/>
    <w:lvl w:ilvl="0">
      <w:start w:val="1"/>
      <w:numFmt w:val="bullet"/>
      <w:lvlText w:val=""/>
      <w:lvlJc w:val="left"/>
      <w:pPr>
        <w:tabs>
          <w:tab w:val="num" w:pos="720"/>
        </w:tabs>
        <w:ind w:left="720" w:hanging="360"/>
      </w:pPr>
      <w:rPr>
        <w:rFonts w:ascii="Symbol" w:hAnsi="Symbol" w:hint="default"/>
      </w:rPr>
    </w:lvl>
  </w:abstractNum>
  <w:abstractNum w:abstractNumId="8">
    <w:nsid w:val="017D34E3"/>
    <w:multiLevelType w:val="hybridMultilevel"/>
    <w:tmpl w:val="AC5CD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1D45AA7"/>
    <w:multiLevelType w:val="hybridMultilevel"/>
    <w:tmpl w:val="127EE8D6"/>
    <w:name w:val="C-Number List Template"/>
    <w:lvl w:ilvl="0" w:tplc="17D0CD0E">
      <w:start w:val="1"/>
      <w:numFmt w:val="decimal"/>
      <w:pStyle w:val="C-NumberedList"/>
      <w:lvlText w:val="%1."/>
      <w:lvlJc w:val="left"/>
      <w:pPr>
        <w:tabs>
          <w:tab w:val="num" w:pos="720"/>
        </w:tabs>
        <w:ind w:left="720" w:hanging="360"/>
      </w:pPr>
      <w:rPr>
        <w:rFonts w:hint="default"/>
        <w:b w:val="0"/>
        <w:i w:val="0"/>
        <w:caps w:val="0"/>
        <w:strike w:val="0"/>
        <w:dstrike w:val="0"/>
        <w:outline w:val="0"/>
        <w:shadow w:val="0"/>
        <w:emboss w:val="0"/>
        <w:imprint w:val="0"/>
        <w:vanish w:val="0"/>
        <w:color w:val="auto"/>
        <w:sz w:val="24"/>
        <w:u w:val="none"/>
        <w:vertAlign w:val="baseli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4171486"/>
    <w:multiLevelType w:val="hybridMultilevel"/>
    <w:tmpl w:val="DFB81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152C68AF"/>
    <w:multiLevelType w:val="hybridMultilevel"/>
    <w:tmpl w:val="38903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935BEF"/>
    <w:multiLevelType w:val="hybridMultilevel"/>
    <w:tmpl w:val="E7682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794F30"/>
    <w:multiLevelType w:val="hybridMultilevel"/>
    <w:tmpl w:val="6450E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1614C5"/>
    <w:multiLevelType w:val="hybridMultilevel"/>
    <w:tmpl w:val="F7FE9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A5260E"/>
    <w:multiLevelType w:val="hybridMultilevel"/>
    <w:tmpl w:val="8C204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BB465CD"/>
    <w:multiLevelType w:val="hybridMultilevel"/>
    <w:tmpl w:val="88BAE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C60FEA"/>
    <w:multiLevelType w:val="hybridMultilevel"/>
    <w:tmpl w:val="C66A86B8"/>
    <w:lvl w:ilvl="0" w:tplc="CAA84086">
      <w:start w:val="1"/>
      <w:numFmt w:val="lowerLetter"/>
      <w:pStyle w:val="C-AlphabeticList"/>
      <w:lvlText w:val="%1."/>
      <w:lvlJc w:val="left"/>
      <w:pPr>
        <w:tabs>
          <w:tab w:val="num" w:pos="1080"/>
        </w:tabs>
        <w:ind w:left="1080" w:hanging="360"/>
      </w:pPr>
      <w:rPr>
        <w:rFonts w:hint="default"/>
        <w:b w:val="0"/>
        <w:i w:val="0"/>
        <w:caps w:val="0"/>
        <w:strike w:val="0"/>
        <w:dstrike w:val="0"/>
        <w:outline w:val="0"/>
        <w:shadow w:val="0"/>
        <w:emboss w:val="0"/>
        <w:imprint w:val="0"/>
        <w:vanish w:val="0"/>
        <w:sz w:val="24"/>
        <w:u w:val="none"/>
        <w:vertAlign w:val="baseline"/>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32E253F9"/>
    <w:multiLevelType w:val="hybridMultilevel"/>
    <w:tmpl w:val="1FAA0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B57E85"/>
    <w:multiLevelType w:val="hybridMultilevel"/>
    <w:tmpl w:val="BE9AD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8A631C"/>
    <w:multiLevelType w:val="hybridMultilevel"/>
    <w:tmpl w:val="9EA498F2"/>
    <w:lvl w:ilvl="0" w:tplc="EB7C9DEA">
      <w:start w:val="1"/>
      <w:numFmt w:val="decimal"/>
      <w:lvlText w:val="%1)"/>
      <w:lvlJc w:val="left"/>
      <w:pPr>
        <w:ind w:left="1080" w:hanging="360"/>
      </w:pPr>
      <w:rPr>
        <w:rFonts w:ascii="Calibri" w:eastAsia="Calibri" w:hAnsi="Calibri"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F23639F"/>
    <w:multiLevelType w:val="hybridMultilevel"/>
    <w:tmpl w:val="D0B65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7641A9"/>
    <w:multiLevelType w:val="multilevel"/>
    <w:tmpl w:val="ACDAD6F2"/>
    <w:lvl w:ilvl="0">
      <w:start w:val="2"/>
      <w:numFmt w:val="decimal"/>
      <w:pStyle w:val="C-Heading1"/>
      <w:lvlText w:val="%1"/>
      <w:lvlJc w:val="left"/>
      <w:pPr>
        <w:tabs>
          <w:tab w:val="num" w:pos="1080"/>
        </w:tabs>
        <w:ind w:left="1080" w:hanging="108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C-Heading2"/>
      <w:lvlText w:val="%1.%2."/>
      <w:lvlJc w:val="left"/>
      <w:pPr>
        <w:tabs>
          <w:tab w:val="num" w:pos="1080"/>
        </w:tabs>
        <w:ind w:left="1080" w:hanging="1080"/>
      </w:pPr>
      <w:rPr>
        <w:rFonts w:hint="default"/>
      </w:rPr>
    </w:lvl>
    <w:lvl w:ilvl="2">
      <w:start w:val="1"/>
      <w:numFmt w:val="decimal"/>
      <w:pStyle w:val="C-Heading3"/>
      <w:lvlText w:val="%1.%2.%3."/>
      <w:lvlJc w:val="left"/>
      <w:pPr>
        <w:tabs>
          <w:tab w:val="num" w:pos="1080"/>
        </w:tabs>
        <w:ind w:left="1080" w:hanging="1080"/>
      </w:pPr>
      <w:rPr>
        <w:rFonts w:hint="default"/>
      </w:rPr>
    </w:lvl>
    <w:lvl w:ilvl="3">
      <w:start w:val="1"/>
      <w:numFmt w:val="decimal"/>
      <w:pStyle w:val="C-Heading4"/>
      <w:lvlText w:val="%1.%2.%3.%4."/>
      <w:lvlJc w:val="left"/>
      <w:pPr>
        <w:tabs>
          <w:tab w:val="num" w:pos="1080"/>
        </w:tabs>
        <w:ind w:left="1080" w:hanging="1080"/>
      </w:pPr>
      <w:rPr>
        <w:rFonts w:hint="default"/>
      </w:rPr>
    </w:lvl>
    <w:lvl w:ilvl="4">
      <w:start w:val="1"/>
      <w:numFmt w:val="decimal"/>
      <w:pStyle w:val="C-Heading5"/>
      <w:lvlText w:val="%1.%2.%3.%4.%5."/>
      <w:lvlJc w:val="left"/>
      <w:pPr>
        <w:tabs>
          <w:tab w:val="num" w:pos="1080"/>
        </w:tabs>
        <w:ind w:left="1080" w:hanging="1080"/>
      </w:pPr>
      <w:rPr>
        <w:rFonts w:hint="default"/>
      </w:rPr>
    </w:lvl>
    <w:lvl w:ilvl="5">
      <w:start w:val="1"/>
      <w:numFmt w:val="decimal"/>
      <w:pStyle w:val="C-Heading6"/>
      <w:lvlText w:val="%1.%2.%3.%4.%5.%6."/>
      <w:lvlJc w:val="left"/>
      <w:pPr>
        <w:tabs>
          <w:tab w:val="num" w:pos="1080"/>
        </w:tabs>
        <w:ind w:left="1080" w:hanging="1080"/>
      </w:pPr>
      <w:rPr>
        <w:rFonts w:hint="default"/>
      </w:rPr>
    </w:lvl>
    <w:lvl w:ilvl="6">
      <w:start w:val="1"/>
      <w:numFmt w:val="decimal"/>
      <w:lvlText w:val="%1.%2.%3.%4.%5.%6.%7."/>
      <w:lvlJc w:val="left"/>
      <w:pPr>
        <w:tabs>
          <w:tab w:val="num" w:pos="1800"/>
        </w:tabs>
        <w:ind w:left="1080" w:hanging="1080"/>
      </w:pPr>
      <w:rPr>
        <w:rFonts w:hint="default"/>
      </w:rPr>
    </w:lvl>
    <w:lvl w:ilvl="7">
      <w:start w:val="1"/>
      <w:numFmt w:val="decimal"/>
      <w:lvlText w:val="%1.%2.%3.%4.%5.%6.%7.%8."/>
      <w:lvlJc w:val="left"/>
      <w:pPr>
        <w:tabs>
          <w:tab w:val="num" w:pos="1440"/>
        </w:tabs>
        <w:ind w:left="1080" w:hanging="1080"/>
      </w:pPr>
      <w:rPr>
        <w:rFonts w:hint="default"/>
      </w:rPr>
    </w:lvl>
    <w:lvl w:ilvl="8">
      <w:start w:val="1"/>
      <w:numFmt w:val="decimal"/>
      <w:lvlText w:val="%1.%2.%3.%4.%5.%6.%7.%8.%9."/>
      <w:lvlJc w:val="left"/>
      <w:pPr>
        <w:tabs>
          <w:tab w:val="num" w:pos="2160"/>
        </w:tabs>
        <w:ind w:left="1080" w:hanging="1080"/>
      </w:pPr>
      <w:rPr>
        <w:rFonts w:hint="default"/>
      </w:rPr>
    </w:lvl>
  </w:abstractNum>
  <w:abstractNum w:abstractNumId="23">
    <w:nsid w:val="40443E74"/>
    <w:multiLevelType w:val="hybridMultilevel"/>
    <w:tmpl w:val="E22E9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90632D"/>
    <w:multiLevelType w:val="hybridMultilevel"/>
    <w:tmpl w:val="08702C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6D2FE1"/>
    <w:multiLevelType w:val="hybridMultilevel"/>
    <w:tmpl w:val="1C648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855A8F"/>
    <w:multiLevelType w:val="multilevel"/>
    <w:tmpl w:val="0FA80596"/>
    <w:lvl w:ilvl="0">
      <w:start w:val="3"/>
      <w:numFmt w:val="decimal"/>
      <w:lvlText w:val="%1"/>
      <w:lvlJc w:val="left"/>
      <w:pPr>
        <w:tabs>
          <w:tab w:val="num" w:pos="900"/>
        </w:tabs>
        <w:ind w:left="90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StyleHeading2JustifiedBefore10ptAfter10ptLinesp"/>
      <w:lvlText w:val="%1.%2"/>
      <w:lvlJc w:val="left"/>
      <w:pPr>
        <w:tabs>
          <w:tab w:val="num" w:pos="864"/>
        </w:tabs>
        <w:ind w:left="864" w:hanging="864"/>
      </w:pPr>
      <w:rPr>
        <w:rFonts w:hint="default"/>
      </w:rPr>
    </w:lvl>
    <w:lvl w:ilvl="2">
      <w:start w:val="1"/>
      <w:numFmt w:val="decimal"/>
      <w:lvlText w:val="%1.%2.%3"/>
      <w:lvlJc w:val="left"/>
      <w:pPr>
        <w:tabs>
          <w:tab w:val="num" w:pos="1008"/>
        </w:tabs>
        <w:ind w:left="1008" w:hanging="1008"/>
      </w:pPr>
      <w:rPr>
        <w:rFonts w:hint="default"/>
      </w:rPr>
    </w:lvl>
    <w:lvl w:ilvl="3">
      <w:start w:val="1"/>
      <w:numFmt w:val="decimal"/>
      <w:lvlText w:val="%1.%2.%3.%4"/>
      <w:lvlJc w:val="left"/>
      <w:pPr>
        <w:tabs>
          <w:tab w:val="num" w:pos="1296"/>
        </w:tabs>
        <w:ind w:left="1296" w:hanging="1296"/>
      </w:pPr>
      <w:rPr>
        <w:rFonts w:hint="default"/>
      </w:rPr>
    </w:lvl>
    <w:lvl w:ilvl="4">
      <w:start w:val="1"/>
      <w:numFmt w:val="decimal"/>
      <w:lvlText w:val="%1.%2.%3.%4.%5"/>
      <w:lvlJc w:val="left"/>
      <w:pPr>
        <w:tabs>
          <w:tab w:val="num" w:pos="1584"/>
        </w:tabs>
        <w:ind w:left="1584" w:hanging="1584"/>
      </w:pPr>
      <w:rPr>
        <w:rFonts w:hint="default"/>
      </w:rPr>
    </w:lvl>
    <w:lvl w:ilvl="5">
      <w:start w:val="1"/>
      <w:numFmt w:val="decimal"/>
      <w:lvlText w:val="%1.%2.%3.%4.%5.%6"/>
      <w:lvlJc w:val="left"/>
      <w:pPr>
        <w:tabs>
          <w:tab w:val="num" w:pos="1872"/>
        </w:tabs>
        <w:ind w:left="1872" w:hanging="1872"/>
      </w:pPr>
      <w:rPr>
        <w:rFonts w:ascii="Times New Roman" w:hAnsi="Times New Roman" w:hint="default"/>
        <w:b w:val="0"/>
        <w:i/>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4CDE29CA"/>
    <w:multiLevelType w:val="hybridMultilevel"/>
    <w:tmpl w:val="BBDA53E2"/>
    <w:lvl w:ilvl="0" w:tplc="4594D24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nsid w:val="525D1009"/>
    <w:multiLevelType w:val="hybridMultilevel"/>
    <w:tmpl w:val="1388B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4AA3BB9"/>
    <w:multiLevelType w:val="hybridMultilevel"/>
    <w:tmpl w:val="ED8E1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C980D01"/>
    <w:multiLevelType w:val="hybridMultilevel"/>
    <w:tmpl w:val="C3927140"/>
    <w:lvl w:ilvl="0" w:tplc="0E60BB90">
      <w:start w:val="1"/>
      <w:numFmt w:val="bullet"/>
      <w:pStyle w:val="C-Bullet"/>
      <w:lvlText w:val="·"/>
      <w:lvlJc w:val="left"/>
      <w:pPr>
        <w:tabs>
          <w:tab w:val="num" w:pos="1080"/>
        </w:tabs>
        <w:ind w:left="1080" w:hanging="360"/>
      </w:pPr>
      <w:rPr>
        <w:rFonts w:ascii="Symbol" w:hAnsi="Symbol" w:hint="default"/>
        <w:b w:val="0"/>
        <w:i w:val="0"/>
        <w:caps w:val="0"/>
        <w:strike w:val="0"/>
        <w:dstrike w:val="0"/>
        <w:outline w:val="0"/>
        <w:shadow w:val="0"/>
        <w:emboss w:val="0"/>
        <w:imprint w:val="0"/>
        <w:vanish w:val="0"/>
        <w:sz w:val="24"/>
        <w:u w:val="none"/>
        <w:vertAlign w:val="baseline"/>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5F1735D1"/>
    <w:multiLevelType w:val="hybridMultilevel"/>
    <w:tmpl w:val="10EC8D3C"/>
    <w:lvl w:ilvl="0" w:tplc="AEEC2628">
      <w:start w:val="1"/>
      <w:numFmt w:val="bullet"/>
      <w:pStyle w:val="C-BulletIndented"/>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1BA7336"/>
    <w:multiLevelType w:val="hybridMultilevel"/>
    <w:tmpl w:val="F1F84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F73B8E"/>
    <w:multiLevelType w:val="hybridMultilevel"/>
    <w:tmpl w:val="08646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1035A3"/>
    <w:multiLevelType w:val="hybridMultilevel"/>
    <w:tmpl w:val="EB6E8B28"/>
    <w:lvl w:ilvl="0" w:tplc="464AF2B6">
      <w:start w:val="1"/>
      <w:numFmt w:val="upperLetter"/>
      <w:pStyle w:val="C-Appendix"/>
      <w:lvlText w:val="Appendix %1."/>
      <w:lvlJc w:val="left"/>
      <w:pPr>
        <w:tabs>
          <w:tab w:val="num" w:pos="1987"/>
        </w:tabs>
        <w:ind w:left="1987" w:hanging="198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47324BB"/>
    <w:multiLevelType w:val="hybridMultilevel"/>
    <w:tmpl w:val="FE7ED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64327AF"/>
    <w:multiLevelType w:val="hybridMultilevel"/>
    <w:tmpl w:val="290AC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492565"/>
    <w:multiLevelType w:val="hybridMultilevel"/>
    <w:tmpl w:val="13760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323933"/>
    <w:multiLevelType w:val="singleLevel"/>
    <w:tmpl w:val="D44E2E10"/>
    <w:lvl w:ilvl="0">
      <w:start w:val="1"/>
      <w:numFmt w:val="decimal"/>
      <w:lvlText w:val="%1."/>
      <w:lvlJc w:val="left"/>
      <w:pPr>
        <w:tabs>
          <w:tab w:val="num" w:pos="475"/>
        </w:tabs>
        <w:ind w:left="475" w:hanging="475"/>
      </w:pPr>
      <w:rPr>
        <w:rFonts w:ascii="Times New Roman" w:hAnsi="Times New Roman" w:cs="Times New Roman" w:hint="default"/>
        <w:b w:val="0"/>
        <w:i w:val="0"/>
        <w:sz w:val="22"/>
        <w:szCs w:val="22"/>
      </w:rPr>
    </w:lvl>
  </w:abstractNum>
  <w:num w:numId="1">
    <w:abstractNumId w:val="38"/>
  </w:num>
  <w:num w:numId="2">
    <w:abstractNumId w:val="26"/>
  </w:num>
  <w:num w:numId="3">
    <w:abstractNumId w:val="31"/>
  </w:num>
  <w:num w:numId="4">
    <w:abstractNumId w:val="17"/>
  </w:num>
  <w:num w:numId="5">
    <w:abstractNumId w:val="34"/>
  </w:num>
  <w:num w:numId="6">
    <w:abstractNumId w:val="30"/>
  </w:num>
  <w:num w:numId="7">
    <w:abstractNumId w:val="22"/>
  </w:num>
  <w:num w:numId="8">
    <w:abstractNumId w:val="9"/>
  </w:num>
  <w:num w:numId="9">
    <w:abstractNumId w:val="7"/>
  </w:num>
  <w:num w:numId="10">
    <w:abstractNumId w:val="6"/>
  </w:num>
  <w:num w:numId="11">
    <w:abstractNumId w:val="5"/>
  </w:num>
  <w:num w:numId="12">
    <w:abstractNumId w:val="4"/>
  </w:num>
  <w:num w:numId="13">
    <w:abstractNumId w:val="3"/>
  </w:num>
  <w:num w:numId="14">
    <w:abstractNumId w:val="2"/>
  </w:num>
  <w:num w:numId="15">
    <w:abstractNumId w:val="1"/>
  </w:num>
  <w:num w:numId="16">
    <w:abstractNumId w:val="0"/>
  </w:num>
  <w:num w:numId="17">
    <w:abstractNumId w:val="11"/>
  </w:num>
  <w:num w:numId="18">
    <w:abstractNumId w:val="13"/>
  </w:num>
  <w:num w:numId="19">
    <w:abstractNumId w:val="25"/>
  </w:num>
  <w:num w:numId="20">
    <w:abstractNumId w:val="37"/>
  </w:num>
  <w:num w:numId="21">
    <w:abstractNumId w:val="21"/>
  </w:num>
  <w:num w:numId="22">
    <w:abstractNumId w:val="12"/>
  </w:num>
  <w:num w:numId="23">
    <w:abstractNumId w:val="28"/>
  </w:num>
  <w:num w:numId="24">
    <w:abstractNumId w:val="33"/>
  </w:num>
  <w:num w:numId="25">
    <w:abstractNumId w:val="16"/>
  </w:num>
  <w:num w:numId="26">
    <w:abstractNumId w:val="32"/>
  </w:num>
  <w:num w:numId="27">
    <w:abstractNumId w:val="23"/>
  </w:num>
  <w:num w:numId="28">
    <w:abstractNumId w:val="19"/>
  </w:num>
  <w:num w:numId="29">
    <w:abstractNumId w:val="29"/>
  </w:num>
  <w:num w:numId="30">
    <w:abstractNumId w:val="18"/>
  </w:num>
  <w:num w:numId="31">
    <w:abstractNumId w:val="14"/>
  </w:num>
  <w:num w:numId="32">
    <w:abstractNumId w:val="15"/>
  </w:num>
  <w:num w:numId="33">
    <w:abstractNumId w:val="36"/>
  </w:num>
  <w:num w:numId="34">
    <w:abstractNumId w:val="20"/>
  </w:num>
  <w:num w:numId="35">
    <w:abstractNumId w:val="27"/>
  </w:num>
  <w:num w:numId="36">
    <w:abstractNumId w:val="8"/>
  </w:num>
  <w:num w:numId="37">
    <w:abstractNumId w:val="35"/>
  </w:num>
  <w:num w:numId="38">
    <w:abstractNumId w:val="24"/>
  </w:num>
  <w:num w:numId="39">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8" w:dllVersion="513" w:checkStyle="1"/>
  <w:attachedTemplate r:id="rId1"/>
  <w:stylePaneFormatFilter w:val="3204"/>
  <w:stylePaneSortMethod w:val="0000"/>
  <w:styleLockTheme/>
  <w:styleLockQFSet/>
  <w:defaultTabStop w:val="720"/>
  <w:doNotHyphenateCaps/>
  <w:drawingGridHorizontalSpacing w:val="120"/>
  <w:drawingGridVerticalSpacing w:val="187"/>
  <w:displayHorizontalDrawingGridEvery w:val="0"/>
  <w:doNotShadeFormData/>
  <w:noPunctuationKerning/>
  <w:characterSpacingControl w:val="doNotCompress"/>
  <w:hdrShapeDefaults>
    <o:shapedefaults v:ext="edit" spidmax="27649">
      <o:colormru v:ext="edit" colors="#eaeaea"/>
    </o:shapedefaults>
  </w:hdrShapeDefaults>
  <w:footnotePr>
    <w:numFmt w:val="lowerRoman"/>
    <w:numStart w:val="2"/>
    <w:footnote w:id="0"/>
    <w:footnote w:id="1"/>
  </w:footnotePr>
  <w:endnotePr>
    <w:numFmt w:val="decimal"/>
    <w:endnote w:id="0"/>
    <w:endnote w:id="1"/>
  </w:endnotePr>
  <w:compat/>
  <w:docVars>
    <w:docVar w:name="Active Ingredient" w:val=" "/>
    <w:docVar w:name="Client Name" w:val=" "/>
    <w:docVar w:name="Date of First Observation" w:val=" "/>
    <w:docVar w:name="Date of Last Observation" w:val=" "/>
    <w:docVar w:name="Draft Date" w:val=" "/>
    <w:docVar w:name="IND and/or EudraCT Number:" w:val=" "/>
    <w:docVar w:name="Indication Studied" w:val=" "/>
    <w:docVar w:name="Name of Product" w:val=" "/>
    <w:docVar w:name="Phase of Development" w:val=" "/>
    <w:docVar w:name="Protocol Number" w:val=" "/>
    <w:docVar w:name="Report Type" w:val=" "/>
    <w:docVar w:name="Status" w:val=" "/>
    <w:docVar w:name="Study Design" w:val=" "/>
    <w:docVar w:name="Study Number" w:val=" "/>
    <w:docVar w:name="Study Termination Date" w:val=" "/>
    <w:docVar w:name="Study Title" w:val=" "/>
  </w:docVars>
  <w:rsids>
    <w:rsidRoot w:val="00F8094A"/>
    <w:rsid w:val="00000679"/>
    <w:rsid w:val="0000098B"/>
    <w:rsid w:val="00004505"/>
    <w:rsid w:val="00004D17"/>
    <w:rsid w:val="00005726"/>
    <w:rsid w:val="00005A1A"/>
    <w:rsid w:val="00005BC4"/>
    <w:rsid w:val="000060CD"/>
    <w:rsid w:val="00006DE2"/>
    <w:rsid w:val="000079F8"/>
    <w:rsid w:val="00011487"/>
    <w:rsid w:val="000116BE"/>
    <w:rsid w:val="00014772"/>
    <w:rsid w:val="00014D1D"/>
    <w:rsid w:val="0001664D"/>
    <w:rsid w:val="00017C8C"/>
    <w:rsid w:val="000200D9"/>
    <w:rsid w:val="000217E0"/>
    <w:rsid w:val="00022B29"/>
    <w:rsid w:val="00023266"/>
    <w:rsid w:val="0002561E"/>
    <w:rsid w:val="00025817"/>
    <w:rsid w:val="00025B52"/>
    <w:rsid w:val="00027D2A"/>
    <w:rsid w:val="00030C63"/>
    <w:rsid w:val="00033280"/>
    <w:rsid w:val="00034C91"/>
    <w:rsid w:val="00034F99"/>
    <w:rsid w:val="00040A96"/>
    <w:rsid w:val="0004122D"/>
    <w:rsid w:val="0004328B"/>
    <w:rsid w:val="0004645F"/>
    <w:rsid w:val="00047108"/>
    <w:rsid w:val="00047496"/>
    <w:rsid w:val="00051221"/>
    <w:rsid w:val="00053A31"/>
    <w:rsid w:val="00053DD1"/>
    <w:rsid w:val="00057AB0"/>
    <w:rsid w:val="00057C48"/>
    <w:rsid w:val="000604AD"/>
    <w:rsid w:val="00060CA1"/>
    <w:rsid w:val="0006702D"/>
    <w:rsid w:val="00067778"/>
    <w:rsid w:val="00070750"/>
    <w:rsid w:val="00071709"/>
    <w:rsid w:val="0007264D"/>
    <w:rsid w:val="00073528"/>
    <w:rsid w:val="00084CA6"/>
    <w:rsid w:val="000864D6"/>
    <w:rsid w:val="000867A3"/>
    <w:rsid w:val="0009132F"/>
    <w:rsid w:val="00092ACA"/>
    <w:rsid w:val="000930BD"/>
    <w:rsid w:val="00094764"/>
    <w:rsid w:val="00095E42"/>
    <w:rsid w:val="000960CE"/>
    <w:rsid w:val="000A0AEE"/>
    <w:rsid w:val="000A3149"/>
    <w:rsid w:val="000A38FB"/>
    <w:rsid w:val="000A4DBA"/>
    <w:rsid w:val="000B4491"/>
    <w:rsid w:val="000B4EB2"/>
    <w:rsid w:val="000B56C6"/>
    <w:rsid w:val="000B61C5"/>
    <w:rsid w:val="000B6B7D"/>
    <w:rsid w:val="000C2FD4"/>
    <w:rsid w:val="000C485A"/>
    <w:rsid w:val="000C5769"/>
    <w:rsid w:val="000C580F"/>
    <w:rsid w:val="000C6244"/>
    <w:rsid w:val="000C6BB1"/>
    <w:rsid w:val="000C7EC3"/>
    <w:rsid w:val="000D0451"/>
    <w:rsid w:val="000D05E5"/>
    <w:rsid w:val="000D0A19"/>
    <w:rsid w:val="000D1EAC"/>
    <w:rsid w:val="000D414A"/>
    <w:rsid w:val="000D48A0"/>
    <w:rsid w:val="000D4B1C"/>
    <w:rsid w:val="000D6105"/>
    <w:rsid w:val="000E01D1"/>
    <w:rsid w:val="000E259E"/>
    <w:rsid w:val="000E2CD9"/>
    <w:rsid w:val="000E2CFB"/>
    <w:rsid w:val="000F04DD"/>
    <w:rsid w:val="000F0693"/>
    <w:rsid w:val="000F19DE"/>
    <w:rsid w:val="000F2384"/>
    <w:rsid w:val="000F2C8C"/>
    <w:rsid w:val="000F6FAD"/>
    <w:rsid w:val="0010020C"/>
    <w:rsid w:val="00101462"/>
    <w:rsid w:val="00102169"/>
    <w:rsid w:val="00102CB8"/>
    <w:rsid w:val="00102FEE"/>
    <w:rsid w:val="001030A6"/>
    <w:rsid w:val="00104206"/>
    <w:rsid w:val="00104867"/>
    <w:rsid w:val="00104B82"/>
    <w:rsid w:val="00105773"/>
    <w:rsid w:val="00110ED0"/>
    <w:rsid w:val="001158E2"/>
    <w:rsid w:val="0011606F"/>
    <w:rsid w:val="00116761"/>
    <w:rsid w:val="00122F37"/>
    <w:rsid w:val="00123967"/>
    <w:rsid w:val="00125464"/>
    <w:rsid w:val="00126006"/>
    <w:rsid w:val="00126975"/>
    <w:rsid w:val="00126BB7"/>
    <w:rsid w:val="00130294"/>
    <w:rsid w:val="00132406"/>
    <w:rsid w:val="001345B4"/>
    <w:rsid w:val="001352DC"/>
    <w:rsid w:val="00135CA3"/>
    <w:rsid w:val="0013677E"/>
    <w:rsid w:val="00140E7C"/>
    <w:rsid w:val="00140FB2"/>
    <w:rsid w:val="00142EDA"/>
    <w:rsid w:val="00142F17"/>
    <w:rsid w:val="00143C28"/>
    <w:rsid w:val="0014655A"/>
    <w:rsid w:val="00147C66"/>
    <w:rsid w:val="00151978"/>
    <w:rsid w:val="00152389"/>
    <w:rsid w:val="00154103"/>
    <w:rsid w:val="001549EB"/>
    <w:rsid w:val="00160A3D"/>
    <w:rsid w:val="0016288C"/>
    <w:rsid w:val="00162EA7"/>
    <w:rsid w:val="0016391D"/>
    <w:rsid w:val="00164DC3"/>
    <w:rsid w:val="001658E2"/>
    <w:rsid w:val="001674D1"/>
    <w:rsid w:val="00167F3C"/>
    <w:rsid w:val="001702A8"/>
    <w:rsid w:val="001704DC"/>
    <w:rsid w:val="0017373C"/>
    <w:rsid w:val="00175A2B"/>
    <w:rsid w:val="00175D05"/>
    <w:rsid w:val="00176233"/>
    <w:rsid w:val="0017637C"/>
    <w:rsid w:val="00181141"/>
    <w:rsid w:val="00181CC6"/>
    <w:rsid w:val="001838D4"/>
    <w:rsid w:val="001848B7"/>
    <w:rsid w:val="00184985"/>
    <w:rsid w:val="00185B0C"/>
    <w:rsid w:val="0018698B"/>
    <w:rsid w:val="00186DC1"/>
    <w:rsid w:val="00193040"/>
    <w:rsid w:val="00193E16"/>
    <w:rsid w:val="001949E3"/>
    <w:rsid w:val="00196055"/>
    <w:rsid w:val="00197CF9"/>
    <w:rsid w:val="001A0E48"/>
    <w:rsid w:val="001A2676"/>
    <w:rsid w:val="001A31F8"/>
    <w:rsid w:val="001A3668"/>
    <w:rsid w:val="001A384E"/>
    <w:rsid w:val="001A4062"/>
    <w:rsid w:val="001A40D9"/>
    <w:rsid w:val="001A427D"/>
    <w:rsid w:val="001A549A"/>
    <w:rsid w:val="001A6392"/>
    <w:rsid w:val="001B00DC"/>
    <w:rsid w:val="001B2C93"/>
    <w:rsid w:val="001B336F"/>
    <w:rsid w:val="001B4329"/>
    <w:rsid w:val="001B44C1"/>
    <w:rsid w:val="001B6698"/>
    <w:rsid w:val="001C0123"/>
    <w:rsid w:val="001C06C6"/>
    <w:rsid w:val="001C1901"/>
    <w:rsid w:val="001C2A33"/>
    <w:rsid w:val="001C34F6"/>
    <w:rsid w:val="001C44A1"/>
    <w:rsid w:val="001C5202"/>
    <w:rsid w:val="001C5866"/>
    <w:rsid w:val="001C70A6"/>
    <w:rsid w:val="001C711B"/>
    <w:rsid w:val="001D309C"/>
    <w:rsid w:val="001D4A47"/>
    <w:rsid w:val="001D50F0"/>
    <w:rsid w:val="001D7727"/>
    <w:rsid w:val="001E028F"/>
    <w:rsid w:val="001E48D2"/>
    <w:rsid w:val="001E4975"/>
    <w:rsid w:val="001E5B52"/>
    <w:rsid w:val="001E5FBA"/>
    <w:rsid w:val="001E67A2"/>
    <w:rsid w:val="001F248E"/>
    <w:rsid w:val="001F282F"/>
    <w:rsid w:val="001F28E1"/>
    <w:rsid w:val="001F2C40"/>
    <w:rsid w:val="001F4B1B"/>
    <w:rsid w:val="001F6188"/>
    <w:rsid w:val="001F68A5"/>
    <w:rsid w:val="001F7062"/>
    <w:rsid w:val="001F7E7C"/>
    <w:rsid w:val="002008FE"/>
    <w:rsid w:val="00200E8B"/>
    <w:rsid w:val="002011FE"/>
    <w:rsid w:val="00210831"/>
    <w:rsid w:val="0021090B"/>
    <w:rsid w:val="00212F0A"/>
    <w:rsid w:val="00213E18"/>
    <w:rsid w:val="00215166"/>
    <w:rsid w:val="002210E3"/>
    <w:rsid w:val="00221231"/>
    <w:rsid w:val="00221CBF"/>
    <w:rsid w:val="00221EFE"/>
    <w:rsid w:val="00222607"/>
    <w:rsid w:val="00222678"/>
    <w:rsid w:val="00223119"/>
    <w:rsid w:val="00224322"/>
    <w:rsid w:val="00224E20"/>
    <w:rsid w:val="00226049"/>
    <w:rsid w:val="002328F7"/>
    <w:rsid w:val="00237E6A"/>
    <w:rsid w:val="00241A40"/>
    <w:rsid w:val="002422B3"/>
    <w:rsid w:val="002433D3"/>
    <w:rsid w:val="002435B0"/>
    <w:rsid w:val="00243BE5"/>
    <w:rsid w:val="002452BC"/>
    <w:rsid w:val="0025183A"/>
    <w:rsid w:val="0025264D"/>
    <w:rsid w:val="002526C9"/>
    <w:rsid w:val="002530F6"/>
    <w:rsid w:val="00254298"/>
    <w:rsid w:val="0026182A"/>
    <w:rsid w:val="002625F3"/>
    <w:rsid w:val="00262D3E"/>
    <w:rsid w:val="00265210"/>
    <w:rsid w:val="00270169"/>
    <w:rsid w:val="002712F6"/>
    <w:rsid w:val="00271EB3"/>
    <w:rsid w:val="002728C8"/>
    <w:rsid w:val="00273FC5"/>
    <w:rsid w:val="00275B08"/>
    <w:rsid w:val="00276920"/>
    <w:rsid w:val="00280089"/>
    <w:rsid w:val="002804A6"/>
    <w:rsid w:val="002820D6"/>
    <w:rsid w:val="00282AD7"/>
    <w:rsid w:val="002831C2"/>
    <w:rsid w:val="00283472"/>
    <w:rsid w:val="00284444"/>
    <w:rsid w:val="002846A3"/>
    <w:rsid w:val="00285D35"/>
    <w:rsid w:val="00286E98"/>
    <w:rsid w:val="00290472"/>
    <w:rsid w:val="00290869"/>
    <w:rsid w:val="00290D35"/>
    <w:rsid w:val="00290D46"/>
    <w:rsid w:val="002937CC"/>
    <w:rsid w:val="00296446"/>
    <w:rsid w:val="0029675E"/>
    <w:rsid w:val="00296D96"/>
    <w:rsid w:val="0029780D"/>
    <w:rsid w:val="002A00A3"/>
    <w:rsid w:val="002A03C4"/>
    <w:rsid w:val="002A138F"/>
    <w:rsid w:val="002A3756"/>
    <w:rsid w:val="002A376F"/>
    <w:rsid w:val="002A3D98"/>
    <w:rsid w:val="002A425F"/>
    <w:rsid w:val="002B11A3"/>
    <w:rsid w:val="002B1B61"/>
    <w:rsid w:val="002B1DD7"/>
    <w:rsid w:val="002C0138"/>
    <w:rsid w:val="002C1753"/>
    <w:rsid w:val="002C1B5D"/>
    <w:rsid w:val="002C2D42"/>
    <w:rsid w:val="002C4CF9"/>
    <w:rsid w:val="002C5F03"/>
    <w:rsid w:val="002D0084"/>
    <w:rsid w:val="002D0967"/>
    <w:rsid w:val="002D18F8"/>
    <w:rsid w:val="002D1BE4"/>
    <w:rsid w:val="002D27F6"/>
    <w:rsid w:val="002D2B3C"/>
    <w:rsid w:val="002D426A"/>
    <w:rsid w:val="002D4285"/>
    <w:rsid w:val="002D48F1"/>
    <w:rsid w:val="002D6616"/>
    <w:rsid w:val="002E0C84"/>
    <w:rsid w:val="002E1212"/>
    <w:rsid w:val="002E1A9E"/>
    <w:rsid w:val="002E3A81"/>
    <w:rsid w:val="002E4ADA"/>
    <w:rsid w:val="002E5086"/>
    <w:rsid w:val="002E7587"/>
    <w:rsid w:val="002E771C"/>
    <w:rsid w:val="002E7C71"/>
    <w:rsid w:val="002F038B"/>
    <w:rsid w:val="002F27C2"/>
    <w:rsid w:val="002F47DA"/>
    <w:rsid w:val="002F658E"/>
    <w:rsid w:val="002F7196"/>
    <w:rsid w:val="002F732A"/>
    <w:rsid w:val="00301355"/>
    <w:rsid w:val="003022D4"/>
    <w:rsid w:val="00303A04"/>
    <w:rsid w:val="00303B57"/>
    <w:rsid w:val="003041D7"/>
    <w:rsid w:val="00304CAF"/>
    <w:rsid w:val="00306553"/>
    <w:rsid w:val="00307B13"/>
    <w:rsid w:val="00307CDA"/>
    <w:rsid w:val="003104BA"/>
    <w:rsid w:val="00310625"/>
    <w:rsid w:val="003127D1"/>
    <w:rsid w:val="0031280B"/>
    <w:rsid w:val="0031459C"/>
    <w:rsid w:val="003145CC"/>
    <w:rsid w:val="00314F5F"/>
    <w:rsid w:val="0031553F"/>
    <w:rsid w:val="00322A01"/>
    <w:rsid w:val="0032308D"/>
    <w:rsid w:val="003230C0"/>
    <w:rsid w:val="00325004"/>
    <w:rsid w:val="00326B15"/>
    <w:rsid w:val="0032799F"/>
    <w:rsid w:val="00330764"/>
    <w:rsid w:val="00332382"/>
    <w:rsid w:val="00332CFC"/>
    <w:rsid w:val="003349BD"/>
    <w:rsid w:val="003365FF"/>
    <w:rsid w:val="0033726D"/>
    <w:rsid w:val="0033756C"/>
    <w:rsid w:val="00337643"/>
    <w:rsid w:val="00340942"/>
    <w:rsid w:val="00343245"/>
    <w:rsid w:val="003444DB"/>
    <w:rsid w:val="003446D6"/>
    <w:rsid w:val="00344F4A"/>
    <w:rsid w:val="003453DC"/>
    <w:rsid w:val="00346D53"/>
    <w:rsid w:val="0034778E"/>
    <w:rsid w:val="00347978"/>
    <w:rsid w:val="0034799C"/>
    <w:rsid w:val="00351214"/>
    <w:rsid w:val="003527C7"/>
    <w:rsid w:val="003530CD"/>
    <w:rsid w:val="00354EC8"/>
    <w:rsid w:val="00356274"/>
    <w:rsid w:val="0036002B"/>
    <w:rsid w:val="003603FF"/>
    <w:rsid w:val="003610D7"/>
    <w:rsid w:val="003651F9"/>
    <w:rsid w:val="0037028C"/>
    <w:rsid w:val="0037052D"/>
    <w:rsid w:val="00371475"/>
    <w:rsid w:val="00371D5A"/>
    <w:rsid w:val="00372C70"/>
    <w:rsid w:val="00373E56"/>
    <w:rsid w:val="00373F37"/>
    <w:rsid w:val="003762C2"/>
    <w:rsid w:val="00376966"/>
    <w:rsid w:val="00376A9B"/>
    <w:rsid w:val="0038212A"/>
    <w:rsid w:val="003826AF"/>
    <w:rsid w:val="00386B7D"/>
    <w:rsid w:val="0038727F"/>
    <w:rsid w:val="003909A7"/>
    <w:rsid w:val="00392073"/>
    <w:rsid w:val="003925E4"/>
    <w:rsid w:val="00392B46"/>
    <w:rsid w:val="00394D80"/>
    <w:rsid w:val="0039786E"/>
    <w:rsid w:val="003A102D"/>
    <w:rsid w:val="003A2E4D"/>
    <w:rsid w:val="003A527E"/>
    <w:rsid w:val="003A5617"/>
    <w:rsid w:val="003A7130"/>
    <w:rsid w:val="003B01B0"/>
    <w:rsid w:val="003B1EE2"/>
    <w:rsid w:val="003B1F0A"/>
    <w:rsid w:val="003B24D2"/>
    <w:rsid w:val="003B27C5"/>
    <w:rsid w:val="003B30EA"/>
    <w:rsid w:val="003B42C6"/>
    <w:rsid w:val="003B519B"/>
    <w:rsid w:val="003B5D61"/>
    <w:rsid w:val="003B644C"/>
    <w:rsid w:val="003B6CD2"/>
    <w:rsid w:val="003B7443"/>
    <w:rsid w:val="003C1164"/>
    <w:rsid w:val="003C2713"/>
    <w:rsid w:val="003C4212"/>
    <w:rsid w:val="003C4DEE"/>
    <w:rsid w:val="003C5590"/>
    <w:rsid w:val="003C5AEF"/>
    <w:rsid w:val="003D5945"/>
    <w:rsid w:val="003D5C22"/>
    <w:rsid w:val="003D5DF9"/>
    <w:rsid w:val="003D7574"/>
    <w:rsid w:val="003D7932"/>
    <w:rsid w:val="003E205D"/>
    <w:rsid w:val="003E2110"/>
    <w:rsid w:val="003E21E8"/>
    <w:rsid w:val="003E2AC3"/>
    <w:rsid w:val="003E403E"/>
    <w:rsid w:val="003E6FD8"/>
    <w:rsid w:val="003F1665"/>
    <w:rsid w:val="003F28C1"/>
    <w:rsid w:val="003F4117"/>
    <w:rsid w:val="00401A8C"/>
    <w:rsid w:val="004027FE"/>
    <w:rsid w:val="00403531"/>
    <w:rsid w:val="0040397D"/>
    <w:rsid w:val="00406A37"/>
    <w:rsid w:val="00407D34"/>
    <w:rsid w:val="0041365D"/>
    <w:rsid w:val="0041368C"/>
    <w:rsid w:val="00414149"/>
    <w:rsid w:val="00414B9E"/>
    <w:rsid w:val="004170A9"/>
    <w:rsid w:val="0042188A"/>
    <w:rsid w:val="00426B4C"/>
    <w:rsid w:val="00426C33"/>
    <w:rsid w:val="00431025"/>
    <w:rsid w:val="00431049"/>
    <w:rsid w:val="00431D1B"/>
    <w:rsid w:val="004347DA"/>
    <w:rsid w:val="00437C52"/>
    <w:rsid w:val="0044060F"/>
    <w:rsid w:val="00440E60"/>
    <w:rsid w:val="004444F4"/>
    <w:rsid w:val="00445D17"/>
    <w:rsid w:val="00450807"/>
    <w:rsid w:val="00452CE4"/>
    <w:rsid w:val="00457C5B"/>
    <w:rsid w:val="004601D2"/>
    <w:rsid w:val="00462A80"/>
    <w:rsid w:val="00465FE8"/>
    <w:rsid w:val="004670A0"/>
    <w:rsid w:val="00471E81"/>
    <w:rsid w:val="0047258B"/>
    <w:rsid w:val="00474295"/>
    <w:rsid w:val="004757A1"/>
    <w:rsid w:val="00477A45"/>
    <w:rsid w:val="004826D3"/>
    <w:rsid w:val="00482E0A"/>
    <w:rsid w:val="00484469"/>
    <w:rsid w:val="00487A76"/>
    <w:rsid w:val="00487BBE"/>
    <w:rsid w:val="00490864"/>
    <w:rsid w:val="00492FF5"/>
    <w:rsid w:val="00493391"/>
    <w:rsid w:val="00495CA0"/>
    <w:rsid w:val="0049777F"/>
    <w:rsid w:val="004A23AD"/>
    <w:rsid w:val="004A3E90"/>
    <w:rsid w:val="004A563E"/>
    <w:rsid w:val="004A7722"/>
    <w:rsid w:val="004A7851"/>
    <w:rsid w:val="004B19D9"/>
    <w:rsid w:val="004B4EEB"/>
    <w:rsid w:val="004B58CB"/>
    <w:rsid w:val="004B6902"/>
    <w:rsid w:val="004B7D2B"/>
    <w:rsid w:val="004C1E46"/>
    <w:rsid w:val="004C2668"/>
    <w:rsid w:val="004C3D43"/>
    <w:rsid w:val="004C458F"/>
    <w:rsid w:val="004C4B5C"/>
    <w:rsid w:val="004C519F"/>
    <w:rsid w:val="004C5D1C"/>
    <w:rsid w:val="004D17BB"/>
    <w:rsid w:val="004D2447"/>
    <w:rsid w:val="004D2AE7"/>
    <w:rsid w:val="004D41CC"/>
    <w:rsid w:val="004D4395"/>
    <w:rsid w:val="004D69D8"/>
    <w:rsid w:val="004D7075"/>
    <w:rsid w:val="004D7F69"/>
    <w:rsid w:val="004E219C"/>
    <w:rsid w:val="004E224D"/>
    <w:rsid w:val="004E3A1C"/>
    <w:rsid w:val="004E3A74"/>
    <w:rsid w:val="004E3D95"/>
    <w:rsid w:val="004E3F57"/>
    <w:rsid w:val="004E4790"/>
    <w:rsid w:val="004E4E80"/>
    <w:rsid w:val="004E5F53"/>
    <w:rsid w:val="004E6321"/>
    <w:rsid w:val="004E6D21"/>
    <w:rsid w:val="004F5072"/>
    <w:rsid w:val="004F7B1E"/>
    <w:rsid w:val="00501319"/>
    <w:rsid w:val="00501CE9"/>
    <w:rsid w:val="005057CE"/>
    <w:rsid w:val="00505D96"/>
    <w:rsid w:val="00506CC1"/>
    <w:rsid w:val="005078B4"/>
    <w:rsid w:val="005078D9"/>
    <w:rsid w:val="00507A82"/>
    <w:rsid w:val="00507E76"/>
    <w:rsid w:val="00510665"/>
    <w:rsid w:val="00512081"/>
    <w:rsid w:val="005136C5"/>
    <w:rsid w:val="005141B1"/>
    <w:rsid w:val="0051504D"/>
    <w:rsid w:val="00516576"/>
    <w:rsid w:val="00517587"/>
    <w:rsid w:val="00517FB4"/>
    <w:rsid w:val="00523C49"/>
    <w:rsid w:val="00524985"/>
    <w:rsid w:val="00524B52"/>
    <w:rsid w:val="0052636B"/>
    <w:rsid w:val="005266A2"/>
    <w:rsid w:val="00527E1B"/>
    <w:rsid w:val="00530241"/>
    <w:rsid w:val="00530AA8"/>
    <w:rsid w:val="00532CC4"/>
    <w:rsid w:val="00533F62"/>
    <w:rsid w:val="0053450C"/>
    <w:rsid w:val="00534B06"/>
    <w:rsid w:val="00536296"/>
    <w:rsid w:val="0053762D"/>
    <w:rsid w:val="00544933"/>
    <w:rsid w:val="00546365"/>
    <w:rsid w:val="00550B0B"/>
    <w:rsid w:val="00550B87"/>
    <w:rsid w:val="0055120F"/>
    <w:rsid w:val="00551C18"/>
    <w:rsid w:val="00553DEF"/>
    <w:rsid w:val="00556A9B"/>
    <w:rsid w:val="00557A21"/>
    <w:rsid w:val="00561233"/>
    <w:rsid w:val="00561858"/>
    <w:rsid w:val="0056210E"/>
    <w:rsid w:val="00562415"/>
    <w:rsid w:val="00562858"/>
    <w:rsid w:val="005644BF"/>
    <w:rsid w:val="00564FA4"/>
    <w:rsid w:val="00565A01"/>
    <w:rsid w:val="005669E0"/>
    <w:rsid w:val="00567526"/>
    <w:rsid w:val="00567A35"/>
    <w:rsid w:val="0057068F"/>
    <w:rsid w:val="00570BB3"/>
    <w:rsid w:val="00570ECE"/>
    <w:rsid w:val="00573D14"/>
    <w:rsid w:val="00575482"/>
    <w:rsid w:val="0057624B"/>
    <w:rsid w:val="00576FA8"/>
    <w:rsid w:val="00577E0A"/>
    <w:rsid w:val="0058039D"/>
    <w:rsid w:val="00583BE5"/>
    <w:rsid w:val="005841B9"/>
    <w:rsid w:val="005848B4"/>
    <w:rsid w:val="0058544F"/>
    <w:rsid w:val="00586A47"/>
    <w:rsid w:val="00586D93"/>
    <w:rsid w:val="00587192"/>
    <w:rsid w:val="00590520"/>
    <w:rsid w:val="00590CB6"/>
    <w:rsid w:val="00592949"/>
    <w:rsid w:val="005A1E54"/>
    <w:rsid w:val="005A390A"/>
    <w:rsid w:val="005A4246"/>
    <w:rsid w:val="005A5804"/>
    <w:rsid w:val="005A61C2"/>
    <w:rsid w:val="005B1AC3"/>
    <w:rsid w:val="005B33E3"/>
    <w:rsid w:val="005B3892"/>
    <w:rsid w:val="005B3B71"/>
    <w:rsid w:val="005B4501"/>
    <w:rsid w:val="005B457D"/>
    <w:rsid w:val="005B4591"/>
    <w:rsid w:val="005B677E"/>
    <w:rsid w:val="005C0F71"/>
    <w:rsid w:val="005C382D"/>
    <w:rsid w:val="005C40A9"/>
    <w:rsid w:val="005C4EB7"/>
    <w:rsid w:val="005C5153"/>
    <w:rsid w:val="005C6499"/>
    <w:rsid w:val="005C6BB6"/>
    <w:rsid w:val="005C73D9"/>
    <w:rsid w:val="005C7454"/>
    <w:rsid w:val="005D090B"/>
    <w:rsid w:val="005D1BE2"/>
    <w:rsid w:val="005D40DC"/>
    <w:rsid w:val="005D4906"/>
    <w:rsid w:val="005D5012"/>
    <w:rsid w:val="005D6B19"/>
    <w:rsid w:val="005D772A"/>
    <w:rsid w:val="005E10B6"/>
    <w:rsid w:val="005E4BF9"/>
    <w:rsid w:val="005E4CA5"/>
    <w:rsid w:val="005E5430"/>
    <w:rsid w:val="005E653A"/>
    <w:rsid w:val="005F291F"/>
    <w:rsid w:val="005F30FA"/>
    <w:rsid w:val="006021A2"/>
    <w:rsid w:val="0060323A"/>
    <w:rsid w:val="00605181"/>
    <w:rsid w:val="00605475"/>
    <w:rsid w:val="00606098"/>
    <w:rsid w:val="006100E9"/>
    <w:rsid w:val="00615972"/>
    <w:rsid w:val="00615A69"/>
    <w:rsid w:val="006177EB"/>
    <w:rsid w:val="00621658"/>
    <w:rsid w:val="0062223E"/>
    <w:rsid w:val="0062297D"/>
    <w:rsid w:val="006230E2"/>
    <w:rsid w:val="006234EE"/>
    <w:rsid w:val="00623BEB"/>
    <w:rsid w:val="006267D5"/>
    <w:rsid w:val="00631279"/>
    <w:rsid w:val="006314DD"/>
    <w:rsid w:val="00631FE6"/>
    <w:rsid w:val="00632A0E"/>
    <w:rsid w:val="00633960"/>
    <w:rsid w:val="00634B9D"/>
    <w:rsid w:val="006358BE"/>
    <w:rsid w:val="00637A95"/>
    <w:rsid w:val="006429F9"/>
    <w:rsid w:val="006440A9"/>
    <w:rsid w:val="00650A8F"/>
    <w:rsid w:val="00650BDF"/>
    <w:rsid w:val="00650E5A"/>
    <w:rsid w:val="00651048"/>
    <w:rsid w:val="006528FE"/>
    <w:rsid w:val="00652935"/>
    <w:rsid w:val="006531C8"/>
    <w:rsid w:val="006622CB"/>
    <w:rsid w:val="006641F6"/>
    <w:rsid w:val="00667095"/>
    <w:rsid w:val="0067365E"/>
    <w:rsid w:val="00673E71"/>
    <w:rsid w:val="00680966"/>
    <w:rsid w:val="0068225F"/>
    <w:rsid w:val="0068237C"/>
    <w:rsid w:val="00682E26"/>
    <w:rsid w:val="006831FC"/>
    <w:rsid w:val="00684C89"/>
    <w:rsid w:val="006863E1"/>
    <w:rsid w:val="00687B35"/>
    <w:rsid w:val="0069193C"/>
    <w:rsid w:val="00691CC4"/>
    <w:rsid w:val="0069294D"/>
    <w:rsid w:val="00692A61"/>
    <w:rsid w:val="006945CA"/>
    <w:rsid w:val="0069615E"/>
    <w:rsid w:val="00697E3F"/>
    <w:rsid w:val="006A0AE4"/>
    <w:rsid w:val="006A3B1C"/>
    <w:rsid w:val="006A414B"/>
    <w:rsid w:val="006A4761"/>
    <w:rsid w:val="006A4AC3"/>
    <w:rsid w:val="006A4DF1"/>
    <w:rsid w:val="006A5541"/>
    <w:rsid w:val="006A7F3E"/>
    <w:rsid w:val="006B16B7"/>
    <w:rsid w:val="006B32E5"/>
    <w:rsid w:val="006B3957"/>
    <w:rsid w:val="006B514A"/>
    <w:rsid w:val="006B5881"/>
    <w:rsid w:val="006C0B1B"/>
    <w:rsid w:val="006C1A0F"/>
    <w:rsid w:val="006D0918"/>
    <w:rsid w:val="006D35C0"/>
    <w:rsid w:val="006D4339"/>
    <w:rsid w:val="006D55EE"/>
    <w:rsid w:val="006D7442"/>
    <w:rsid w:val="006D7CBF"/>
    <w:rsid w:val="006E0765"/>
    <w:rsid w:val="006E1496"/>
    <w:rsid w:val="006E48B8"/>
    <w:rsid w:val="006E542A"/>
    <w:rsid w:val="006E5523"/>
    <w:rsid w:val="006E59C9"/>
    <w:rsid w:val="006E5C1F"/>
    <w:rsid w:val="006E65C0"/>
    <w:rsid w:val="006E6B7D"/>
    <w:rsid w:val="006F046A"/>
    <w:rsid w:val="006F27FF"/>
    <w:rsid w:val="006F2DDB"/>
    <w:rsid w:val="006F4F1D"/>
    <w:rsid w:val="006F52C0"/>
    <w:rsid w:val="00702116"/>
    <w:rsid w:val="0070395B"/>
    <w:rsid w:val="007048C8"/>
    <w:rsid w:val="00710CF5"/>
    <w:rsid w:val="0071149A"/>
    <w:rsid w:val="00714C1D"/>
    <w:rsid w:val="00721822"/>
    <w:rsid w:val="00721DA3"/>
    <w:rsid w:val="0072350A"/>
    <w:rsid w:val="00724BAA"/>
    <w:rsid w:val="00725533"/>
    <w:rsid w:val="00727795"/>
    <w:rsid w:val="00732B60"/>
    <w:rsid w:val="00737C7B"/>
    <w:rsid w:val="00737CE3"/>
    <w:rsid w:val="00740669"/>
    <w:rsid w:val="00740828"/>
    <w:rsid w:val="007462E5"/>
    <w:rsid w:val="0075004D"/>
    <w:rsid w:val="00750B65"/>
    <w:rsid w:val="00751625"/>
    <w:rsid w:val="007528CF"/>
    <w:rsid w:val="00753829"/>
    <w:rsid w:val="0075558D"/>
    <w:rsid w:val="00755770"/>
    <w:rsid w:val="00757997"/>
    <w:rsid w:val="00760576"/>
    <w:rsid w:val="007630EE"/>
    <w:rsid w:val="00763216"/>
    <w:rsid w:val="00763229"/>
    <w:rsid w:val="0076463C"/>
    <w:rsid w:val="0076529B"/>
    <w:rsid w:val="0076579F"/>
    <w:rsid w:val="0076681E"/>
    <w:rsid w:val="007676AE"/>
    <w:rsid w:val="00770AFB"/>
    <w:rsid w:val="00771047"/>
    <w:rsid w:val="00772471"/>
    <w:rsid w:val="00773F17"/>
    <w:rsid w:val="007747E6"/>
    <w:rsid w:val="0077555E"/>
    <w:rsid w:val="00775929"/>
    <w:rsid w:val="00776366"/>
    <w:rsid w:val="00780600"/>
    <w:rsid w:val="00781538"/>
    <w:rsid w:val="00781880"/>
    <w:rsid w:val="00781A91"/>
    <w:rsid w:val="00781C75"/>
    <w:rsid w:val="007824C7"/>
    <w:rsid w:val="00785D4C"/>
    <w:rsid w:val="00787F08"/>
    <w:rsid w:val="00790FC0"/>
    <w:rsid w:val="00793A8B"/>
    <w:rsid w:val="0079624A"/>
    <w:rsid w:val="007969EF"/>
    <w:rsid w:val="00797B16"/>
    <w:rsid w:val="007A08C4"/>
    <w:rsid w:val="007A0AAC"/>
    <w:rsid w:val="007A10C5"/>
    <w:rsid w:val="007A17E8"/>
    <w:rsid w:val="007A29A7"/>
    <w:rsid w:val="007A29C9"/>
    <w:rsid w:val="007A4291"/>
    <w:rsid w:val="007A5284"/>
    <w:rsid w:val="007A7BEC"/>
    <w:rsid w:val="007B2E2B"/>
    <w:rsid w:val="007B696E"/>
    <w:rsid w:val="007B7A67"/>
    <w:rsid w:val="007C0693"/>
    <w:rsid w:val="007C3223"/>
    <w:rsid w:val="007C4245"/>
    <w:rsid w:val="007C5035"/>
    <w:rsid w:val="007C5393"/>
    <w:rsid w:val="007C70FB"/>
    <w:rsid w:val="007C7F95"/>
    <w:rsid w:val="007D1831"/>
    <w:rsid w:val="007D2A11"/>
    <w:rsid w:val="007D4578"/>
    <w:rsid w:val="007D4D91"/>
    <w:rsid w:val="007D5759"/>
    <w:rsid w:val="007D6269"/>
    <w:rsid w:val="007D64F0"/>
    <w:rsid w:val="007D67D7"/>
    <w:rsid w:val="007E058A"/>
    <w:rsid w:val="007E19DF"/>
    <w:rsid w:val="007E2A57"/>
    <w:rsid w:val="007E4C69"/>
    <w:rsid w:val="007E6D95"/>
    <w:rsid w:val="007E7540"/>
    <w:rsid w:val="007E7BFE"/>
    <w:rsid w:val="007F0071"/>
    <w:rsid w:val="007F0498"/>
    <w:rsid w:val="007F1EB7"/>
    <w:rsid w:val="007F267A"/>
    <w:rsid w:val="007F3579"/>
    <w:rsid w:val="007F7B25"/>
    <w:rsid w:val="00800B5C"/>
    <w:rsid w:val="00801A6B"/>
    <w:rsid w:val="008041BE"/>
    <w:rsid w:val="0080745A"/>
    <w:rsid w:val="008143AE"/>
    <w:rsid w:val="0081606C"/>
    <w:rsid w:val="0081663C"/>
    <w:rsid w:val="00816755"/>
    <w:rsid w:val="00821E47"/>
    <w:rsid w:val="00823E83"/>
    <w:rsid w:val="00824447"/>
    <w:rsid w:val="00825AAC"/>
    <w:rsid w:val="00825F09"/>
    <w:rsid w:val="00827DCC"/>
    <w:rsid w:val="008347DA"/>
    <w:rsid w:val="008371B2"/>
    <w:rsid w:val="0083766B"/>
    <w:rsid w:val="00837F79"/>
    <w:rsid w:val="00837FB2"/>
    <w:rsid w:val="00842681"/>
    <w:rsid w:val="00843827"/>
    <w:rsid w:val="00843BEF"/>
    <w:rsid w:val="00843D19"/>
    <w:rsid w:val="008447D7"/>
    <w:rsid w:val="00844AD8"/>
    <w:rsid w:val="00844BC6"/>
    <w:rsid w:val="00844EA5"/>
    <w:rsid w:val="00846E58"/>
    <w:rsid w:val="008476E1"/>
    <w:rsid w:val="00851826"/>
    <w:rsid w:val="00851D10"/>
    <w:rsid w:val="00853163"/>
    <w:rsid w:val="008535E7"/>
    <w:rsid w:val="008630F1"/>
    <w:rsid w:val="00863754"/>
    <w:rsid w:val="00863A50"/>
    <w:rsid w:val="00866299"/>
    <w:rsid w:val="00871DDD"/>
    <w:rsid w:val="0087221D"/>
    <w:rsid w:val="008724D5"/>
    <w:rsid w:val="00873A23"/>
    <w:rsid w:val="00875845"/>
    <w:rsid w:val="008827AB"/>
    <w:rsid w:val="008830A8"/>
    <w:rsid w:val="008837FB"/>
    <w:rsid w:val="0088630D"/>
    <w:rsid w:val="008869DC"/>
    <w:rsid w:val="008877E2"/>
    <w:rsid w:val="00890C35"/>
    <w:rsid w:val="0089129E"/>
    <w:rsid w:val="00891534"/>
    <w:rsid w:val="008A44B9"/>
    <w:rsid w:val="008A4F8B"/>
    <w:rsid w:val="008B1708"/>
    <w:rsid w:val="008B1780"/>
    <w:rsid w:val="008B1D68"/>
    <w:rsid w:val="008B2A77"/>
    <w:rsid w:val="008B36C7"/>
    <w:rsid w:val="008B3853"/>
    <w:rsid w:val="008B4261"/>
    <w:rsid w:val="008B44CF"/>
    <w:rsid w:val="008B5516"/>
    <w:rsid w:val="008B59CE"/>
    <w:rsid w:val="008B60F7"/>
    <w:rsid w:val="008C0DD5"/>
    <w:rsid w:val="008C7DBA"/>
    <w:rsid w:val="008D1A33"/>
    <w:rsid w:val="008D2DEE"/>
    <w:rsid w:val="008D44AF"/>
    <w:rsid w:val="008D49EA"/>
    <w:rsid w:val="008E00D7"/>
    <w:rsid w:val="008E07FC"/>
    <w:rsid w:val="008E0E0C"/>
    <w:rsid w:val="008E29D7"/>
    <w:rsid w:val="008E3E79"/>
    <w:rsid w:val="008E45DE"/>
    <w:rsid w:val="008E4976"/>
    <w:rsid w:val="008E49E2"/>
    <w:rsid w:val="008E4F8E"/>
    <w:rsid w:val="008E5000"/>
    <w:rsid w:val="008E5289"/>
    <w:rsid w:val="008E6B67"/>
    <w:rsid w:val="008E76A3"/>
    <w:rsid w:val="008F1320"/>
    <w:rsid w:val="008F17B3"/>
    <w:rsid w:val="008F1E89"/>
    <w:rsid w:val="008F3110"/>
    <w:rsid w:val="00900A4E"/>
    <w:rsid w:val="00901980"/>
    <w:rsid w:val="00902312"/>
    <w:rsid w:val="00902350"/>
    <w:rsid w:val="00903821"/>
    <w:rsid w:val="00904724"/>
    <w:rsid w:val="009052CA"/>
    <w:rsid w:val="00905A84"/>
    <w:rsid w:val="00906468"/>
    <w:rsid w:val="009069FE"/>
    <w:rsid w:val="00911390"/>
    <w:rsid w:val="00913A88"/>
    <w:rsid w:val="00916A06"/>
    <w:rsid w:val="0092091E"/>
    <w:rsid w:val="00920BC6"/>
    <w:rsid w:val="00920D91"/>
    <w:rsid w:val="009224CD"/>
    <w:rsid w:val="009228C8"/>
    <w:rsid w:val="009233E3"/>
    <w:rsid w:val="0092398D"/>
    <w:rsid w:val="00924C17"/>
    <w:rsid w:val="009251A7"/>
    <w:rsid w:val="00927C0D"/>
    <w:rsid w:val="00930F35"/>
    <w:rsid w:val="0093159D"/>
    <w:rsid w:val="00932138"/>
    <w:rsid w:val="00933510"/>
    <w:rsid w:val="00935958"/>
    <w:rsid w:val="009369BA"/>
    <w:rsid w:val="00937FB2"/>
    <w:rsid w:val="0094070D"/>
    <w:rsid w:val="00940987"/>
    <w:rsid w:val="00944AF2"/>
    <w:rsid w:val="00946234"/>
    <w:rsid w:val="009464AE"/>
    <w:rsid w:val="0094746F"/>
    <w:rsid w:val="00947587"/>
    <w:rsid w:val="009538F6"/>
    <w:rsid w:val="00954225"/>
    <w:rsid w:val="00954A33"/>
    <w:rsid w:val="009561A1"/>
    <w:rsid w:val="00956929"/>
    <w:rsid w:val="00956F94"/>
    <w:rsid w:val="00960FB4"/>
    <w:rsid w:val="009677E1"/>
    <w:rsid w:val="00967874"/>
    <w:rsid w:val="00972812"/>
    <w:rsid w:val="00972EA0"/>
    <w:rsid w:val="009742A8"/>
    <w:rsid w:val="00974F95"/>
    <w:rsid w:val="009754ED"/>
    <w:rsid w:val="00975FE3"/>
    <w:rsid w:val="0098044A"/>
    <w:rsid w:val="00980650"/>
    <w:rsid w:val="0098342B"/>
    <w:rsid w:val="009856FE"/>
    <w:rsid w:val="0098774C"/>
    <w:rsid w:val="00991256"/>
    <w:rsid w:val="00991484"/>
    <w:rsid w:val="009927A1"/>
    <w:rsid w:val="00995387"/>
    <w:rsid w:val="0099749E"/>
    <w:rsid w:val="009975E7"/>
    <w:rsid w:val="00997616"/>
    <w:rsid w:val="009A0152"/>
    <w:rsid w:val="009A06F7"/>
    <w:rsid w:val="009A2BF0"/>
    <w:rsid w:val="009A7D3E"/>
    <w:rsid w:val="009B4686"/>
    <w:rsid w:val="009B663B"/>
    <w:rsid w:val="009B67D1"/>
    <w:rsid w:val="009B7152"/>
    <w:rsid w:val="009B79E8"/>
    <w:rsid w:val="009C0DBB"/>
    <w:rsid w:val="009C1651"/>
    <w:rsid w:val="009C1757"/>
    <w:rsid w:val="009C3D97"/>
    <w:rsid w:val="009C4EC3"/>
    <w:rsid w:val="009C5510"/>
    <w:rsid w:val="009C5B22"/>
    <w:rsid w:val="009C5D0E"/>
    <w:rsid w:val="009C6B5A"/>
    <w:rsid w:val="009D20F0"/>
    <w:rsid w:val="009D211C"/>
    <w:rsid w:val="009D2FF2"/>
    <w:rsid w:val="009D5402"/>
    <w:rsid w:val="009D5F8C"/>
    <w:rsid w:val="009D6A97"/>
    <w:rsid w:val="009D7EDC"/>
    <w:rsid w:val="009E0A86"/>
    <w:rsid w:val="009E1360"/>
    <w:rsid w:val="009E1A8C"/>
    <w:rsid w:val="009E2BA7"/>
    <w:rsid w:val="009E3AB8"/>
    <w:rsid w:val="009F0C64"/>
    <w:rsid w:val="009F2033"/>
    <w:rsid w:val="009F4D11"/>
    <w:rsid w:val="009F5E04"/>
    <w:rsid w:val="009F67BF"/>
    <w:rsid w:val="00A00A45"/>
    <w:rsid w:val="00A0206B"/>
    <w:rsid w:val="00A02756"/>
    <w:rsid w:val="00A04522"/>
    <w:rsid w:val="00A04A24"/>
    <w:rsid w:val="00A05E82"/>
    <w:rsid w:val="00A06394"/>
    <w:rsid w:val="00A0782C"/>
    <w:rsid w:val="00A07E35"/>
    <w:rsid w:val="00A119E8"/>
    <w:rsid w:val="00A13616"/>
    <w:rsid w:val="00A1530B"/>
    <w:rsid w:val="00A16D58"/>
    <w:rsid w:val="00A2078E"/>
    <w:rsid w:val="00A20A6B"/>
    <w:rsid w:val="00A20F19"/>
    <w:rsid w:val="00A21B3E"/>
    <w:rsid w:val="00A22195"/>
    <w:rsid w:val="00A22743"/>
    <w:rsid w:val="00A23CE3"/>
    <w:rsid w:val="00A248E3"/>
    <w:rsid w:val="00A25B8F"/>
    <w:rsid w:val="00A25CFA"/>
    <w:rsid w:val="00A269E7"/>
    <w:rsid w:val="00A27022"/>
    <w:rsid w:val="00A276FA"/>
    <w:rsid w:val="00A27830"/>
    <w:rsid w:val="00A31291"/>
    <w:rsid w:val="00A31FBE"/>
    <w:rsid w:val="00A31FCC"/>
    <w:rsid w:val="00A33E5E"/>
    <w:rsid w:val="00A34064"/>
    <w:rsid w:val="00A3550A"/>
    <w:rsid w:val="00A4087A"/>
    <w:rsid w:val="00A41242"/>
    <w:rsid w:val="00A41D9E"/>
    <w:rsid w:val="00A42E5C"/>
    <w:rsid w:val="00A4384A"/>
    <w:rsid w:val="00A4437B"/>
    <w:rsid w:val="00A44F2C"/>
    <w:rsid w:val="00A45125"/>
    <w:rsid w:val="00A45C29"/>
    <w:rsid w:val="00A5133F"/>
    <w:rsid w:val="00A51DA7"/>
    <w:rsid w:val="00A54E61"/>
    <w:rsid w:val="00A57A9B"/>
    <w:rsid w:val="00A60930"/>
    <w:rsid w:val="00A62917"/>
    <w:rsid w:val="00A62CA4"/>
    <w:rsid w:val="00A63253"/>
    <w:rsid w:val="00A65E9B"/>
    <w:rsid w:val="00A66652"/>
    <w:rsid w:val="00A67FC5"/>
    <w:rsid w:val="00A7133D"/>
    <w:rsid w:val="00A716FB"/>
    <w:rsid w:val="00A7400B"/>
    <w:rsid w:val="00A74826"/>
    <w:rsid w:val="00A80475"/>
    <w:rsid w:val="00A80BD2"/>
    <w:rsid w:val="00A83EB2"/>
    <w:rsid w:val="00A85FFA"/>
    <w:rsid w:val="00A87AD7"/>
    <w:rsid w:val="00A9028E"/>
    <w:rsid w:val="00A91180"/>
    <w:rsid w:val="00A91257"/>
    <w:rsid w:val="00A9184D"/>
    <w:rsid w:val="00A93649"/>
    <w:rsid w:val="00A94C16"/>
    <w:rsid w:val="00A94F52"/>
    <w:rsid w:val="00A94F8A"/>
    <w:rsid w:val="00A957B8"/>
    <w:rsid w:val="00AA0E2E"/>
    <w:rsid w:val="00AA1293"/>
    <w:rsid w:val="00AA180C"/>
    <w:rsid w:val="00AA42A9"/>
    <w:rsid w:val="00AA444F"/>
    <w:rsid w:val="00AA4CA7"/>
    <w:rsid w:val="00AA6B18"/>
    <w:rsid w:val="00AB10EF"/>
    <w:rsid w:val="00AB1BE5"/>
    <w:rsid w:val="00AB20DB"/>
    <w:rsid w:val="00AB235F"/>
    <w:rsid w:val="00AB67B0"/>
    <w:rsid w:val="00AB6A99"/>
    <w:rsid w:val="00AC01FC"/>
    <w:rsid w:val="00AC08EA"/>
    <w:rsid w:val="00AC240C"/>
    <w:rsid w:val="00AC2B3A"/>
    <w:rsid w:val="00AC2DE4"/>
    <w:rsid w:val="00AC469E"/>
    <w:rsid w:val="00AC48D2"/>
    <w:rsid w:val="00AC5D0C"/>
    <w:rsid w:val="00AC7460"/>
    <w:rsid w:val="00AC7663"/>
    <w:rsid w:val="00AD18E5"/>
    <w:rsid w:val="00AD1A97"/>
    <w:rsid w:val="00AD2F8F"/>
    <w:rsid w:val="00AD39B2"/>
    <w:rsid w:val="00AD4AB0"/>
    <w:rsid w:val="00AD4E83"/>
    <w:rsid w:val="00AD4FAF"/>
    <w:rsid w:val="00AD7899"/>
    <w:rsid w:val="00AE09BF"/>
    <w:rsid w:val="00AE24D5"/>
    <w:rsid w:val="00AE286D"/>
    <w:rsid w:val="00AE2B8F"/>
    <w:rsid w:val="00AE398A"/>
    <w:rsid w:val="00AE3EE6"/>
    <w:rsid w:val="00AE4328"/>
    <w:rsid w:val="00AE48B2"/>
    <w:rsid w:val="00AE50AE"/>
    <w:rsid w:val="00AE5578"/>
    <w:rsid w:val="00AE5DDA"/>
    <w:rsid w:val="00AE61EB"/>
    <w:rsid w:val="00AE6CC2"/>
    <w:rsid w:val="00AE6CED"/>
    <w:rsid w:val="00AE6EC5"/>
    <w:rsid w:val="00AE71DD"/>
    <w:rsid w:val="00AF07D9"/>
    <w:rsid w:val="00AF0F74"/>
    <w:rsid w:val="00AF1D87"/>
    <w:rsid w:val="00AF230D"/>
    <w:rsid w:val="00AF4385"/>
    <w:rsid w:val="00AF5227"/>
    <w:rsid w:val="00AF5335"/>
    <w:rsid w:val="00AF62BB"/>
    <w:rsid w:val="00AF7313"/>
    <w:rsid w:val="00AF76B4"/>
    <w:rsid w:val="00B0044F"/>
    <w:rsid w:val="00B00A37"/>
    <w:rsid w:val="00B022E4"/>
    <w:rsid w:val="00B02762"/>
    <w:rsid w:val="00B036AC"/>
    <w:rsid w:val="00B04913"/>
    <w:rsid w:val="00B04B2D"/>
    <w:rsid w:val="00B06156"/>
    <w:rsid w:val="00B16877"/>
    <w:rsid w:val="00B241D8"/>
    <w:rsid w:val="00B2532E"/>
    <w:rsid w:val="00B261AC"/>
    <w:rsid w:val="00B3162F"/>
    <w:rsid w:val="00B317BB"/>
    <w:rsid w:val="00B356D0"/>
    <w:rsid w:val="00B361C9"/>
    <w:rsid w:val="00B377A5"/>
    <w:rsid w:val="00B410BA"/>
    <w:rsid w:val="00B42A3A"/>
    <w:rsid w:val="00B42B09"/>
    <w:rsid w:val="00B44308"/>
    <w:rsid w:val="00B4561B"/>
    <w:rsid w:val="00B456F7"/>
    <w:rsid w:val="00B45CCA"/>
    <w:rsid w:val="00B4695A"/>
    <w:rsid w:val="00B4739C"/>
    <w:rsid w:val="00B5138B"/>
    <w:rsid w:val="00B53E14"/>
    <w:rsid w:val="00B5442F"/>
    <w:rsid w:val="00B55A0F"/>
    <w:rsid w:val="00B56432"/>
    <w:rsid w:val="00B60344"/>
    <w:rsid w:val="00B60959"/>
    <w:rsid w:val="00B61192"/>
    <w:rsid w:val="00B6123C"/>
    <w:rsid w:val="00B621FB"/>
    <w:rsid w:val="00B625A0"/>
    <w:rsid w:val="00B6431F"/>
    <w:rsid w:val="00B65264"/>
    <w:rsid w:val="00B6685D"/>
    <w:rsid w:val="00B75A50"/>
    <w:rsid w:val="00B75E21"/>
    <w:rsid w:val="00B7646F"/>
    <w:rsid w:val="00B76530"/>
    <w:rsid w:val="00B76A0F"/>
    <w:rsid w:val="00B81471"/>
    <w:rsid w:val="00B825CF"/>
    <w:rsid w:val="00B826B8"/>
    <w:rsid w:val="00B84AD1"/>
    <w:rsid w:val="00B8561F"/>
    <w:rsid w:val="00B9019D"/>
    <w:rsid w:val="00B90271"/>
    <w:rsid w:val="00B90EF2"/>
    <w:rsid w:val="00B91A9D"/>
    <w:rsid w:val="00B925DC"/>
    <w:rsid w:val="00B93B0D"/>
    <w:rsid w:val="00B948EB"/>
    <w:rsid w:val="00B94C07"/>
    <w:rsid w:val="00B952C6"/>
    <w:rsid w:val="00B95935"/>
    <w:rsid w:val="00B97C04"/>
    <w:rsid w:val="00BA0A5E"/>
    <w:rsid w:val="00BA2BE8"/>
    <w:rsid w:val="00BA5136"/>
    <w:rsid w:val="00BA55FC"/>
    <w:rsid w:val="00BA6E71"/>
    <w:rsid w:val="00BB4807"/>
    <w:rsid w:val="00BB5CC4"/>
    <w:rsid w:val="00BB60B4"/>
    <w:rsid w:val="00BB6B99"/>
    <w:rsid w:val="00BC065D"/>
    <w:rsid w:val="00BC33DE"/>
    <w:rsid w:val="00BC3584"/>
    <w:rsid w:val="00BC3B8B"/>
    <w:rsid w:val="00BC5B3A"/>
    <w:rsid w:val="00BD0B30"/>
    <w:rsid w:val="00BD1324"/>
    <w:rsid w:val="00BD1B79"/>
    <w:rsid w:val="00BD25FC"/>
    <w:rsid w:val="00BD27D1"/>
    <w:rsid w:val="00BD412E"/>
    <w:rsid w:val="00BD46EF"/>
    <w:rsid w:val="00BD513A"/>
    <w:rsid w:val="00BD6C08"/>
    <w:rsid w:val="00BD6EC4"/>
    <w:rsid w:val="00BD707E"/>
    <w:rsid w:val="00BD7AE8"/>
    <w:rsid w:val="00BE10FF"/>
    <w:rsid w:val="00BE1680"/>
    <w:rsid w:val="00BE3972"/>
    <w:rsid w:val="00BE7405"/>
    <w:rsid w:val="00BF59E3"/>
    <w:rsid w:val="00BF6158"/>
    <w:rsid w:val="00BF7904"/>
    <w:rsid w:val="00C003F5"/>
    <w:rsid w:val="00C017F4"/>
    <w:rsid w:val="00C04EB2"/>
    <w:rsid w:val="00C053A8"/>
    <w:rsid w:val="00C05C93"/>
    <w:rsid w:val="00C0715E"/>
    <w:rsid w:val="00C07A40"/>
    <w:rsid w:val="00C07CE9"/>
    <w:rsid w:val="00C07EFC"/>
    <w:rsid w:val="00C110DB"/>
    <w:rsid w:val="00C132DC"/>
    <w:rsid w:val="00C16C26"/>
    <w:rsid w:val="00C2094F"/>
    <w:rsid w:val="00C21675"/>
    <w:rsid w:val="00C22A68"/>
    <w:rsid w:val="00C22FA5"/>
    <w:rsid w:val="00C2463A"/>
    <w:rsid w:val="00C25DBD"/>
    <w:rsid w:val="00C27AEB"/>
    <w:rsid w:val="00C30DF4"/>
    <w:rsid w:val="00C34FF6"/>
    <w:rsid w:val="00C400E1"/>
    <w:rsid w:val="00C417F1"/>
    <w:rsid w:val="00C432F7"/>
    <w:rsid w:val="00C44D83"/>
    <w:rsid w:val="00C45749"/>
    <w:rsid w:val="00C45A10"/>
    <w:rsid w:val="00C45C51"/>
    <w:rsid w:val="00C46ADA"/>
    <w:rsid w:val="00C46DF6"/>
    <w:rsid w:val="00C501B2"/>
    <w:rsid w:val="00C51830"/>
    <w:rsid w:val="00C51920"/>
    <w:rsid w:val="00C51ACD"/>
    <w:rsid w:val="00C51B61"/>
    <w:rsid w:val="00C55F18"/>
    <w:rsid w:val="00C60F23"/>
    <w:rsid w:val="00C613D7"/>
    <w:rsid w:val="00C64AE0"/>
    <w:rsid w:val="00C64C29"/>
    <w:rsid w:val="00C66151"/>
    <w:rsid w:val="00C6678F"/>
    <w:rsid w:val="00C712E4"/>
    <w:rsid w:val="00C7157F"/>
    <w:rsid w:val="00C7232C"/>
    <w:rsid w:val="00C738A0"/>
    <w:rsid w:val="00C75194"/>
    <w:rsid w:val="00C77E9B"/>
    <w:rsid w:val="00C800F8"/>
    <w:rsid w:val="00C8158B"/>
    <w:rsid w:val="00C836F4"/>
    <w:rsid w:val="00C86EBE"/>
    <w:rsid w:val="00C90E92"/>
    <w:rsid w:val="00C91CB9"/>
    <w:rsid w:val="00C92263"/>
    <w:rsid w:val="00C929FD"/>
    <w:rsid w:val="00C941C6"/>
    <w:rsid w:val="00C95E6C"/>
    <w:rsid w:val="00C968C5"/>
    <w:rsid w:val="00C96EAF"/>
    <w:rsid w:val="00C97708"/>
    <w:rsid w:val="00CA2550"/>
    <w:rsid w:val="00CA33AC"/>
    <w:rsid w:val="00CA455C"/>
    <w:rsid w:val="00CA4EB0"/>
    <w:rsid w:val="00CA62D5"/>
    <w:rsid w:val="00CA6B4D"/>
    <w:rsid w:val="00CA7E80"/>
    <w:rsid w:val="00CB0619"/>
    <w:rsid w:val="00CB1C00"/>
    <w:rsid w:val="00CB2E07"/>
    <w:rsid w:val="00CB623C"/>
    <w:rsid w:val="00CB751A"/>
    <w:rsid w:val="00CC1007"/>
    <w:rsid w:val="00CC2437"/>
    <w:rsid w:val="00CC45D5"/>
    <w:rsid w:val="00CC47E6"/>
    <w:rsid w:val="00CD320F"/>
    <w:rsid w:val="00CD3F39"/>
    <w:rsid w:val="00CD5090"/>
    <w:rsid w:val="00CD55A3"/>
    <w:rsid w:val="00CD6375"/>
    <w:rsid w:val="00CE214A"/>
    <w:rsid w:val="00CE2948"/>
    <w:rsid w:val="00CE4E8A"/>
    <w:rsid w:val="00CE5D6A"/>
    <w:rsid w:val="00CE6ACC"/>
    <w:rsid w:val="00CE7639"/>
    <w:rsid w:val="00CE7CA1"/>
    <w:rsid w:val="00CF0082"/>
    <w:rsid w:val="00CF0199"/>
    <w:rsid w:val="00CF280F"/>
    <w:rsid w:val="00CF2D5D"/>
    <w:rsid w:val="00CF3D2E"/>
    <w:rsid w:val="00CF5D9E"/>
    <w:rsid w:val="00D00C64"/>
    <w:rsid w:val="00D00EAB"/>
    <w:rsid w:val="00D0125A"/>
    <w:rsid w:val="00D020CE"/>
    <w:rsid w:val="00D03473"/>
    <w:rsid w:val="00D03C0F"/>
    <w:rsid w:val="00D03D7F"/>
    <w:rsid w:val="00D03E86"/>
    <w:rsid w:val="00D0523D"/>
    <w:rsid w:val="00D05839"/>
    <w:rsid w:val="00D10D11"/>
    <w:rsid w:val="00D12915"/>
    <w:rsid w:val="00D1297E"/>
    <w:rsid w:val="00D15A8C"/>
    <w:rsid w:val="00D16882"/>
    <w:rsid w:val="00D179FD"/>
    <w:rsid w:val="00D17A82"/>
    <w:rsid w:val="00D22680"/>
    <w:rsid w:val="00D24167"/>
    <w:rsid w:val="00D245CE"/>
    <w:rsid w:val="00D252B7"/>
    <w:rsid w:val="00D25D98"/>
    <w:rsid w:val="00D25F7D"/>
    <w:rsid w:val="00D30CB7"/>
    <w:rsid w:val="00D31C90"/>
    <w:rsid w:val="00D31EB9"/>
    <w:rsid w:val="00D33145"/>
    <w:rsid w:val="00D33375"/>
    <w:rsid w:val="00D3396C"/>
    <w:rsid w:val="00D36B8F"/>
    <w:rsid w:val="00D36FB1"/>
    <w:rsid w:val="00D3705C"/>
    <w:rsid w:val="00D3753B"/>
    <w:rsid w:val="00D408F6"/>
    <w:rsid w:val="00D40CCB"/>
    <w:rsid w:val="00D41172"/>
    <w:rsid w:val="00D414F8"/>
    <w:rsid w:val="00D426E5"/>
    <w:rsid w:val="00D4332B"/>
    <w:rsid w:val="00D43D06"/>
    <w:rsid w:val="00D44402"/>
    <w:rsid w:val="00D44709"/>
    <w:rsid w:val="00D46A43"/>
    <w:rsid w:val="00D4753D"/>
    <w:rsid w:val="00D5124D"/>
    <w:rsid w:val="00D51607"/>
    <w:rsid w:val="00D52241"/>
    <w:rsid w:val="00D5328B"/>
    <w:rsid w:val="00D53751"/>
    <w:rsid w:val="00D54335"/>
    <w:rsid w:val="00D55B44"/>
    <w:rsid w:val="00D5604F"/>
    <w:rsid w:val="00D57199"/>
    <w:rsid w:val="00D62134"/>
    <w:rsid w:val="00D62872"/>
    <w:rsid w:val="00D63362"/>
    <w:rsid w:val="00D63905"/>
    <w:rsid w:val="00D669AC"/>
    <w:rsid w:val="00D708BA"/>
    <w:rsid w:val="00D70E11"/>
    <w:rsid w:val="00D70F5A"/>
    <w:rsid w:val="00D71479"/>
    <w:rsid w:val="00D75294"/>
    <w:rsid w:val="00D7529C"/>
    <w:rsid w:val="00D75FF6"/>
    <w:rsid w:val="00D764A7"/>
    <w:rsid w:val="00D77632"/>
    <w:rsid w:val="00D77DA9"/>
    <w:rsid w:val="00D8028D"/>
    <w:rsid w:val="00D80E36"/>
    <w:rsid w:val="00D84BEF"/>
    <w:rsid w:val="00D8565F"/>
    <w:rsid w:val="00D85BB1"/>
    <w:rsid w:val="00D85CCC"/>
    <w:rsid w:val="00D90FD9"/>
    <w:rsid w:val="00D9171F"/>
    <w:rsid w:val="00D950EF"/>
    <w:rsid w:val="00D96319"/>
    <w:rsid w:val="00D96DA6"/>
    <w:rsid w:val="00D9742F"/>
    <w:rsid w:val="00DA0947"/>
    <w:rsid w:val="00DA1101"/>
    <w:rsid w:val="00DA3773"/>
    <w:rsid w:val="00DA5973"/>
    <w:rsid w:val="00DA5FCD"/>
    <w:rsid w:val="00DA6217"/>
    <w:rsid w:val="00DA768B"/>
    <w:rsid w:val="00DB11D9"/>
    <w:rsid w:val="00DB1FDD"/>
    <w:rsid w:val="00DB42AF"/>
    <w:rsid w:val="00DB43AA"/>
    <w:rsid w:val="00DB4E28"/>
    <w:rsid w:val="00DB5B49"/>
    <w:rsid w:val="00DB7266"/>
    <w:rsid w:val="00DB7492"/>
    <w:rsid w:val="00DB7BC1"/>
    <w:rsid w:val="00DC1431"/>
    <w:rsid w:val="00DC1763"/>
    <w:rsid w:val="00DC2D4F"/>
    <w:rsid w:val="00DC3531"/>
    <w:rsid w:val="00DC55CD"/>
    <w:rsid w:val="00DC55FD"/>
    <w:rsid w:val="00DC6231"/>
    <w:rsid w:val="00DC6E7C"/>
    <w:rsid w:val="00DC7E44"/>
    <w:rsid w:val="00DD04F4"/>
    <w:rsid w:val="00DD0C1A"/>
    <w:rsid w:val="00DD0D7E"/>
    <w:rsid w:val="00DD1670"/>
    <w:rsid w:val="00DD2DDB"/>
    <w:rsid w:val="00DD57A2"/>
    <w:rsid w:val="00DD58D0"/>
    <w:rsid w:val="00DE37ED"/>
    <w:rsid w:val="00DE48AF"/>
    <w:rsid w:val="00DE7132"/>
    <w:rsid w:val="00DF102C"/>
    <w:rsid w:val="00DF11BD"/>
    <w:rsid w:val="00DF18E4"/>
    <w:rsid w:val="00DF2EE6"/>
    <w:rsid w:val="00DF30EC"/>
    <w:rsid w:val="00DF462E"/>
    <w:rsid w:val="00DF480B"/>
    <w:rsid w:val="00DF52A2"/>
    <w:rsid w:val="00DF5C83"/>
    <w:rsid w:val="00E012A8"/>
    <w:rsid w:val="00E01CA6"/>
    <w:rsid w:val="00E03F62"/>
    <w:rsid w:val="00E05691"/>
    <w:rsid w:val="00E06804"/>
    <w:rsid w:val="00E07DA1"/>
    <w:rsid w:val="00E115F7"/>
    <w:rsid w:val="00E12E5F"/>
    <w:rsid w:val="00E142DB"/>
    <w:rsid w:val="00E1726E"/>
    <w:rsid w:val="00E203FF"/>
    <w:rsid w:val="00E20CC7"/>
    <w:rsid w:val="00E20E99"/>
    <w:rsid w:val="00E2146F"/>
    <w:rsid w:val="00E22048"/>
    <w:rsid w:val="00E23ACB"/>
    <w:rsid w:val="00E26868"/>
    <w:rsid w:val="00E27ED7"/>
    <w:rsid w:val="00E33819"/>
    <w:rsid w:val="00E33AA1"/>
    <w:rsid w:val="00E35826"/>
    <w:rsid w:val="00E36E3A"/>
    <w:rsid w:val="00E37C8A"/>
    <w:rsid w:val="00E40400"/>
    <w:rsid w:val="00E4140D"/>
    <w:rsid w:val="00E425A6"/>
    <w:rsid w:val="00E4305B"/>
    <w:rsid w:val="00E43258"/>
    <w:rsid w:val="00E452AC"/>
    <w:rsid w:val="00E46023"/>
    <w:rsid w:val="00E46A22"/>
    <w:rsid w:val="00E5001E"/>
    <w:rsid w:val="00E5584E"/>
    <w:rsid w:val="00E560C1"/>
    <w:rsid w:val="00E56A92"/>
    <w:rsid w:val="00E60278"/>
    <w:rsid w:val="00E602A7"/>
    <w:rsid w:val="00E6068D"/>
    <w:rsid w:val="00E64637"/>
    <w:rsid w:val="00E64A34"/>
    <w:rsid w:val="00E65886"/>
    <w:rsid w:val="00E65D7C"/>
    <w:rsid w:val="00E677BD"/>
    <w:rsid w:val="00E74F7F"/>
    <w:rsid w:val="00E75620"/>
    <w:rsid w:val="00E75720"/>
    <w:rsid w:val="00E76420"/>
    <w:rsid w:val="00E76AD1"/>
    <w:rsid w:val="00E82B8A"/>
    <w:rsid w:val="00E83F4B"/>
    <w:rsid w:val="00E84E1C"/>
    <w:rsid w:val="00E85990"/>
    <w:rsid w:val="00E876A3"/>
    <w:rsid w:val="00E91BF5"/>
    <w:rsid w:val="00E91DE1"/>
    <w:rsid w:val="00E9558C"/>
    <w:rsid w:val="00EA0FAB"/>
    <w:rsid w:val="00EA11CE"/>
    <w:rsid w:val="00EA1CBE"/>
    <w:rsid w:val="00EA1E96"/>
    <w:rsid w:val="00EA324F"/>
    <w:rsid w:val="00EA372F"/>
    <w:rsid w:val="00EA3B16"/>
    <w:rsid w:val="00EA6AF9"/>
    <w:rsid w:val="00EA718D"/>
    <w:rsid w:val="00EA71FF"/>
    <w:rsid w:val="00EB21A5"/>
    <w:rsid w:val="00EB335E"/>
    <w:rsid w:val="00EB33D7"/>
    <w:rsid w:val="00EB3C7A"/>
    <w:rsid w:val="00EB3CD2"/>
    <w:rsid w:val="00EB3E3A"/>
    <w:rsid w:val="00EB62A3"/>
    <w:rsid w:val="00EB6FF7"/>
    <w:rsid w:val="00EB71F9"/>
    <w:rsid w:val="00EB7413"/>
    <w:rsid w:val="00EC0679"/>
    <w:rsid w:val="00EC3677"/>
    <w:rsid w:val="00EC56EC"/>
    <w:rsid w:val="00EC7C18"/>
    <w:rsid w:val="00ED0350"/>
    <w:rsid w:val="00ED0755"/>
    <w:rsid w:val="00ED167F"/>
    <w:rsid w:val="00ED1AC0"/>
    <w:rsid w:val="00ED5C95"/>
    <w:rsid w:val="00ED71E2"/>
    <w:rsid w:val="00ED777E"/>
    <w:rsid w:val="00ED7A68"/>
    <w:rsid w:val="00EE2E04"/>
    <w:rsid w:val="00EE506E"/>
    <w:rsid w:val="00EE59EA"/>
    <w:rsid w:val="00EE5E08"/>
    <w:rsid w:val="00EF1085"/>
    <w:rsid w:val="00EF1474"/>
    <w:rsid w:val="00EF3DA2"/>
    <w:rsid w:val="00EF435B"/>
    <w:rsid w:val="00EF5044"/>
    <w:rsid w:val="00EF72C3"/>
    <w:rsid w:val="00F02866"/>
    <w:rsid w:val="00F03DFA"/>
    <w:rsid w:val="00F03E81"/>
    <w:rsid w:val="00F05F0C"/>
    <w:rsid w:val="00F0688D"/>
    <w:rsid w:val="00F101F5"/>
    <w:rsid w:val="00F114A9"/>
    <w:rsid w:val="00F124B7"/>
    <w:rsid w:val="00F134C5"/>
    <w:rsid w:val="00F15315"/>
    <w:rsid w:val="00F15441"/>
    <w:rsid w:val="00F15A8E"/>
    <w:rsid w:val="00F163A6"/>
    <w:rsid w:val="00F170EF"/>
    <w:rsid w:val="00F17425"/>
    <w:rsid w:val="00F17C7F"/>
    <w:rsid w:val="00F20CD0"/>
    <w:rsid w:val="00F23B68"/>
    <w:rsid w:val="00F241BD"/>
    <w:rsid w:val="00F24716"/>
    <w:rsid w:val="00F24C36"/>
    <w:rsid w:val="00F26A2A"/>
    <w:rsid w:val="00F3036D"/>
    <w:rsid w:val="00F31473"/>
    <w:rsid w:val="00F32139"/>
    <w:rsid w:val="00F33056"/>
    <w:rsid w:val="00F336A9"/>
    <w:rsid w:val="00F364FC"/>
    <w:rsid w:val="00F3792E"/>
    <w:rsid w:val="00F37E2D"/>
    <w:rsid w:val="00F42212"/>
    <w:rsid w:val="00F426DD"/>
    <w:rsid w:val="00F42C10"/>
    <w:rsid w:val="00F4389A"/>
    <w:rsid w:val="00F45CAE"/>
    <w:rsid w:val="00F46031"/>
    <w:rsid w:val="00F46B6D"/>
    <w:rsid w:val="00F50E44"/>
    <w:rsid w:val="00F511CA"/>
    <w:rsid w:val="00F51BA2"/>
    <w:rsid w:val="00F5342D"/>
    <w:rsid w:val="00F54D9F"/>
    <w:rsid w:val="00F55799"/>
    <w:rsid w:val="00F57520"/>
    <w:rsid w:val="00F61778"/>
    <w:rsid w:val="00F65C8F"/>
    <w:rsid w:val="00F663B6"/>
    <w:rsid w:val="00F6748A"/>
    <w:rsid w:val="00F70503"/>
    <w:rsid w:val="00F70C26"/>
    <w:rsid w:val="00F71B0A"/>
    <w:rsid w:val="00F73775"/>
    <w:rsid w:val="00F74704"/>
    <w:rsid w:val="00F76A57"/>
    <w:rsid w:val="00F80611"/>
    <w:rsid w:val="00F8094A"/>
    <w:rsid w:val="00F815C0"/>
    <w:rsid w:val="00F81661"/>
    <w:rsid w:val="00F82B77"/>
    <w:rsid w:val="00F834CD"/>
    <w:rsid w:val="00F83EAA"/>
    <w:rsid w:val="00F8480B"/>
    <w:rsid w:val="00F85350"/>
    <w:rsid w:val="00F85915"/>
    <w:rsid w:val="00F85AC7"/>
    <w:rsid w:val="00F867D4"/>
    <w:rsid w:val="00F8723C"/>
    <w:rsid w:val="00F90555"/>
    <w:rsid w:val="00F9065F"/>
    <w:rsid w:val="00F915E2"/>
    <w:rsid w:val="00F937A6"/>
    <w:rsid w:val="00F93D3E"/>
    <w:rsid w:val="00F95029"/>
    <w:rsid w:val="00F977BF"/>
    <w:rsid w:val="00FA1660"/>
    <w:rsid w:val="00FA1D83"/>
    <w:rsid w:val="00FA4701"/>
    <w:rsid w:val="00FA5798"/>
    <w:rsid w:val="00FA5A34"/>
    <w:rsid w:val="00FA5D98"/>
    <w:rsid w:val="00FA5F51"/>
    <w:rsid w:val="00FA7641"/>
    <w:rsid w:val="00FB3D11"/>
    <w:rsid w:val="00FB71B7"/>
    <w:rsid w:val="00FB7664"/>
    <w:rsid w:val="00FB7B65"/>
    <w:rsid w:val="00FC3826"/>
    <w:rsid w:val="00FC6696"/>
    <w:rsid w:val="00FD356D"/>
    <w:rsid w:val="00FD36CC"/>
    <w:rsid w:val="00FD4660"/>
    <w:rsid w:val="00FD6460"/>
    <w:rsid w:val="00FD6799"/>
    <w:rsid w:val="00FE0C7C"/>
    <w:rsid w:val="00FE2290"/>
    <w:rsid w:val="00FE49F8"/>
    <w:rsid w:val="00FE4A38"/>
    <w:rsid w:val="00FE5111"/>
    <w:rsid w:val="00FE5FCB"/>
    <w:rsid w:val="00FE7EE1"/>
    <w:rsid w:val="00FF1291"/>
    <w:rsid w:val="00FF1835"/>
    <w:rsid w:val="00FF18AE"/>
    <w:rsid w:val="00FF2245"/>
    <w:rsid w:val="00FF2E51"/>
    <w:rsid w:val="00FF4AD8"/>
    <w:rsid w:val="00FF65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colormru v:ext="edit" colors="#eaeae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locked="0" w:uiPriority="39"/>
    <w:lsdException w:name="toc 2" w:locked="0" w:uiPriority="39"/>
    <w:lsdException w:name="toc 3" w:locked="0" w:uiPriority="39"/>
    <w:lsdException w:name="toc 4" w:locked="0" w:uiPriority="39"/>
    <w:lsdException w:name="toc 5" w:locked="0" w:uiPriority="39"/>
    <w:lsdException w:name="toc 6" w:locked="0" w:uiPriority="39"/>
    <w:lsdException w:name="toc 7" w:locked="0" w:uiPriority="39"/>
    <w:lsdException w:name="toc 8" w:locked="0" w:uiPriority="39"/>
    <w:lsdException w:name="toc 9" w:locked="0" w:uiPriority="39"/>
    <w:lsdException w:name="Normal Indent" w:uiPriority="0"/>
    <w:lsdException w:name="footnote text" w:uiPriority="0"/>
    <w:lsdException w:name="annotation text" w:locked="0" w:uiPriority="0"/>
    <w:lsdException w:name="header" w:uiPriority="0"/>
    <w:lsdException w:name="footer" w:uiPriority="0"/>
    <w:lsdException w:name="index heading" w:uiPriority="0"/>
    <w:lsdException w:name="caption" w:locked="0" w:semiHidden="0" w:uiPriority="0" w:unhideWhenUsed="0" w:qFormat="1"/>
    <w:lsdException w:name="table of figures" w:locked="0"/>
    <w:lsdException w:name="annotation reference" w:uiPriority="0"/>
    <w:lsdException w:name="page number" w:uiPriority="0"/>
    <w:lsdException w:name="endnote text" w:uiPriority="0"/>
    <w:lsdException w:name="table of authorities" w:uiPriority="0"/>
    <w:lsdException w:name="macro" w:uiPriority="0"/>
    <w:lsdException w:name="toa heading" w:locked="0" w:uiPriority="0"/>
    <w:lsdException w:name="List Bullet" w:uiPriority="0"/>
    <w:lsdException w:name="List Number" w:uiPriority="0"/>
    <w:lsdException w:name="Title" w:locked="0" w:semiHidden="0" w:uiPriority="10" w:unhideWhenUsed="0" w:qFormat="1"/>
    <w:lsdException w:name="Signature" w:uiPriority="0"/>
    <w:lsdException w:name="Default Paragraph Font" w:locked="0" w:uiPriority="1"/>
    <w:lsdException w:name="Body Text Indent" w:locked="0" w:uiPriority="0"/>
    <w:lsdException w:name="Message Header" w:uiPriority="0"/>
    <w:lsdException w:name="Subtitle" w:semiHidden="0" w:uiPriority="11" w:unhideWhenUsed="0" w:qFormat="1"/>
    <w:lsdException w:name="Salutation" w:uiPriority="0"/>
    <w:lsdException w:name="Body Text First Indent 2" w:locked="0" w:uiPriority="0"/>
    <w:lsdException w:name="Note Heading"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Top of Form" w:locked="0"/>
    <w:lsdException w:name="HTML Bottom of Form" w:locked="0"/>
    <w:lsdException w:name="Normal (Web)" w:uiPriority="0"/>
    <w:lsdException w:name="HTML Address" w:uiPriority="0"/>
    <w:lsdException w:name="HTML Keyboard" w:uiPriority="0"/>
    <w:lsdException w:name="HTML Preformatted" w:uiPriority="0"/>
    <w:lsdException w:name="Normal Table" w:locked="0"/>
    <w:lsdException w:name="annotation subject" w:uiPriority="0"/>
    <w:lsdException w:name="No List" w:locked="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locked="0" w:semiHidden="0" w:uiPriority="39" w:unhideWhenUsed="0" w:qFormat="1"/>
  </w:latentStyles>
  <w:style w:type="paragraph" w:default="1" w:styleId="Normal">
    <w:name w:val="Normal"/>
    <w:qFormat/>
    <w:rsid w:val="00844AD8"/>
    <w:pPr>
      <w:spacing w:line="240" w:lineRule="exact"/>
    </w:pPr>
    <w:rPr>
      <w:sz w:val="24"/>
    </w:rPr>
  </w:style>
  <w:style w:type="paragraph" w:styleId="Heading1">
    <w:name w:val="heading 1"/>
    <w:basedOn w:val="Normal"/>
    <w:next w:val="Normal"/>
    <w:qFormat/>
    <w:locked/>
    <w:rsid w:val="0009132F"/>
    <w:pPr>
      <w:keepNext/>
      <w:tabs>
        <w:tab w:val="num" w:pos="360"/>
      </w:tabs>
      <w:spacing w:before="480" w:after="240"/>
      <w:outlineLvl w:val="0"/>
    </w:pPr>
    <w:rPr>
      <w:b/>
      <w:bCs/>
      <w:caps/>
      <w:kern w:val="32"/>
      <w:sz w:val="28"/>
      <w:szCs w:val="32"/>
    </w:rPr>
  </w:style>
  <w:style w:type="paragraph" w:styleId="Heading2">
    <w:name w:val="heading 2"/>
    <w:basedOn w:val="Normal"/>
    <w:next w:val="Normal"/>
    <w:qFormat/>
    <w:locked/>
    <w:rsid w:val="0009132F"/>
    <w:pPr>
      <w:keepNext/>
      <w:tabs>
        <w:tab w:val="num" w:pos="360"/>
      </w:tabs>
      <w:spacing w:before="120" w:after="120"/>
      <w:outlineLvl w:val="1"/>
    </w:pPr>
    <w:rPr>
      <w:b/>
      <w:bCs/>
      <w:sz w:val="28"/>
      <w:szCs w:val="28"/>
    </w:rPr>
  </w:style>
  <w:style w:type="paragraph" w:styleId="Heading3">
    <w:name w:val="heading 3"/>
    <w:basedOn w:val="Normal"/>
    <w:next w:val="Normal"/>
    <w:qFormat/>
    <w:locked/>
    <w:rsid w:val="0009132F"/>
    <w:pPr>
      <w:keepNext/>
      <w:tabs>
        <w:tab w:val="num" w:pos="360"/>
      </w:tabs>
      <w:spacing w:after="120"/>
      <w:outlineLvl w:val="2"/>
    </w:pPr>
    <w:rPr>
      <w:b/>
    </w:rPr>
  </w:style>
  <w:style w:type="paragraph" w:styleId="Heading4">
    <w:name w:val="heading 4"/>
    <w:basedOn w:val="Normal"/>
    <w:next w:val="Normal"/>
    <w:link w:val="Heading4Char"/>
    <w:qFormat/>
    <w:locked/>
    <w:rsid w:val="0009132F"/>
    <w:pPr>
      <w:keepNext/>
      <w:tabs>
        <w:tab w:val="num" w:pos="360"/>
      </w:tabs>
      <w:spacing w:after="120"/>
      <w:outlineLvl w:val="3"/>
    </w:pPr>
    <w:rPr>
      <w:b/>
      <w:bCs/>
      <w:szCs w:val="28"/>
    </w:rPr>
  </w:style>
  <w:style w:type="paragraph" w:styleId="Heading5">
    <w:name w:val="heading 5"/>
    <w:basedOn w:val="Normal"/>
    <w:next w:val="Normal"/>
    <w:link w:val="Heading5Char"/>
    <w:qFormat/>
    <w:locked/>
    <w:rsid w:val="0009132F"/>
    <w:pPr>
      <w:keepNext/>
      <w:tabs>
        <w:tab w:val="num" w:pos="360"/>
      </w:tabs>
      <w:spacing w:after="120"/>
      <w:outlineLvl w:val="4"/>
    </w:pPr>
    <w:rPr>
      <w:b/>
      <w:bCs/>
      <w:szCs w:val="26"/>
    </w:rPr>
  </w:style>
  <w:style w:type="paragraph" w:styleId="Heading6">
    <w:name w:val="heading 6"/>
    <w:basedOn w:val="Normal"/>
    <w:next w:val="Normal"/>
    <w:qFormat/>
    <w:locked/>
    <w:rsid w:val="0009132F"/>
    <w:pPr>
      <w:keepNext/>
      <w:tabs>
        <w:tab w:val="num" w:pos="360"/>
      </w:tabs>
      <w:spacing w:after="120"/>
      <w:outlineLvl w:val="5"/>
    </w:pPr>
    <w:rPr>
      <w:b/>
      <w:bCs/>
      <w:szCs w:val="22"/>
    </w:rPr>
  </w:style>
  <w:style w:type="paragraph" w:styleId="Heading7">
    <w:name w:val="heading 7"/>
    <w:basedOn w:val="Normal"/>
    <w:next w:val="Normal"/>
    <w:qFormat/>
    <w:locked/>
    <w:rsid w:val="0009132F"/>
    <w:pPr>
      <w:tabs>
        <w:tab w:val="num" w:pos="360"/>
      </w:tabs>
      <w:spacing w:before="240" w:after="60"/>
      <w:outlineLvl w:val="6"/>
    </w:pPr>
    <w:rPr>
      <w:szCs w:val="24"/>
    </w:rPr>
  </w:style>
  <w:style w:type="paragraph" w:styleId="Heading8">
    <w:name w:val="heading 8"/>
    <w:basedOn w:val="Normal"/>
    <w:next w:val="Normal"/>
    <w:qFormat/>
    <w:locked/>
    <w:rsid w:val="0009132F"/>
    <w:pPr>
      <w:tabs>
        <w:tab w:val="num" w:pos="360"/>
      </w:tabs>
      <w:spacing w:before="240" w:after="60"/>
      <w:outlineLvl w:val="7"/>
    </w:pPr>
    <w:rPr>
      <w:i/>
      <w:iCs/>
      <w:szCs w:val="24"/>
    </w:rPr>
  </w:style>
  <w:style w:type="paragraph" w:styleId="Heading9">
    <w:name w:val="heading 9"/>
    <w:basedOn w:val="Normal"/>
    <w:next w:val="Normal"/>
    <w:qFormat/>
    <w:locked/>
    <w:rsid w:val="0009132F"/>
    <w:pPr>
      <w:tabs>
        <w:tab w:val="num" w:pos="360"/>
      </w:tabs>
      <w:spacing w:before="240" w:after="60"/>
      <w:outlineLvl w:val="8"/>
    </w:pPr>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09132F"/>
    <w:rPr>
      <w:b/>
      <w:bCs/>
      <w:sz w:val="24"/>
      <w:szCs w:val="28"/>
    </w:rPr>
  </w:style>
  <w:style w:type="character" w:customStyle="1" w:styleId="Heading5Char">
    <w:name w:val="Heading 5 Char"/>
    <w:basedOn w:val="DefaultParagraphFont"/>
    <w:link w:val="Heading5"/>
    <w:rsid w:val="005C5153"/>
    <w:rPr>
      <w:rFonts w:cs="Arial"/>
      <w:b/>
      <w:bCs/>
      <w:sz w:val="24"/>
      <w:szCs w:val="26"/>
    </w:rPr>
  </w:style>
  <w:style w:type="paragraph" w:styleId="BodyTextIndent">
    <w:name w:val="Body Text Indent"/>
    <w:basedOn w:val="Normal"/>
    <w:link w:val="BodyTextIndentChar"/>
    <w:rsid w:val="0009132F"/>
    <w:pPr>
      <w:spacing w:after="120"/>
      <w:ind w:left="360"/>
    </w:pPr>
  </w:style>
  <w:style w:type="character" w:customStyle="1" w:styleId="BodyTextIndentChar">
    <w:name w:val="Body Text Indent Char"/>
    <w:basedOn w:val="DefaultParagraphFont"/>
    <w:link w:val="BodyTextIndent"/>
    <w:rsid w:val="0009132F"/>
    <w:rPr>
      <w:rFonts w:cs="Arial"/>
      <w:sz w:val="24"/>
    </w:rPr>
  </w:style>
  <w:style w:type="paragraph" w:styleId="BodyTextFirstIndent2">
    <w:name w:val="Body Text First Indent 2"/>
    <w:basedOn w:val="BodyTextIndent"/>
    <w:link w:val="BodyTextFirstIndent2Char"/>
    <w:rsid w:val="0009132F"/>
    <w:pPr>
      <w:ind w:firstLine="210"/>
    </w:pPr>
  </w:style>
  <w:style w:type="character" w:customStyle="1" w:styleId="BodyTextFirstIndent2Char">
    <w:name w:val="Body Text First Indent 2 Char"/>
    <w:basedOn w:val="BodyTextIndentChar"/>
    <w:link w:val="BodyTextFirstIndent2"/>
    <w:rsid w:val="0009132F"/>
    <w:rPr>
      <w:rFonts w:cs="Arial"/>
      <w:sz w:val="24"/>
    </w:rPr>
  </w:style>
  <w:style w:type="paragraph" w:customStyle="1" w:styleId="C-AlphabeticList">
    <w:name w:val="C-Alphabetic List"/>
    <w:rsid w:val="0009132F"/>
    <w:pPr>
      <w:numPr>
        <w:numId w:val="4"/>
      </w:numPr>
    </w:pPr>
    <w:rPr>
      <w:sz w:val="24"/>
      <w:szCs w:val="24"/>
    </w:rPr>
  </w:style>
  <w:style w:type="paragraph" w:customStyle="1" w:styleId="C-Appendix">
    <w:name w:val="C-Appendix"/>
    <w:next w:val="Normal"/>
    <w:rsid w:val="0009132F"/>
    <w:pPr>
      <w:keepNext/>
      <w:pageBreakBefore/>
      <w:numPr>
        <w:numId w:val="5"/>
      </w:numPr>
      <w:spacing w:before="480" w:after="120"/>
      <w:outlineLvl w:val="0"/>
    </w:pPr>
    <w:rPr>
      <w:b/>
      <w:caps/>
      <w:sz w:val="28"/>
      <w:szCs w:val="24"/>
    </w:rPr>
  </w:style>
  <w:style w:type="paragraph" w:styleId="Caption">
    <w:name w:val="caption"/>
    <w:next w:val="Normal"/>
    <w:qFormat/>
    <w:rsid w:val="0009132F"/>
    <w:pPr>
      <w:keepNext/>
      <w:spacing w:before="120" w:after="120" w:line="280" w:lineRule="atLeast"/>
      <w:ind w:left="1440" w:hanging="1440"/>
    </w:pPr>
    <w:rPr>
      <w:b/>
      <w:bCs/>
      <w:sz w:val="24"/>
      <w:szCs w:val="24"/>
    </w:rPr>
  </w:style>
  <w:style w:type="paragraph" w:customStyle="1" w:styleId="C-BodyText">
    <w:name w:val="C-Body Text"/>
    <w:link w:val="C-BodyTextChar1"/>
    <w:qFormat/>
    <w:rsid w:val="0009132F"/>
    <w:pPr>
      <w:spacing w:before="120" w:after="120" w:line="280" w:lineRule="atLeast"/>
    </w:pPr>
    <w:rPr>
      <w:sz w:val="24"/>
      <w:szCs w:val="24"/>
    </w:rPr>
  </w:style>
  <w:style w:type="paragraph" w:customStyle="1" w:styleId="C-BodyTextIndent">
    <w:name w:val="C-Body Text Indent"/>
    <w:rsid w:val="0009132F"/>
    <w:pPr>
      <w:spacing w:before="120" w:after="120" w:line="280" w:lineRule="atLeast"/>
      <w:ind w:left="360"/>
    </w:pPr>
    <w:rPr>
      <w:sz w:val="24"/>
      <w:szCs w:val="24"/>
    </w:rPr>
  </w:style>
  <w:style w:type="paragraph" w:customStyle="1" w:styleId="C-Bullet">
    <w:name w:val="C-Bullet"/>
    <w:rsid w:val="00F57520"/>
    <w:pPr>
      <w:numPr>
        <w:numId w:val="6"/>
      </w:numPr>
      <w:tabs>
        <w:tab w:val="clear" w:pos="1080"/>
        <w:tab w:val="left" w:pos="720"/>
      </w:tabs>
      <w:spacing w:before="120" w:after="120" w:line="280" w:lineRule="atLeast"/>
      <w:ind w:left="720"/>
    </w:pPr>
    <w:rPr>
      <w:sz w:val="24"/>
      <w:szCs w:val="24"/>
    </w:rPr>
  </w:style>
  <w:style w:type="paragraph" w:customStyle="1" w:styleId="C-BulletIndented">
    <w:name w:val="C-Bullet Indented"/>
    <w:basedOn w:val="ListBulleted"/>
    <w:rsid w:val="00F57520"/>
    <w:pPr>
      <w:numPr>
        <w:numId w:val="3"/>
      </w:numPr>
    </w:pPr>
  </w:style>
  <w:style w:type="paragraph" w:customStyle="1" w:styleId="ListBulleted">
    <w:name w:val="List Bulleted"/>
    <w:basedOn w:val="Normal"/>
    <w:rsid w:val="002433D3"/>
    <w:pPr>
      <w:tabs>
        <w:tab w:val="num" w:pos="720"/>
      </w:tabs>
      <w:spacing w:line="300" w:lineRule="auto"/>
      <w:ind w:left="720" w:hanging="360"/>
    </w:pPr>
  </w:style>
  <w:style w:type="paragraph" w:customStyle="1" w:styleId="C-CaptionContinued">
    <w:name w:val="C-Caption Continued"/>
    <w:next w:val="C-BodyText"/>
    <w:rsid w:val="0009132F"/>
    <w:pPr>
      <w:keepNext/>
      <w:spacing w:before="120" w:after="120" w:line="280" w:lineRule="atLeast"/>
      <w:ind w:left="1440" w:hanging="1440"/>
    </w:pPr>
    <w:rPr>
      <w:rFonts w:cs="Arial"/>
      <w:b/>
      <w:sz w:val="24"/>
      <w:szCs w:val="24"/>
    </w:rPr>
  </w:style>
  <w:style w:type="paragraph" w:customStyle="1" w:styleId="C-Footer">
    <w:name w:val="C-Footer"/>
    <w:rsid w:val="0009132F"/>
    <w:rPr>
      <w:sz w:val="24"/>
      <w:szCs w:val="24"/>
    </w:rPr>
  </w:style>
  <w:style w:type="paragraph" w:customStyle="1" w:styleId="C-Header">
    <w:name w:val="C-Header"/>
    <w:rsid w:val="0009132F"/>
    <w:rPr>
      <w:sz w:val="24"/>
      <w:szCs w:val="24"/>
    </w:rPr>
  </w:style>
  <w:style w:type="paragraph" w:customStyle="1" w:styleId="C-Heading1">
    <w:name w:val="C-Heading 1"/>
    <w:next w:val="C-BodyText"/>
    <w:autoRedefine/>
    <w:rsid w:val="002831C2"/>
    <w:pPr>
      <w:keepNext/>
      <w:pageBreakBefore/>
      <w:numPr>
        <w:numId w:val="7"/>
      </w:numPr>
      <w:spacing w:before="480" w:after="120"/>
      <w:outlineLvl w:val="0"/>
    </w:pPr>
    <w:rPr>
      <w:b/>
      <w:caps/>
      <w:sz w:val="24"/>
      <w:szCs w:val="24"/>
    </w:rPr>
  </w:style>
  <w:style w:type="paragraph" w:customStyle="1" w:styleId="C-Heading1nopagebreak">
    <w:name w:val="C-Heading 1 (no page break)"/>
    <w:basedOn w:val="C-Heading1"/>
    <w:next w:val="C-BodyText"/>
    <w:rsid w:val="0009132F"/>
    <w:pPr>
      <w:pageBreakBefore w:val="0"/>
      <w:numPr>
        <w:numId w:val="0"/>
      </w:numPr>
    </w:pPr>
  </w:style>
  <w:style w:type="paragraph" w:customStyle="1" w:styleId="C-Heading1non-numbered">
    <w:name w:val="C-Heading 1 (non-numbered)"/>
    <w:basedOn w:val="C-Heading1"/>
    <w:next w:val="C-BodyText"/>
    <w:rsid w:val="0009132F"/>
    <w:pPr>
      <w:numPr>
        <w:numId w:val="0"/>
      </w:numPr>
      <w:tabs>
        <w:tab w:val="left" w:pos="1080"/>
      </w:tabs>
      <w:ind w:left="1080" w:hanging="1080"/>
    </w:pPr>
  </w:style>
  <w:style w:type="paragraph" w:customStyle="1" w:styleId="C-Heading1nopagebreak0">
    <w:name w:val="C-Heading 1 (no page break"/>
    <w:aliases w:val="non-numbered)"/>
    <w:basedOn w:val="C-Heading1non-numbered"/>
    <w:next w:val="C-BodyText"/>
    <w:rsid w:val="0009132F"/>
    <w:pPr>
      <w:pageBreakBefore w:val="0"/>
    </w:pPr>
  </w:style>
  <w:style w:type="paragraph" w:customStyle="1" w:styleId="C-Heading2">
    <w:name w:val="C-Heading 2"/>
    <w:next w:val="C-BodyText"/>
    <w:rsid w:val="008A4F8B"/>
    <w:pPr>
      <w:keepNext/>
      <w:numPr>
        <w:ilvl w:val="1"/>
        <w:numId w:val="7"/>
      </w:numPr>
      <w:spacing w:before="240"/>
      <w:outlineLvl w:val="1"/>
    </w:pPr>
    <w:rPr>
      <w:b/>
      <w:sz w:val="24"/>
      <w:szCs w:val="24"/>
    </w:rPr>
  </w:style>
  <w:style w:type="paragraph" w:customStyle="1" w:styleId="C-Heading2non-numbered">
    <w:name w:val="C-Heading 2 (non-numbered)"/>
    <w:basedOn w:val="C-Heading2"/>
    <w:next w:val="C-BodyText"/>
    <w:rsid w:val="0009132F"/>
    <w:pPr>
      <w:numPr>
        <w:ilvl w:val="0"/>
        <w:numId w:val="0"/>
      </w:numPr>
      <w:tabs>
        <w:tab w:val="left" w:pos="1080"/>
      </w:tabs>
      <w:ind w:left="1080" w:hanging="1080"/>
    </w:pPr>
  </w:style>
  <w:style w:type="paragraph" w:customStyle="1" w:styleId="C-Heading3">
    <w:name w:val="C-Heading 3"/>
    <w:next w:val="C-BodyText"/>
    <w:rsid w:val="0009132F"/>
    <w:pPr>
      <w:keepNext/>
      <w:numPr>
        <w:ilvl w:val="2"/>
        <w:numId w:val="7"/>
      </w:numPr>
      <w:spacing w:before="240"/>
      <w:outlineLvl w:val="2"/>
    </w:pPr>
    <w:rPr>
      <w:b/>
      <w:sz w:val="24"/>
      <w:szCs w:val="24"/>
    </w:rPr>
  </w:style>
  <w:style w:type="paragraph" w:customStyle="1" w:styleId="C-Heading3non-numbered">
    <w:name w:val="C-Heading 3 (non-numbered)"/>
    <w:basedOn w:val="C-Heading3"/>
    <w:next w:val="C-BodyText"/>
    <w:rsid w:val="0009132F"/>
    <w:pPr>
      <w:numPr>
        <w:ilvl w:val="0"/>
        <w:numId w:val="0"/>
      </w:numPr>
      <w:tabs>
        <w:tab w:val="left" w:pos="1080"/>
      </w:tabs>
      <w:ind w:left="1080" w:hanging="1080"/>
    </w:pPr>
  </w:style>
  <w:style w:type="paragraph" w:customStyle="1" w:styleId="C-Heading4">
    <w:name w:val="C-Heading 4"/>
    <w:next w:val="C-BodyText"/>
    <w:rsid w:val="0009132F"/>
    <w:pPr>
      <w:keepNext/>
      <w:numPr>
        <w:ilvl w:val="3"/>
        <w:numId w:val="7"/>
      </w:numPr>
      <w:spacing w:before="240"/>
      <w:outlineLvl w:val="3"/>
    </w:pPr>
    <w:rPr>
      <w:b/>
      <w:sz w:val="24"/>
      <w:szCs w:val="24"/>
    </w:rPr>
  </w:style>
  <w:style w:type="paragraph" w:customStyle="1" w:styleId="C-Heading4non-numbered">
    <w:name w:val="C-Heading 4 (non-numbered)"/>
    <w:basedOn w:val="C-Heading4"/>
    <w:next w:val="C-BodyText"/>
    <w:rsid w:val="0009132F"/>
    <w:pPr>
      <w:numPr>
        <w:ilvl w:val="0"/>
        <w:numId w:val="0"/>
      </w:numPr>
      <w:tabs>
        <w:tab w:val="left" w:pos="1080"/>
      </w:tabs>
      <w:ind w:left="1080" w:hanging="1080"/>
    </w:pPr>
  </w:style>
  <w:style w:type="paragraph" w:customStyle="1" w:styleId="C-Heading5">
    <w:name w:val="C-Heading 5"/>
    <w:next w:val="C-BodyText"/>
    <w:rsid w:val="0009132F"/>
    <w:pPr>
      <w:keepNext/>
      <w:numPr>
        <w:ilvl w:val="4"/>
        <w:numId w:val="7"/>
      </w:numPr>
      <w:spacing w:before="240"/>
      <w:outlineLvl w:val="4"/>
    </w:pPr>
    <w:rPr>
      <w:b/>
      <w:sz w:val="24"/>
      <w:szCs w:val="24"/>
    </w:rPr>
  </w:style>
  <w:style w:type="paragraph" w:customStyle="1" w:styleId="C-Heading5non-numbered">
    <w:name w:val="C-Heading 5 (non-numbered)"/>
    <w:basedOn w:val="C-Heading5"/>
    <w:next w:val="C-BodyText"/>
    <w:rsid w:val="0009132F"/>
    <w:pPr>
      <w:numPr>
        <w:ilvl w:val="0"/>
        <w:numId w:val="0"/>
      </w:numPr>
      <w:tabs>
        <w:tab w:val="left" w:pos="1080"/>
      </w:tabs>
      <w:ind w:left="1080" w:hanging="1080"/>
    </w:pPr>
  </w:style>
  <w:style w:type="paragraph" w:customStyle="1" w:styleId="C-Heading6">
    <w:name w:val="C-Heading 6"/>
    <w:next w:val="C-BodyText"/>
    <w:rsid w:val="0009132F"/>
    <w:pPr>
      <w:keepNext/>
      <w:numPr>
        <w:ilvl w:val="5"/>
        <w:numId w:val="7"/>
      </w:numPr>
      <w:spacing w:before="240"/>
      <w:outlineLvl w:val="5"/>
    </w:pPr>
    <w:rPr>
      <w:b/>
      <w:sz w:val="24"/>
      <w:szCs w:val="24"/>
    </w:rPr>
  </w:style>
  <w:style w:type="paragraph" w:customStyle="1" w:styleId="C-Heading6non-numbered">
    <w:name w:val="C-Heading 6 (non-numbered)"/>
    <w:basedOn w:val="C-Heading6"/>
    <w:next w:val="C-BodyText"/>
    <w:rsid w:val="0009132F"/>
    <w:pPr>
      <w:numPr>
        <w:ilvl w:val="0"/>
        <w:numId w:val="0"/>
      </w:numPr>
      <w:tabs>
        <w:tab w:val="left" w:pos="1080"/>
      </w:tabs>
      <w:ind w:left="1080" w:hanging="1080"/>
    </w:pPr>
  </w:style>
  <w:style w:type="character" w:customStyle="1" w:styleId="C-Hyperlink">
    <w:name w:val="C-Hyperlink"/>
    <w:basedOn w:val="DefaultParagraphFont"/>
    <w:rsid w:val="0009132F"/>
    <w:rPr>
      <w:color w:val="0000FF"/>
    </w:rPr>
  </w:style>
  <w:style w:type="paragraph" w:customStyle="1" w:styleId="C-InstructionText">
    <w:name w:val="C-Instruction Text"/>
    <w:autoRedefine/>
    <w:rsid w:val="002D4285"/>
    <w:pPr>
      <w:spacing w:before="120" w:after="120" w:line="280" w:lineRule="atLeast"/>
    </w:pPr>
    <w:rPr>
      <w:spacing w:val="-2"/>
      <w:szCs w:val="24"/>
    </w:rPr>
  </w:style>
  <w:style w:type="paragraph" w:customStyle="1" w:styleId="C-NumberedList">
    <w:name w:val="C-Numbered List"/>
    <w:rsid w:val="0009132F"/>
    <w:pPr>
      <w:numPr>
        <w:numId w:val="8"/>
      </w:numPr>
      <w:spacing w:before="120" w:after="120" w:line="280" w:lineRule="atLeast"/>
    </w:pPr>
    <w:rPr>
      <w:sz w:val="24"/>
      <w:szCs w:val="24"/>
    </w:rPr>
  </w:style>
  <w:style w:type="paragraph" w:styleId="CommentText">
    <w:name w:val="annotation text"/>
    <w:basedOn w:val="Normal"/>
    <w:link w:val="CommentTextChar"/>
    <w:rsid w:val="0009132F"/>
    <w:rPr>
      <w:sz w:val="20"/>
    </w:rPr>
  </w:style>
  <w:style w:type="character" w:customStyle="1" w:styleId="CommentTextChar">
    <w:name w:val="Comment Text Char"/>
    <w:basedOn w:val="DefaultParagraphFont"/>
    <w:link w:val="CommentText"/>
    <w:rsid w:val="0009132F"/>
    <w:rPr>
      <w:rFonts w:cs="Arial"/>
    </w:rPr>
  </w:style>
  <w:style w:type="paragraph" w:styleId="CommentSubject">
    <w:name w:val="annotation subject"/>
    <w:basedOn w:val="CommentText"/>
    <w:next w:val="CommentText"/>
    <w:link w:val="CommentSubjectChar"/>
    <w:locked/>
    <w:rsid w:val="0009132F"/>
    <w:rPr>
      <w:b/>
      <w:bCs/>
    </w:rPr>
  </w:style>
  <w:style w:type="character" w:customStyle="1" w:styleId="CommentSubjectChar">
    <w:name w:val="Comment Subject Char"/>
    <w:basedOn w:val="CommentTextChar"/>
    <w:link w:val="CommentSubject"/>
    <w:rsid w:val="0009132F"/>
    <w:rPr>
      <w:rFonts w:cs="Arial"/>
      <w:b/>
      <w:bCs/>
    </w:rPr>
  </w:style>
  <w:style w:type="character" w:styleId="HTMLCode">
    <w:name w:val="HTML Code"/>
    <w:basedOn w:val="DefaultParagraphFont"/>
    <w:uiPriority w:val="99"/>
    <w:unhideWhenUsed/>
    <w:locked/>
    <w:rsid w:val="00BB6B99"/>
    <w:rPr>
      <w:rFonts w:ascii="Courier New" w:hAnsi="Courier New" w:cs="Courier New"/>
      <w:sz w:val="20"/>
      <w:szCs w:val="20"/>
    </w:rPr>
  </w:style>
  <w:style w:type="table" w:customStyle="1" w:styleId="C-Table">
    <w:name w:val="C-Table"/>
    <w:basedOn w:val="TableNormal"/>
    <w:rsid w:val="0009132F"/>
    <w:tblPr>
      <w:tblInd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rPr>
      <w:cantSplit/>
    </w:trPr>
  </w:style>
  <w:style w:type="character" w:customStyle="1" w:styleId="C-TableCallout">
    <w:name w:val="C-Table Callout"/>
    <w:basedOn w:val="DefaultParagraphFont"/>
    <w:rsid w:val="0009132F"/>
    <w:rPr>
      <w:rFonts w:ascii="Times New Roman" w:hAnsi="Times New Roman"/>
      <w:dstrike w:val="0"/>
      <w:color w:val="auto"/>
      <w:spacing w:val="0"/>
      <w:w w:val="100"/>
      <w:position w:val="0"/>
      <w:sz w:val="22"/>
      <w:szCs w:val="22"/>
      <w:u w:val="none"/>
      <w:effect w:val="none"/>
      <w:vertAlign w:val="superscript"/>
      <w:em w:val="none"/>
    </w:rPr>
  </w:style>
  <w:style w:type="paragraph" w:customStyle="1" w:styleId="C-TableFootnote">
    <w:name w:val="C-Table Footnote"/>
    <w:next w:val="C-BodyText"/>
    <w:rsid w:val="008B5516"/>
    <w:pPr>
      <w:tabs>
        <w:tab w:val="left" w:pos="144"/>
      </w:tabs>
      <w:ind w:left="144" w:hanging="144"/>
    </w:pPr>
    <w:rPr>
      <w:rFonts w:cs="Arial"/>
      <w:sz w:val="18"/>
      <w:szCs w:val="24"/>
    </w:rPr>
  </w:style>
  <w:style w:type="paragraph" w:customStyle="1" w:styleId="C-TableHeader">
    <w:name w:val="C-Table Header"/>
    <w:next w:val="Normal"/>
    <w:rsid w:val="008724D5"/>
    <w:pPr>
      <w:keepNext/>
      <w:spacing w:before="60" w:after="60"/>
    </w:pPr>
    <w:rPr>
      <w:b/>
      <w:szCs w:val="24"/>
    </w:rPr>
  </w:style>
  <w:style w:type="paragraph" w:customStyle="1" w:styleId="C-TableText">
    <w:name w:val="C-Table Text"/>
    <w:rsid w:val="008B5516"/>
    <w:rPr>
      <w:szCs w:val="24"/>
    </w:rPr>
  </w:style>
  <w:style w:type="paragraph" w:customStyle="1" w:styleId="C-Title">
    <w:name w:val="C-Title"/>
    <w:next w:val="C-BodyText"/>
    <w:rsid w:val="0009132F"/>
    <w:pPr>
      <w:spacing w:after="120"/>
      <w:jc w:val="center"/>
    </w:pPr>
    <w:rPr>
      <w:b/>
      <w:caps/>
      <w:sz w:val="36"/>
      <w:szCs w:val="24"/>
    </w:rPr>
  </w:style>
  <w:style w:type="paragraph" w:customStyle="1" w:styleId="C-TOCTitle">
    <w:name w:val="C-TOC Title"/>
    <w:next w:val="C-BodyText"/>
    <w:rsid w:val="0009132F"/>
    <w:pPr>
      <w:spacing w:after="120"/>
      <w:jc w:val="center"/>
    </w:pPr>
    <w:rPr>
      <w:b/>
      <w:caps/>
      <w:sz w:val="28"/>
      <w:szCs w:val="28"/>
    </w:rPr>
  </w:style>
  <w:style w:type="character" w:styleId="HTMLKeyboard">
    <w:name w:val="HTML Keyboard"/>
    <w:basedOn w:val="DefaultParagraphFont"/>
    <w:locked/>
    <w:rsid w:val="0009132F"/>
    <w:rPr>
      <w:rFonts w:ascii="Courier New" w:hAnsi="Courier New"/>
      <w:sz w:val="20"/>
      <w:szCs w:val="20"/>
    </w:rPr>
  </w:style>
  <w:style w:type="character" w:styleId="Hyperlink">
    <w:name w:val="Hyperlink"/>
    <w:basedOn w:val="DefaultParagraphFont"/>
    <w:uiPriority w:val="99"/>
    <w:locked/>
    <w:rsid w:val="0009132F"/>
    <w:rPr>
      <w:color w:val="0000FF"/>
      <w:u w:val="single"/>
    </w:rPr>
  </w:style>
  <w:style w:type="paragraph" w:styleId="TableofFigures">
    <w:name w:val="table of figures"/>
    <w:next w:val="C-BodyText"/>
    <w:uiPriority w:val="99"/>
    <w:rsid w:val="0009132F"/>
    <w:pPr>
      <w:tabs>
        <w:tab w:val="left" w:pos="1152"/>
        <w:tab w:val="right" w:leader="dot" w:pos="9360"/>
      </w:tabs>
      <w:spacing w:before="120" w:line="280" w:lineRule="atLeast"/>
      <w:ind w:left="1152" w:right="792" w:hanging="1152"/>
    </w:pPr>
    <w:rPr>
      <w:rFonts w:cs="Arial"/>
      <w:color w:val="0000FF"/>
      <w:sz w:val="24"/>
      <w:szCs w:val="24"/>
    </w:rPr>
  </w:style>
  <w:style w:type="paragraph" w:styleId="TOAHeading">
    <w:name w:val="toa heading"/>
    <w:basedOn w:val="Normal"/>
    <w:next w:val="Normal"/>
    <w:rsid w:val="0009132F"/>
    <w:pPr>
      <w:spacing w:before="120"/>
    </w:pPr>
    <w:rPr>
      <w:rFonts w:ascii="Arial" w:hAnsi="Arial"/>
      <w:b/>
      <w:bCs/>
      <w:szCs w:val="24"/>
    </w:rPr>
  </w:style>
  <w:style w:type="paragraph" w:styleId="Revision">
    <w:name w:val="Revision"/>
    <w:hidden/>
    <w:uiPriority w:val="99"/>
    <w:semiHidden/>
    <w:rsid w:val="00844EA5"/>
    <w:rPr>
      <w:sz w:val="24"/>
      <w:szCs w:val="24"/>
    </w:rPr>
  </w:style>
  <w:style w:type="character" w:styleId="PageNumber">
    <w:name w:val="page number"/>
    <w:basedOn w:val="DefaultParagraphFont"/>
    <w:locked/>
    <w:rsid w:val="008A4F8B"/>
  </w:style>
  <w:style w:type="paragraph" w:customStyle="1" w:styleId="Tabletitle2ndline">
    <w:name w:val="Table title 2nd line"/>
    <w:basedOn w:val="Normal"/>
    <w:link w:val="Tabletitle2ndlineChar"/>
    <w:rsid w:val="008A4F8B"/>
    <w:pPr>
      <w:keepNext/>
      <w:spacing w:after="60" w:line="240" w:lineRule="auto"/>
      <w:ind w:left="1080"/>
    </w:pPr>
  </w:style>
  <w:style w:type="character" w:customStyle="1" w:styleId="Tabletitle2ndlineChar">
    <w:name w:val="Table title 2nd line Char"/>
    <w:basedOn w:val="DefaultParagraphFont"/>
    <w:link w:val="Tabletitle2ndline"/>
    <w:rsid w:val="008A4F8B"/>
    <w:rPr>
      <w:sz w:val="24"/>
    </w:rPr>
  </w:style>
  <w:style w:type="paragraph" w:customStyle="1" w:styleId="ListItem">
    <w:name w:val="List Item"/>
    <w:basedOn w:val="Normal"/>
    <w:rsid w:val="002433D3"/>
    <w:pPr>
      <w:spacing w:after="120" w:line="300" w:lineRule="auto"/>
    </w:pPr>
  </w:style>
  <w:style w:type="paragraph" w:customStyle="1" w:styleId="ListNumbered">
    <w:name w:val="List Numbered"/>
    <w:basedOn w:val="Normal"/>
    <w:rsid w:val="002433D3"/>
    <w:pPr>
      <w:tabs>
        <w:tab w:val="num" w:pos="360"/>
      </w:tabs>
      <w:spacing w:after="120" w:line="300" w:lineRule="auto"/>
      <w:ind w:left="360" w:hanging="360"/>
    </w:pPr>
  </w:style>
  <w:style w:type="paragraph" w:styleId="MacroText">
    <w:name w:val="macro"/>
    <w:link w:val="MacroTextChar"/>
    <w:semiHidden/>
    <w:locked/>
    <w:rsid w:val="008A4F8B"/>
    <w:pPr>
      <w:tabs>
        <w:tab w:val="left" w:pos="480"/>
        <w:tab w:val="left" w:pos="960"/>
        <w:tab w:val="left" w:pos="1440"/>
        <w:tab w:val="left" w:pos="1920"/>
        <w:tab w:val="left" w:pos="2400"/>
        <w:tab w:val="left" w:pos="2880"/>
        <w:tab w:val="left" w:pos="3360"/>
        <w:tab w:val="left" w:pos="3840"/>
        <w:tab w:val="left" w:pos="4320"/>
      </w:tabs>
      <w:spacing w:line="240" w:lineRule="exact"/>
    </w:pPr>
    <w:rPr>
      <w:rFonts w:ascii="Courier New" w:hAnsi="Courier New" w:cs="Courier New"/>
    </w:rPr>
  </w:style>
  <w:style w:type="character" w:customStyle="1" w:styleId="MacroTextChar">
    <w:name w:val="Macro Text Char"/>
    <w:basedOn w:val="DefaultParagraphFont"/>
    <w:link w:val="MacroText"/>
    <w:semiHidden/>
    <w:rsid w:val="008A4F8B"/>
    <w:rPr>
      <w:rFonts w:ascii="Courier New" w:hAnsi="Courier New" w:cs="Courier New"/>
      <w:lang w:val="en-US" w:eastAsia="en-US" w:bidi="ar-SA"/>
    </w:rPr>
  </w:style>
  <w:style w:type="paragraph" w:styleId="NormalIndent">
    <w:name w:val="Normal Indent"/>
    <w:basedOn w:val="Normal"/>
    <w:locked/>
    <w:rsid w:val="008A4F8B"/>
    <w:pPr>
      <w:ind w:left="720"/>
    </w:pPr>
  </w:style>
  <w:style w:type="paragraph" w:styleId="TableofAuthorities">
    <w:name w:val="table of authorities"/>
    <w:basedOn w:val="Normal"/>
    <w:next w:val="Normal"/>
    <w:semiHidden/>
    <w:locked/>
    <w:rsid w:val="008A4F8B"/>
    <w:pPr>
      <w:ind w:left="240" w:hanging="240"/>
    </w:pPr>
  </w:style>
  <w:style w:type="paragraph" w:customStyle="1" w:styleId="Synop1">
    <w:name w:val="Synop1"/>
    <w:basedOn w:val="Normal"/>
    <w:link w:val="Synop1Char"/>
    <w:rsid w:val="008A4F8B"/>
    <w:pPr>
      <w:widowControl w:val="0"/>
      <w:tabs>
        <w:tab w:val="left" w:pos="-1440"/>
        <w:tab w:val="left" w:pos="-720"/>
        <w:tab w:val="left" w:pos="0"/>
        <w:tab w:val="left" w:pos="120"/>
        <w:tab w:val="left" w:pos="475"/>
        <w:tab w:val="left" w:pos="1800"/>
        <w:tab w:val="left" w:pos="4536"/>
        <w:tab w:val="right" w:pos="8640"/>
      </w:tabs>
      <w:spacing w:before="40" w:after="20" w:line="240" w:lineRule="auto"/>
    </w:pPr>
    <w:rPr>
      <w:sz w:val="20"/>
    </w:rPr>
  </w:style>
  <w:style w:type="character" w:customStyle="1" w:styleId="Synop1Char">
    <w:name w:val="Synop1 Char"/>
    <w:basedOn w:val="DefaultParagraphFont"/>
    <w:link w:val="Synop1"/>
    <w:rsid w:val="008A4F8B"/>
  </w:style>
  <w:style w:type="paragraph" w:customStyle="1" w:styleId="Ref">
    <w:name w:val="Ref#"/>
    <w:basedOn w:val="Normal"/>
    <w:rsid w:val="008A4F8B"/>
    <w:pPr>
      <w:widowControl w:val="0"/>
      <w:tabs>
        <w:tab w:val="num" w:pos="720"/>
      </w:tabs>
      <w:spacing w:after="300" w:line="300" w:lineRule="auto"/>
      <w:ind w:left="720" w:hanging="720"/>
    </w:pPr>
    <w:rPr>
      <w:szCs w:val="24"/>
    </w:rPr>
  </w:style>
  <w:style w:type="paragraph" w:customStyle="1" w:styleId="TblSpace">
    <w:name w:val="TblSpace"/>
    <w:basedOn w:val="Normal"/>
    <w:next w:val="Normal"/>
    <w:rsid w:val="008A4F8B"/>
    <w:pPr>
      <w:tabs>
        <w:tab w:val="right" w:pos="8640"/>
      </w:tabs>
      <w:spacing w:after="120"/>
    </w:pPr>
  </w:style>
  <w:style w:type="paragraph" w:customStyle="1" w:styleId="Tablecellleft">
    <w:name w:val="Table cell left"/>
    <w:basedOn w:val="Normal"/>
    <w:rsid w:val="008A4F8B"/>
    <w:pPr>
      <w:keepNext/>
      <w:keepLines/>
      <w:tabs>
        <w:tab w:val="right" w:pos="8640"/>
      </w:tabs>
      <w:spacing w:before="30" w:after="30" w:line="220" w:lineRule="exact"/>
      <w:ind w:left="86" w:hanging="86"/>
    </w:pPr>
    <w:rPr>
      <w:sz w:val="20"/>
    </w:rPr>
  </w:style>
  <w:style w:type="paragraph" w:customStyle="1" w:styleId="Tablecellcenter">
    <w:name w:val="Table cell center"/>
    <w:basedOn w:val="Normal"/>
    <w:rsid w:val="008A4F8B"/>
    <w:pPr>
      <w:tabs>
        <w:tab w:val="right" w:pos="8640"/>
      </w:tabs>
      <w:spacing w:before="30" w:after="30" w:line="220" w:lineRule="exact"/>
      <w:jc w:val="center"/>
    </w:pPr>
    <w:rPr>
      <w:sz w:val="20"/>
    </w:rPr>
  </w:style>
  <w:style w:type="paragraph" w:customStyle="1" w:styleId="Tablecelldecimal">
    <w:name w:val="Table cell decimal"/>
    <w:basedOn w:val="Tablecellcenter"/>
    <w:rsid w:val="008A4F8B"/>
    <w:pPr>
      <w:keepNext/>
      <w:keepLines/>
      <w:tabs>
        <w:tab w:val="clear" w:pos="8640"/>
        <w:tab w:val="decimal" w:pos="162"/>
      </w:tabs>
      <w:ind w:left="-58" w:right="-58"/>
      <w:jc w:val="left"/>
    </w:pPr>
  </w:style>
  <w:style w:type="paragraph" w:customStyle="1" w:styleId="TblFooter">
    <w:name w:val="TblFooter"/>
    <w:basedOn w:val="Tablecellleft"/>
    <w:rsid w:val="008A4F8B"/>
    <w:pPr>
      <w:tabs>
        <w:tab w:val="clear" w:pos="8640"/>
        <w:tab w:val="left" w:pos="303"/>
        <w:tab w:val="left" w:pos="663"/>
      </w:tabs>
      <w:ind w:left="677" w:hanging="547"/>
    </w:pPr>
  </w:style>
  <w:style w:type="paragraph" w:customStyle="1" w:styleId="Tablecellleftindent">
    <w:name w:val="Table cell left indent"/>
    <w:basedOn w:val="Tablecellleft"/>
    <w:rsid w:val="008A4F8B"/>
    <w:pPr>
      <w:ind w:left="288"/>
    </w:pPr>
  </w:style>
  <w:style w:type="paragraph" w:customStyle="1" w:styleId="Tablecellleftindent2">
    <w:name w:val="Table cell left indent2"/>
    <w:basedOn w:val="Tablecellleftindent"/>
    <w:rsid w:val="008A4F8B"/>
    <w:pPr>
      <w:ind w:left="432"/>
    </w:pPr>
  </w:style>
  <w:style w:type="paragraph" w:styleId="BalloonText">
    <w:name w:val="Balloon Text"/>
    <w:basedOn w:val="Normal"/>
    <w:link w:val="BalloonTextChar"/>
    <w:semiHidden/>
    <w:locked/>
    <w:rsid w:val="008A4F8B"/>
    <w:rPr>
      <w:rFonts w:ascii="Tahoma" w:hAnsi="Tahoma" w:cs="Tahoma"/>
      <w:sz w:val="16"/>
      <w:szCs w:val="16"/>
    </w:rPr>
  </w:style>
  <w:style w:type="character" w:customStyle="1" w:styleId="BalloonTextChar">
    <w:name w:val="Balloon Text Char"/>
    <w:basedOn w:val="DefaultParagraphFont"/>
    <w:link w:val="BalloonText"/>
    <w:semiHidden/>
    <w:rsid w:val="008A4F8B"/>
    <w:rPr>
      <w:rFonts w:ascii="Tahoma" w:hAnsi="Tahoma" w:cs="Tahoma"/>
      <w:sz w:val="16"/>
      <w:szCs w:val="16"/>
    </w:rPr>
  </w:style>
  <w:style w:type="paragraph" w:styleId="HTMLAddress">
    <w:name w:val="HTML Address"/>
    <w:basedOn w:val="Normal"/>
    <w:link w:val="HTMLAddressChar"/>
    <w:locked/>
    <w:rsid w:val="008A4F8B"/>
    <w:rPr>
      <w:i/>
      <w:iCs/>
    </w:rPr>
  </w:style>
  <w:style w:type="character" w:customStyle="1" w:styleId="HTMLAddressChar">
    <w:name w:val="HTML Address Char"/>
    <w:basedOn w:val="DefaultParagraphFont"/>
    <w:link w:val="HTMLAddress"/>
    <w:rsid w:val="008A4F8B"/>
    <w:rPr>
      <w:i/>
      <w:iCs/>
      <w:sz w:val="24"/>
    </w:rPr>
  </w:style>
  <w:style w:type="paragraph" w:styleId="HTMLPreformatted">
    <w:name w:val="HTML Preformatted"/>
    <w:basedOn w:val="Normal"/>
    <w:link w:val="HTMLPreformattedChar"/>
    <w:locked/>
    <w:rsid w:val="008A4F8B"/>
    <w:rPr>
      <w:rFonts w:ascii="Courier New" w:hAnsi="Courier New" w:cs="Courier New"/>
      <w:sz w:val="20"/>
    </w:rPr>
  </w:style>
  <w:style w:type="character" w:customStyle="1" w:styleId="HTMLPreformattedChar">
    <w:name w:val="HTML Preformatted Char"/>
    <w:basedOn w:val="DefaultParagraphFont"/>
    <w:link w:val="HTMLPreformatted"/>
    <w:rsid w:val="008A4F8B"/>
    <w:rPr>
      <w:rFonts w:ascii="Courier New" w:hAnsi="Courier New" w:cs="Courier New"/>
    </w:rPr>
  </w:style>
  <w:style w:type="paragraph" w:styleId="Index3">
    <w:name w:val="index 3"/>
    <w:basedOn w:val="Normal"/>
    <w:next w:val="Normal"/>
    <w:autoRedefine/>
    <w:semiHidden/>
    <w:locked/>
    <w:rsid w:val="008A4F8B"/>
    <w:pPr>
      <w:ind w:left="720" w:hanging="240"/>
    </w:pPr>
  </w:style>
  <w:style w:type="paragraph" w:styleId="Index4">
    <w:name w:val="index 4"/>
    <w:basedOn w:val="Normal"/>
    <w:next w:val="Normal"/>
    <w:autoRedefine/>
    <w:semiHidden/>
    <w:locked/>
    <w:rsid w:val="008A4F8B"/>
    <w:pPr>
      <w:ind w:left="960" w:hanging="240"/>
    </w:pPr>
  </w:style>
  <w:style w:type="paragraph" w:styleId="Index5">
    <w:name w:val="index 5"/>
    <w:basedOn w:val="Normal"/>
    <w:next w:val="Normal"/>
    <w:autoRedefine/>
    <w:semiHidden/>
    <w:locked/>
    <w:rsid w:val="008A4F8B"/>
    <w:pPr>
      <w:ind w:left="1200" w:hanging="240"/>
    </w:pPr>
  </w:style>
  <w:style w:type="paragraph" w:styleId="Index6">
    <w:name w:val="index 6"/>
    <w:basedOn w:val="Normal"/>
    <w:next w:val="Normal"/>
    <w:autoRedefine/>
    <w:semiHidden/>
    <w:locked/>
    <w:rsid w:val="008A4F8B"/>
    <w:pPr>
      <w:ind w:left="1440" w:hanging="240"/>
    </w:pPr>
  </w:style>
  <w:style w:type="paragraph" w:styleId="Index7">
    <w:name w:val="index 7"/>
    <w:basedOn w:val="Normal"/>
    <w:next w:val="Normal"/>
    <w:autoRedefine/>
    <w:semiHidden/>
    <w:locked/>
    <w:rsid w:val="008A4F8B"/>
    <w:pPr>
      <w:ind w:left="1680" w:hanging="240"/>
    </w:pPr>
  </w:style>
  <w:style w:type="paragraph" w:styleId="Index8">
    <w:name w:val="index 8"/>
    <w:basedOn w:val="Normal"/>
    <w:next w:val="Normal"/>
    <w:autoRedefine/>
    <w:semiHidden/>
    <w:locked/>
    <w:rsid w:val="008A4F8B"/>
    <w:pPr>
      <w:ind w:left="1920" w:hanging="240"/>
    </w:pPr>
  </w:style>
  <w:style w:type="paragraph" w:styleId="Index9">
    <w:name w:val="index 9"/>
    <w:basedOn w:val="Normal"/>
    <w:next w:val="Normal"/>
    <w:autoRedefine/>
    <w:semiHidden/>
    <w:locked/>
    <w:rsid w:val="008A4F8B"/>
    <w:pPr>
      <w:ind w:left="2160" w:hanging="240"/>
    </w:pPr>
  </w:style>
  <w:style w:type="paragraph" w:customStyle="1" w:styleId="ListItemBold">
    <w:name w:val="List Item Bold"/>
    <w:basedOn w:val="ListItem"/>
    <w:rsid w:val="008A4F8B"/>
    <w:rPr>
      <w:b/>
    </w:rPr>
  </w:style>
  <w:style w:type="paragraph" w:styleId="MessageHeader">
    <w:name w:val="Message Header"/>
    <w:basedOn w:val="Normal"/>
    <w:link w:val="MessageHeaderChar"/>
    <w:locked/>
    <w:rsid w:val="008A4F8B"/>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Cs w:val="24"/>
    </w:rPr>
  </w:style>
  <w:style w:type="character" w:customStyle="1" w:styleId="MessageHeaderChar">
    <w:name w:val="Message Header Char"/>
    <w:basedOn w:val="DefaultParagraphFont"/>
    <w:link w:val="MessageHeader"/>
    <w:rsid w:val="008A4F8B"/>
    <w:rPr>
      <w:rFonts w:ascii="Arial" w:hAnsi="Arial" w:cs="Arial"/>
      <w:sz w:val="24"/>
      <w:szCs w:val="24"/>
      <w:shd w:val="pct20" w:color="auto" w:fill="auto"/>
    </w:rPr>
  </w:style>
  <w:style w:type="paragraph" w:customStyle="1" w:styleId="Normalbold">
    <w:name w:val="Normal (bold)"/>
    <w:basedOn w:val="Normal"/>
    <w:next w:val="Normal"/>
    <w:rsid w:val="008A4F8B"/>
    <w:pPr>
      <w:keepNext/>
    </w:pPr>
    <w:rPr>
      <w:b/>
    </w:rPr>
  </w:style>
  <w:style w:type="paragraph" w:styleId="NormalWeb">
    <w:name w:val="Normal (Web)"/>
    <w:basedOn w:val="Normal"/>
    <w:locked/>
    <w:rsid w:val="008A4F8B"/>
    <w:rPr>
      <w:szCs w:val="24"/>
    </w:rPr>
  </w:style>
  <w:style w:type="paragraph" w:customStyle="1" w:styleId="NormalBoldUnderlined">
    <w:name w:val="Normal Bold Underlined"/>
    <w:basedOn w:val="Normalbold"/>
    <w:rsid w:val="008A4F8B"/>
    <w:pPr>
      <w:spacing w:after="60"/>
    </w:pPr>
    <w:rPr>
      <w:rFonts w:ascii="Times New Roman Bold" w:hAnsi="Times New Roman Bold"/>
      <w:szCs w:val="24"/>
      <w:u w:val="single"/>
    </w:rPr>
  </w:style>
  <w:style w:type="paragraph" w:styleId="NoteHeading">
    <w:name w:val="Note Heading"/>
    <w:basedOn w:val="Normal"/>
    <w:next w:val="Normal"/>
    <w:link w:val="NoteHeadingChar"/>
    <w:locked/>
    <w:rsid w:val="008A4F8B"/>
  </w:style>
  <w:style w:type="character" w:customStyle="1" w:styleId="NoteHeadingChar">
    <w:name w:val="Note Heading Char"/>
    <w:basedOn w:val="DefaultParagraphFont"/>
    <w:link w:val="NoteHeading"/>
    <w:rsid w:val="008A4F8B"/>
    <w:rPr>
      <w:sz w:val="24"/>
    </w:rPr>
  </w:style>
  <w:style w:type="paragraph" w:styleId="Salutation">
    <w:name w:val="Salutation"/>
    <w:basedOn w:val="Normal"/>
    <w:next w:val="Normal"/>
    <w:link w:val="SalutationChar"/>
    <w:locked/>
    <w:rsid w:val="008A4F8B"/>
  </w:style>
  <w:style w:type="character" w:customStyle="1" w:styleId="SalutationChar">
    <w:name w:val="Salutation Char"/>
    <w:basedOn w:val="DefaultParagraphFont"/>
    <w:link w:val="Salutation"/>
    <w:rsid w:val="008A4F8B"/>
    <w:rPr>
      <w:sz w:val="24"/>
    </w:rPr>
  </w:style>
  <w:style w:type="paragraph" w:styleId="Signature">
    <w:name w:val="Signature"/>
    <w:basedOn w:val="Normal"/>
    <w:link w:val="SignatureChar"/>
    <w:locked/>
    <w:rsid w:val="008A4F8B"/>
    <w:pPr>
      <w:ind w:left="4320"/>
    </w:pPr>
  </w:style>
  <w:style w:type="character" w:customStyle="1" w:styleId="SignatureChar">
    <w:name w:val="Signature Char"/>
    <w:basedOn w:val="DefaultParagraphFont"/>
    <w:link w:val="Signature"/>
    <w:rsid w:val="008A4F8B"/>
    <w:rPr>
      <w:sz w:val="24"/>
    </w:rPr>
  </w:style>
  <w:style w:type="paragraph" w:customStyle="1" w:styleId="SynopsisBullet">
    <w:name w:val="Synopsis Bullet"/>
    <w:basedOn w:val="Normal"/>
    <w:rsid w:val="008A4F8B"/>
    <w:pPr>
      <w:tabs>
        <w:tab w:val="num" w:pos="360"/>
      </w:tabs>
      <w:spacing w:before="40" w:after="20" w:line="240" w:lineRule="auto"/>
    </w:pPr>
    <w:rPr>
      <w:sz w:val="20"/>
    </w:rPr>
  </w:style>
  <w:style w:type="paragraph" w:customStyle="1" w:styleId="TableFooter">
    <w:name w:val="Table Footer"/>
    <w:basedOn w:val="Normal"/>
    <w:rsid w:val="002433D3"/>
    <w:pPr>
      <w:keepLines/>
      <w:tabs>
        <w:tab w:val="right" w:pos="144"/>
      </w:tabs>
      <w:spacing w:before="60"/>
      <w:ind w:left="216" w:hanging="216"/>
    </w:pPr>
    <w:rPr>
      <w:sz w:val="20"/>
    </w:rPr>
  </w:style>
  <w:style w:type="table" w:styleId="TableGrid">
    <w:name w:val="Table Grid"/>
    <w:basedOn w:val="TableNormal"/>
    <w:locked/>
    <w:rsid w:val="008A4F8B"/>
    <w:pPr>
      <w:spacing w:line="240" w:lineRule="exact"/>
    </w:pPr>
    <w:tblPr>
      <w:tblInd w:w="0" w:type="dxa"/>
      <w:tblBorders>
        <w:top w:val="single" w:sz="4" w:space="0" w:color="auto"/>
        <w:left w:val="single" w:sz="4" w:space="0" w:color="auto"/>
        <w:bottom w:val="single" w:sz="4" w:space="0" w:color="auto"/>
        <w:right w:val="single" w:sz="4" w:space="0" w:color="auto"/>
      </w:tblBorders>
      <w:tblCellMar>
        <w:top w:w="0" w:type="dxa"/>
        <w:left w:w="108" w:type="dxa"/>
        <w:bottom w:w="0" w:type="dxa"/>
        <w:right w:w="108" w:type="dxa"/>
      </w:tblCellMar>
    </w:tblPr>
  </w:style>
  <w:style w:type="paragraph" w:customStyle="1" w:styleId="TableSpace">
    <w:name w:val="Table Space"/>
    <w:basedOn w:val="Normal"/>
    <w:rsid w:val="002433D3"/>
    <w:pPr>
      <w:spacing w:after="120"/>
    </w:pPr>
  </w:style>
  <w:style w:type="paragraph" w:customStyle="1" w:styleId="ListBulletedLastbullet">
    <w:name w:val="List Bulleted Last bullet"/>
    <w:rsid w:val="008A4F8B"/>
    <w:pPr>
      <w:tabs>
        <w:tab w:val="num" w:pos="360"/>
      </w:tabs>
      <w:spacing w:after="240" w:line="300" w:lineRule="auto"/>
      <w:ind w:left="360" w:hanging="360"/>
    </w:pPr>
    <w:rPr>
      <w:sz w:val="24"/>
    </w:rPr>
  </w:style>
  <w:style w:type="paragraph" w:customStyle="1" w:styleId="ListItemLastItem">
    <w:name w:val="List Item Last Item"/>
    <w:basedOn w:val="ListItem"/>
    <w:rsid w:val="008A4F8B"/>
    <w:pPr>
      <w:spacing w:after="240"/>
    </w:pPr>
  </w:style>
  <w:style w:type="paragraph" w:customStyle="1" w:styleId="ListNumberedLastNumber">
    <w:name w:val="List Numbered Last Number"/>
    <w:basedOn w:val="ListNumbered"/>
    <w:rsid w:val="008A4F8B"/>
  </w:style>
  <w:style w:type="paragraph" w:styleId="ListBullet">
    <w:name w:val="List Bullet"/>
    <w:basedOn w:val="Normal"/>
    <w:locked/>
    <w:rsid w:val="008A4F8B"/>
    <w:pPr>
      <w:tabs>
        <w:tab w:val="num" w:pos="360"/>
      </w:tabs>
      <w:spacing w:line="240" w:lineRule="auto"/>
      <w:ind w:left="360" w:hanging="360"/>
      <w:contextualSpacing/>
    </w:pPr>
    <w:rPr>
      <w:szCs w:val="24"/>
    </w:rPr>
  </w:style>
  <w:style w:type="paragraph" w:customStyle="1" w:styleId="StyleHeading2JustifiedBefore10ptAfter10ptLinesp">
    <w:name w:val="Style Heading 2 + Justified Before:  10 pt After:  10 pt Line sp..."/>
    <w:basedOn w:val="Heading2"/>
    <w:rsid w:val="008A4F8B"/>
    <w:pPr>
      <w:keepLines/>
      <w:numPr>
        <w:ilvl w:val="1"/>
        <w:numId w:val="2"/>
      </w:numPr>
      <w:spacing w:before="200" w:after="200" w:line="360" w:lineRule="auto"/>
      <w:ind w:left="0" w:firstLine="0"/>
      <w:jc w:val="both"/>
    </w:pPr>
    <w:rPr>
      <w:rFonts w:ascii="Times New Roman Bold" w:hAnsi="Times New Roman Bold"/>
      <w:caps/>
      <w:sz w:val="24"/>
      <w:szCs w:val="20"/>
    </w:rPr>
  </w:style>
  <w:style w:type="paragraph" w:customStyle="1" w:styleId="Synopsistext">
    <w:name w:val="Synopsis text"/>
    <w:basedOn w:val="Normal"/>
    <w:link w:val="SynopsistextChar"/>
    <w:rsid w:val="008A4F8B"/>
    <w:pPr>
      <w:spacing w:after="60" w:line="240" w:lineRule="auto"/>
    </w:pPr>
    <w:rPr>
      <w:sz w:val="18"/>
    </w:rPr>
  </w:style>
  <w:style w:type="character" w:customStyle="1" w:styleId="SynopsistextChar">
    <w:name w:val="Synopsis text Char"/>
    <w:basedOn w:val="DefaultParagraphFont"/>
    <w:link w:val="Synopsistext"/>
    <w:rsid w:val="008A4F8B"/>
    <w:rPr>
      <w:sz w:val="18"/>
    </w:rPr>
  </w:style>
  <w:style w:type="paragraph" w:customStyle="1" w:styleId="Synopsistext-Bold">
    <w:name w:val="Synopsis text - Bold"/>
    <w:basedOn w:val="Synopsistext"/>
    <w:link w:val="Synopsistext-BoldChar"/>
    <w:rsid w:val="008A4F8B"/>
    <w:rPr>
      <w:b/>
      <w:bCs/>
    </w:rPr>
  </w:style>
  <w:style w:type="character" w:customStyle="1" w:styleId="Synopsistext-BoldChar">
    <w:name w:val="Synopsis text - Bold Char"/>
    <w:basedOn w:val="SynopsistextChar"/>
    <w:link w:val="Synopsistext-Bold"/>
    <w:rsid w:val="008A4F8B"/>
    <w:rPr>
      <w:b/>
      <w:bCs/>
      <w:sz w:val="18"/>
    </w:rPr>
  </w:style>
  <w:style w:type="paragraph" w:customStyle="1" w:styleId="Bullet1">
    <w:name w:val="Bullet 1"/>
    <w:basedOn w:val="Normal"/>
    <w:rsid w:val="008A4F8B"/>
    <w:pPr>
      <w:widowControl w:val="0"/>
      <w:tabs>
        <w:tab w:val="num" w:pos="360"/>
      </w:tabs>
      <w:suppressAutoHyphens/>
      <w:overflowPunct w:val="0"/>
      <w:autoSpaceDE w:val="0"/>
      <w:autoSpaceDN w:val="0"/>
      <w:adjustRightInd w:val="0"/>
      <w:spacing w:before="60" w:after="120" w:line="240" w:lineRule="auto"/>
      <w:ind w:left="360" w:hanging="360"/>
      <w:jc w:val="both"/>
      <w:textAlignment w:val="baseline"/>
    </w:pPr>
    <w:rPr>
      <w:lang w:val="en-GB"/>
    </w:rPr>
  </w:style>
  <w:style w:type="paragraph" w:styleId="ListNumber">
    <w:name w:val="List Number"/>
    <w:basedOn w:val="Normal"/>
    <w:locked/>
    <w:rsid w:val="008A4F8B"/>
    <w:pPr>
      <w:tabs>
        <w:tab w:val="num" w:pos="360"/>
      </w:tabs>
      <w:spacing w:line="240" w:lineRule="auto"/>
      <w:ind w:left="360" w:hanging="360"/>
      <w:contextualSpacing/>
      <w:jc w:val="both"/>
    </w:pPr>
    <w:rPr>
      <w:szCs w:val="24"/>
    </w:rPr>
  </w:style>
  <w:style w:type="paragraph" w:customStyle="1" w:styleId="TableText">
    <w:name w:val="Table Text"/>
    <w:basedOn w:val="Normal"/>
    <w:rsid w:val="002433D3"/>
    <w:pPr>
      <w:keepNext/>
      <w:keepLines/>
      <w:tabs>
        <w:tab w:val="left" w:pos="360"/>
      </w:tabs>
      <w:spacing w:before="40" w:after="40" w:line="240" w:lineRule="auto"/>
      <w:ind w:left="29"/>
    </w:pPr>
    <w:rPr>
      <w:sz w:val="20"/>
    </w:rPr>
  </w:style>
  <w:style w:type="paragraph" w:customStyle="1" w:styleId="TableTitle">
    <w:name w:val="Table Title"/>
    <w:basedOn w:val="TableText"/>
    <w:next w:val="TableText"/>
    <w:rsid w:val="008A4F8B"/>
    <w:pPr>
      <w:suppressLineNumbers/>
      <w:tabs>
        <w:tab w:val="left" w:pos="990"/>
        <w:tab w:val="left" w:pos="6773"/>
      </w:tabs>
      <w:suppressAutoHyphens/>
      <w:spacing w:before="120" w:after="120"/>
      <w:ind w:left="1009" w:right="113" w:hanging="1009"/>
    </w:pPr>
    <w:rPr>
      <w:b/>
      <w:bCs/>
      <w:sz w:val="24"/>
      <w:szCs w:val="18"/>
    </w:rPr>
  </w:style>
  <w:style w:type="paragraph" w:customStyle="1" w:styleId="StyleStyleHeading2JustifiedBefore10ptAfter10ptLine">
    <w:name w:val="Style Style Heading 2 + Justified Before:  10 pt After:  10 pt Line..."/>
    <w:basedOn w:val="StyleHeading2JustifiedBefore10ptAfter10ptLinesp"/>
    <w:rsid w:val="008A4F8B"/>
    <w:pPr>
      <w:spacing w:before="120" w:after="120" w:line="240" w:lineRule="auto"/>
      <w:jc w:val="left"/>
    </w:pPr>
    <w:rPr>
      <w:caps w:val="0"/>
    </w:rPr>
  </w:style>
  <w:style w:type="paragraph" w:customStyle="1" w:styleId="StyleC-TableHeaderCentered">
    <w:name w:val="Style C-Table Header + Centered"/>
    <w:basedOn w:val="C-TableHeader"/>
    <w:rsid w:val="008724D5"/>
    <w:pPr>
      <w:jc w:val="center"/>
    </w:pPr>
    <w:rPr>
      <w:bCs/>
      <w:szCs w:val="20"/>
    </w:rPr>
  </w:style>
  <w:style w:type="paragraph" w:styleId="Header">
    <w:name w:val="header"/>
    <w:basedOn w:val="Normal"/>
    <w:link w:val="HeaderChar"/>
    <w:unhideWhenUsed/>
    <w:locked/>
    <w:rsid w:val="00844AD8"/>
    <w:pPr>
      <w:tabs>
        <w:tab w:val="center" w:pos="4680"/>
        <w:tab w:val="right" w:pos="9360"/>
      </w:tabs>
    </w:pPr>
  </w:style>
  <w:style w:type="character" w:customStyle="1" w:styleId="HeaderChar">
    <w:name w:val="Header Char"/>
    <w:basedOn w:val="DefaultParagraphFont"/>
    <w:link w:val="Header"/>
    <w:rsid w:val="00844AD8"/>
    <w:rPr>
      <w:sz w:val="24"/>
    </w:rPr>
  </w:style>
  <w:style w:type="paragraph" w:styleId="Footer">
    <w:name w:val="footer"/>
    <w:basedOn w:val="Normal"/>
    <w:link w:val="FooterChar"/>
    <w:unhideWhenUsed/>
    <w:locked/>
    <w:rsid w:val="00844AD8"/>
    <w:pPr>
      <w:tabs>
        <w:tab w:val="center" w:pos="4680"/>
        <w:tab w:val="right" w:pos="9360"/>
      </w:tabs>
    </w:pPr>
  </w:style>
  <w:style w:type="character" w:customStyle="1" w:styleId="FooterChar">
    <w:name w:val="Footer Char"/>
    <w:basedOn w:val="DefaultParagraphFont"/>
    <w:link w:val="Footer"/>
    <w:rsid w:val="00844AD8"/>
    <w:rPr>
      <w:sz w:val="24"/>
    </w:rPr>
  </w:style>
  <w:style w:type="paragraph" w:styleId="TOC1">
    <w:name w:val="toc 1"/>
    <w:basedOn w:val="Normal"/>
    <w:next w:val="Normal"/>
    <w:autoRedefine/>
    <w:uiPriority w:val="39"/>
    <w:unhideWhenUsed/>
    <w:rsid w:val="00CF5D9E"/>
    <w:pPr>
      <w:tabs>
        <w:tab w:val="left" w:pos="1080"/>
        <w:tab w:val="right" w:leader="dot" w:pos="8990"/>
      </w:tabs>
      <w:ind w:left="1080" w:hanging="1080"/>
    </w:pPr>
    <w:rPr>
      <w:rFonts w:cs="Arial"/>
      <w:noProof/>
      <w:color w:val="0000FF"/>
      <w:szCs w:val="24"/>
    </w:rPr>
  </w:style>
  <w:style w:type="paragraph" w:styleId="TOC2">
    <w:name w:val="toc 2"/>
    <w:basedOn w:val="Normal"/>
    <w:next w:val="Normal"/>
    <w:autoRedefine/>
    <w:uiPriority w:val="39"/>
    <w:unhideWhenUsed/>
    <w:rsid w:val="00CF5D9E"/>
    <w:pPr>
      <w:ind w:left="240"/>
    </w:pPr>
  </w:style>
  <w:style w:type="paragraph" w:styleId="TOC3">
    <w:name w:val="toc 3"/>
    <w:basedOn w:val="Normal"/>
    <w:next w:val="Normal"/>
    <w:autoRedefine/>
    <w:uiPriority w:val="39"/>
    <w:unhideWhenUsed/>
    <w:rsid w:val="00CF5D9E"/>
    <w:pPr>
      <w:ind w:left="480"/>
    </w:pPr>
  </w:style>
  <w:style w:type="paragraph" w:styleId="TOC4">
    <w:name w:val="toc 4"/>
    <w:basedOn w:val="Normal"/>
    <w:next w:val="Normal"/>
    <w:autoRedefine/>
    <w:uiPriority w:val="39"/>
    <w:unhideWhenUsed/>
    <w:rsid w:val="00CF5D9E"/>
    <w:pPr>
      <w:ind w:left="720"/>
    </w:pPr>
  </w:style>
  <w:style w:type="paragraph" w:styleId="Closing">
    <w:name w:val="Closing"/>
    <w:basedOn w:val="Normal"/>
    <w:link w:val="ClosingChar"/>
    <w:uiPriority w:val="99"/>
    <w:unhideWhenUsed/>
    <w:locked/>
    <w:rsid w:val="001F4B1B"/>
    <w:pPr>
      <w:ind w:left="4320"/>
    </w:pPr>
  </w:style>
  <w:style w:type="character" w:customStyle="1" w:styleId="ClosingChar">
    <w:name w:val="Closing Char"/>
    <w:basedOn w:val="DefaultParagraphFont"/>
    <w:link w:val="Closing"/>
    <w:uiPriority w:val="99"/>
    <w:rsid w:val="001F4B1B"/>
    <w:rPr>
      <w:sz w:val="24"/>
    </w:rPr>
  </w:style>
  <w:style w:type="character" w:customStyle="1" w:styleId="C-BodyTextChar1">
    <w:name w:val="C-Body Text Char1"/>
    <w:link w:val="C-BodyText"/>
    <w:rsid w:val="00D179FD"/>
    <w:rPr>
      <w:sz w:val="24"/>
      <w:szCs w:val="24"/>
    </w:rPr>
  </w:style>
  <w:style w:type="character" w:styleId="CommentReference">
    <w:name w:val="annotation reference"/>
    <w:basedOn w:val="DefaultParagraphFont"/>
    <w:semiHidden/>
    <w:unhideWhenUsed/>
    <w:locked/>
    <w:rsid w:val="00A04A24"/>
    <w:rPr>
      <w:sz w:val="16"/>
      <w:szCs w:val="16"/>
    </w:rPr>
  </w:style>
  <w:style w:type="paragraph" w:styleId="BodyText">
    <w:name w:val="Body Text"/>
    <w:basedOn w:val="Normal"/>
    <w:link w:val="BodyTextChar"/>
    <w:uiPriority w:val="99"/>
    <w:unhideWhenUsed/>
    <w:locked/>
    <w:rsid w:val="00DB11D9"/>
    <w:pPr>
      <w:spacing w:after="120"/>
    </w:pPr>
  </w:style>
  <w:style w:type="character" w:customStyle="1" w:styleId="BodyTextChar">
    <w:name w:val="Body Text Char"/>
    <w:basedOn w:val="DefaultParagraphFont"/>
    <w:link w:val="BodyText"/>
    <w:uiPriority w:val="99"/>
    <w:rsid w:val="00DB11D9"/>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7221937">
      <w:bodyDiv w:val="1"/>
      <w:marLeft w:val="0"/>
      <w:marRight w:val="0"/>
      <w:marTop w:val="0"/>
      <w:marBottom w:val="0"/>
      <w:divBdr>
        <w:top w:val="none" w:sz="0" w:space="0" w:color="auto"/>
        <w:left w:val="none" w:sz="0" w:space="0" w:color="auto"/>
        <w:bottom w:val="none" w:sz="0" w:space="0" w:color="auto"/>
        <w:right w:val="none" w:sz="0" w:space="0" w:color="auto"/>
      </w:divBdr>
    </w:div>
    <w:div w:id="666787438">
      <w:bodyDiv w:val="1"/>
      <w:marLeft w:val="0"/>
      <w:marRight w:val="0"/>
      <w:marTop w:val="0"/>
      <w:marBottom w:val="0"/>
      <w:divBdr>
        <w:top w:val="none" w:sz="0" w:space="0" w:color="auto"/>
        <w:left w:val="none" w:sz="0" w:space="0" w:color="auto"/>
        <w:bottom w:val="none" w:sz="0" w:space="0" w:color="auto"/>
        <w:right w:val="none" w:sz="0" w:space="0" w:color="auto"/>
      </w:divBdr>
    </w:div>
    <w:div w:id="967008305">
      <w:bodyDiv w:val="1"/>
      <w:marLeft w:val="0"/>
      <w:marRight w:val="0"/>
      <w:marTop w:val="0"/>
      <w:marBottom w:val="0"/>
      <w:divBdr>
        <w:top w:val="none" w:sz="0" w:space="0" w:color="auto"/>
        <w:left w:val="none" w:sz="0" w:space="0" w:color="auto"/>
        <w:bottom w:val="none" w:sz="0" w:space="0" w:color="auto"/>
        <w:right w:val="none" w:sz="0" w:space="0" w:color="auto"/>
      </w:divBdr>
    </w:div>
    <w:div w:id="142541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kanous\Desktop\template\Inventiv%20CSR%20Synopsis%20Template%2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F2AEA-E9E4-4D56-93DB-B00EF000B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Inventiv CSR Synopsis Template .dot</Template>
  <TotalTime>1</TotalTime>
  <Pages>28</Pages>
  <Words>18100</Words>
  <Characters>91892</Characters>
  <Application>Microsoft Office Word</Application>
  <DocSecurity>0</DocSecurity>
  <Lines>765</Lines>
  <Paragraphs>219</Paragraphs>
  <ScaleCrop>false</ScaleCrop>
  <HeadingPairs>
    <vt:vector size="2" baseType="variant">
      <vt:variant>
        <vt:lpstr>Title</vt:lpstr>
      </vt:variant>
      <vt:variant>
        <vt:i4>1</vt:i4>
      </vt:variant>
    </vt:vector>
  </HeadingPairs>
  <TitlesOfParts>
    <vt:vector size="1" baseType="lpstr">
      <vt:lpstr>CSR Template</vt:lpstr>
    </vt:vector>
  </TitlesOfParts>
  <Company>Pharmanet</Company>
  <LinksUpToDate>false</LinksUpToDate>
  <CharactersWithSpaces>109773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CSR Template</dc:title>
  <dc:creator>jkanous</dc:creator>
  <cp:lastModifiedBy>TS Setup</cp:lastModifiedBy>
  <cp:revision>2</cp:revision>
  <cp:lastPrinted>2013-08-27T19:49:00Z</cp:lastPrinted>
  <dcterms:created xsi:type="dcterms:W3CDTF">2013-11-25T13:56:00Z</dcterms:created>
  <dcterms:modified xsi:type="dcterms:W3CDTF">2013-11-25T13:56:00Z</dcterms:modified>
</cp:coreProperties>
</file>