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955472" w14:textId="77777777" w:rsidR="002043AA" w:rsidRDefault="002043AA">
      <w:proofErr w:type="spellStart"/>
      <w:r>
        <w:t>Figure</w:t>
      </w:r>
      <w:proofErr w:type="spellEnd"/>
      <w:r>
        <w:t xml:space="preserve"> 1</w:t>
      </w:r>
    </w:p>
    <w:p w14:paraId="44D58815" w14:textId="77777777" w:rsidR="002043AA" w:rsidRDefault="002043AA">
      <w:r>
        <w:t>A</w:t>
      </w:r>
    </w:p>
    <w:p w14:paraId="4ED27255" w14:textId="77777777" w:rsidR="00C52F05" w:rsidRDefault="005538EB">
      <w:r>
        <w:rPr>
          <w:noProof/>
          <w:lang w:eastAsia="fi-FI"/>
        </w:rPr>
        <w:drawing>
          <wp:inline distT="0" distB="0" distL="0" distR="0" wp14:anchorId="38A177DC" wp14:editId="258017DA">
            <wp:extent cx="4572000" cy="2743200"/>
            <wp:effectExtent l="0" t="0" r="0" b="0"/>
            <wp:docPr id="1" name="Kaavio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14:paraId="7A790583" w14:textId="77777777" w:rsidR="002043AA" w:rsidRDefault="002043AA"/>
    <w:p w14:paraId="0FD55C3E" w14:textId="77777777" w:rsidR="002043AA" w:rsidRDefault="002043AA"/>
    <w:p w14:paraId="4DDBCBE9" w14:textId="5418E564" w:rsidR="002043AA" w:rsidRDefault="002043AA">
      <w:bookmarkStart w:id="0" w:name="_GoBack"/>
      <w:bookmarkEnd w:id="0"/>
    </w:p>
    <w:sectPr w:rsidR="002043AA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8EB"/>
    <w:rsid w:val="001234B1"/>
    <w:rsid w:val="002043AA"/>
    <w:rsid w:val="003D5815"/>
    <w:rsid w:val="005538EB"/>
    <w:rsid w:val="00B4096F"/>
    <w:rsid w:val="00C52F05"/>
    <w:rsid w:val="00D97120"/>
    <w:rsid w:val="00EE5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72D24"/>
  <w15:chartTrackingRefBased/>
  <w15:docId w15:val="{AB248696-8500-45BD-BD75-292C0CFD4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matti_000\Documents\Buscopan\Figure%201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fi-FI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Taul1!$C$15</c:f>
              <c:strCache>
                <c:ptCount val="1"/>
                <c:pt idx="0">
                  <c:v>HBB</c:v>
                </c:pt>
              </c:strCache>
            </c:strRef>
          </c:tx>
          <c:spPr>
            <a:gradFill rotWithShape="1">
              <a:gsLst>
                <a:gs pos="0">
                  <a:schemeClr val="dk1">
                    <a:tint val="88500"/>
                    <a:satMod val="103000"/>
                    <a:lumMod val="102000"/>
                    <a:tint val="94000"/>
                  </a:schemeClr>
                </a:gs>
                <a:gs pos="50000">
                  <a:schemeClr val="dk1">
                    <a:tint val="88500"/>
                    <a:satMod val="110000"/>
                    <a:lumMod val="100000"/>
                    <a:shade val="100000"/>
                  </a:schemeClr>
                </a:gs>
                <a:gs pos="100000">
                  <a:schemeClr val="dk1">
                    <a:tint val="88500"/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errBars>
            <c:errBarType val="plus"/>
            <c:errValType val="cust"/>
            <c:noEndCap val="0"/>
            <c:plus>
              <c:numRef>
                <c:f>Taul1!$H$15:$J$15</c:f>
                <c:numCache>
                  <c:formatCode>General</c:formatCode>
                  <c:ptCount val="3"/>
                  <c:pt idx="0">
                    <c:v>2.4</c:v>
                  </c:pt>
                  <c:pt idx="1">
                    <c:v>2.6</c:v>
                  </c:pt>
                  <c:pt idx="2">
                    <c:v>2.8</c:v>
                  </c:pt>
                </c:numCache>
              </c:numRef>
            </c:plus>
            <c:minus>
              <c:numLit>
                <c:formatCode>General</c:formatCode>
                <c:ptCount val="1"/>
                <c:pt idx="0">
                  <c:v>1</c:v>
                </c:pt>
              </c:numLit>
            </c:minus>
            <c:spPr>
              <a:noFill/>
              <a:ln w="9525">
                <a:solidFill>
                  <a:schemeClr val="tx2">
                    <a:lumMod val="75000"/>
                    <a:lumOff val="25000"/>
                  </a:schemeClr>
                </a:solidFill>
                <a:round/>
              </a:ln>
              <a:effectLst/>
            </c:spPr>
          </c:errBars>
          <c:cat>
            <c:strRef>
              <c:f>Taul1!$D$14:$F$14</c:f>
              <c:strCache>
                <c:ptCount val="3"/>
                <c:pt idx="0">
                  <c:v>Difficulty</c:v>
                </c:pt>
                <c:pt idx="1">
                  <c:v>Pain</c:v>
                </c:pt>
                <c:pt idx="2">
                  <c:v>Unpleasantness</c:v>
                </c:pt>
              </c:strCache>
            </c:strRef>
          </c:cat>
          <c:val>
            <c:numRef>
              <c:f>Taul1!$D$15:$F$15</c:f>
              <c:numCache>
                <c:formatCode>General</c:formatCode>
                <c:ptCount val="3"/>
                <c:pt idx="0">
                  <c:v>37.58</c:v>
                </c:pt>
                <c:pt idx="1">
                  <c:v>44.12</c:v>
                </c:pt>
                <c:pt idx="2">
                  <c:v>40.24</c:v>
                </c:pt>
              </c:numCache>
            </c:numRef>
          </c:val>
        </c:ser>
        <c:ser>
          <c:idx val="1"/>
          <c:order val="1"/>
          <c:tx>
            <c:strRef>
              <c:f>Taul1!$C$16</c:f>
              <c:strCache>
                <c:ptCount val="1"/>
                <c:pt idx="0">
                  <c:v>Placebo</c:v>
                </c:pt>
              </c:strCache>
            </c:strRef>
          </c:tx>
          <c:spPr>
            <a:gradFill rotWithShape="1">
              <a:gsLst>
                <a:gs pos="0">
                  <a:schemeClr val="dk1">
                    <a:tint val="55000"/>
                    <a:satMod val="103000"/>
                    <a:lumMod val="102000"/>
                    <a:tint val="94000"/>
                  </a:schemeClr>
                </a:gs>
                <a:gs pos="50000">
                  <a:schemeClr val="dk1">
                    <a:tint val="55000"/>
                    <a:satMod val="110000"/>
                    <a:lumMod val="100000"/>
                    <a:shade val="100000"/>
                  </a:schemeClr>
                </a:gs>
                <a:gs pos="100000">
                  <a:schemeClr val="dk1">
                    <a:tint val="55000"/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errBars>
            <c:errBarType val="plus"/>
            <c:errValType val="cust"/>
            <c:noEndCap val="0"/>
            <c:plus>
              <c:numRef>
                <c:f>Taul1!$H$16:$J$16</c:f>
                <c:numCache>
                  <c:formatCode>General</c:formatCode>
                  <c:ptCount val="3"/>
                  <c:pt idx="0">
                    <c:v>2.5</c:v>
                  </c:pt>
                  <c:pt idx="1">
                    <c:v>3.1</c:v>
                  </c:pt>
                  <c:pt idx="2">
                    <c:v>2.6</c:v>
                  </c:pt>
                </c:numCache>
              </c:numRef>
            </c:plus>
            <c:minus>
              <c:numLit>
                <c:formatCode>General</c:formatCode>
                <c:ptCount val="1"/>
                <c:pt idx="0">
                  <c:v>1</c:v>
                </c:pt>
              </c:numLit>
            </c:minus>
            <c:spPr>
              <a:noFill/>
              <a:ln w="9525">
                <a:solidFill>
                  <a:schemeClr val="tx2">
                    <a:lumMod val="75000"/>
                    <a:lumOff val="25000"/>
                  </a:schemeClr>
                </a:solidFill>
                <a:round/>
              </a:ln>
              <a:effectLst/>
            </c:spPr>
          </c:errBars>
          <c:cat>
            <c:strRef>
              <c:f>Taul1!$D$14:$F$14</c:f>
              <c:strCache>
                <c:ptCount val="3"/>
                <c:pt idx="0">
                  <c:v>Difficulty</c:v>
                </c:pt>
                <c:pt idx="1">
                  <c:v>Pain</c:v>
                </c:pt>
                <c:pt idx="2">
                  <c:v>Unpleasantness</c:v>
                </c:pt>
              </c:strCache>
            </c:strRef>
          </c:cat>
          <c:val>
            <c:numRef>
              <c:f>Taul1!$D$16:$F$16</c:f>
              <c:numCache>
                <c:formatCode>General</c:formatCode>
                <c:ptCount val="3"/>
                <c:pt idx="0">
                  <c:v>33.4</c:v>
                </c:pt>
                <c:pt idx="1">
                  <c:v>39.53</c:v>
                </c:pt>
                <c:pt idx="2">
                  <c:v>34.47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513354832"/>
        <c:axId val="355476600"/>
      </c:barChart>
      <c:catAx>
        <c:axId val="51335483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fi-FI"/>
          </a:p>
        </c:txPr>
        <c:crossAx val="355476600"/>
        <c:crosses val="autoZero"/>
        <c:auto val="1"/>
        <c:lblAlgn val="ctr"/>
        <c:lblOffset val="100"/>
        <c:noMultiLvlLbl val="0"/>
      </c:catAx>
      <c:valAx>
        <c:axId val="355476600"/>
        <c:scaling>
          <c:orientation val="minMax"/>
          <c:max val="100"/>
        </c:scaling>
        <c:delete val="0"/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900" b="1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fi-FI"/>
                  <a:t>VAS (mm)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900" b="1" i="0" u="none" strike="noStrike" kern="1200" baseline="0">
                  <a:solidFill>
                    <a:schemeClr val="tx2"/>
                  </a:solidFill>
                  <a:latin typeface="+mn-lt"/>
                  <a:ea typeface="+mn-ea"/>
                  <a:cs typeface="+mn-cs"/>
                </a:defRPr>
              </a:pPr>
              <a:endParaRPr lang="fi-FI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fi-FI"/>
          </a:p>
        </c:txPr>
        <c:crossAx val="51335483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fi-FI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fi-FI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20">
  <a:schemeClr val="dk1"/>
  <cs:variation>
    <a:tint val="88500"/>
  </cs:variation>
  <cs:variation>
    <a:tint val="55000"/>
  </cs:variation>
  <cs:variation>
    <a:tint val="75000"/>
  </cs:variation>
  <cs:variation>
    <a:tint val="98500"/>
  </cs:variation>
  <cs:variation>
    <a:tint val="30000"/>
  </cs:variation>
  <cs:variation>
    <a:tint val="60000"/>
  </cs:variation>
  <cs:variation>
    <a:tint val="8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7">
  <cs:axisTitle>
    <cs:lnRef idx="0"/>
    <cs:fillRef idx="0"/>
    <cs:effectRef idx="0"/>
    <cs:fontRef idx="minor">
      <a:schemeClr val="tx2"/>
    </cs:fontRef>
    <cs:defRPr sz="900" b="1" kern="1200"/>
  </cs:axisTitle>
  <cs:category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2"/>
    </cs:fontRef>
    <cs:defRPr sz="900" kern="1200"/>
  </cs:dataLabel>
  <cs:dataLabelCallout>
    <cs:lnRef idx="0"/>
    <cs:fillRef idx="0"/>
    <cs:effectRef idx="0"/>
    <cs:fontRef idx="minor">
      <a:schemeClr val="dk2">
        <a:lumMod val="7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2"/>
    <cs:fontRef idx="minor">
      <a:schemeClr val="tx2"/>
    </cs:fontRef>
  </cs:dataPoint>
  <cs:dataPoint3D>
    <cs:lnRef idx="0"/>
    <cs:fillRef idx="3">
      <cs:styleClr val="auto"/>
    </cs:fillRef>
    <cs:effectRef idx="2"/>
    <cs:fontRef idx="minor">
      <a:schemeClr val="tx2"/>
    </cs:fontRef>
  </cs:dataPoint3D>
  <cs:dataPointLine>
    <cs:lnRef idx="0">
      <cs:styleClr val="auto"/>
    </cs:lnRef>
    <cs:fillRef idx="3"/>
    <cs:effectRef idx="2"/>
    <cs:fontRef idx="minor">
      <a:schemeClr val="tx2"/>
    </cs:fontRef>
    <cs:spPr>
      <a:ln w="31750" cap="rnd">
        <a:solidFill>
          <a:schemeClr val="phClr"/>
        </a:solidFill>
        <a:round/>
      </a:ln>
    </cs:spPr>
  </cs:dataPointLine>
  <cs:dataPointMarker>
    <cs:lnRef idx="0"/>
    <cs:fillRef idx="3">
      <cs:styleClr val="auto"/>
    </cs:fillRef>
    <cs:effectRef idx="2"/>
    <cs:fontRef idx="minor">
      <a:schemeClr val="tx2"/>
    </cs:fontRef>
    <cs:spPr>
      <a:ln w="12700">
        <a:solidFill>
          <a:schemeClr val="lt2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2"/>
    <cs:fontRef idx="minor">
      <a:schemeClr val="tx2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2"/>
    </cs:fontRef>
    <cs:spPr>
      <a:ln w="9525">
        <a:solidFill>
          <a:schemeClr val="tx2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2"/>
    </cs:fontRef>
    <cs:spPr>
      <a:ln w="9525">
        <a:solidFill>
          <a:schemeClr val="tx2">
            <a:lumMod val="75000"/>
            <a:lumOff val="25000"/>
          </a:schemeClr>
        </a:solidFill>
        <a:round/>
      </a:ln>
    </cs:spPr>
  </cs:errorBar>
  <cs:floor>
    <cs:lnRef idx="0"/>
    <cs:fillRef idx="0"/>
    <cs:effectRef idx="0"/>
    <cs:fontRef idx="minor">
      <a:schemeClr val="tx2"/>
    </cs:fontRef>
  </cs:floor>
  <cs:gridlineMajor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2"/>
    </cs:fontRef>
    <cs:spPr>
      <a:ln>
        <a:solidFill>
          <a:schemeClr val="tx2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2"/>
    </cs:fontRef>
    <cs:defRPr sz="900" kern="1200"/>
  </cs:legend>
  <cs:plotArea>
    <cs:lnRef idx="0"/>
    <cs:fillRef idx="0"/>
    <cs:effectRef idx="0"/>
    <cs:fontRef idx="minor">
      <a:schemeClr val="tx2"/>
    </cs:fontRef>
  </cs:plotArea>
  <cs:plotArea3D>
    <cs:lnRef idx="0"/>
    <cs:fillRef idx="0"/>
    <cs:effectRef idx="0"/>
    <cs:fontRef idx="minor">
      <a:schemeClr val="tx2"/>
    </cs:fontRef>
  </cs:plotArea3D>
  <cs:series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2"/>
    </cs:fontRef>
    <cs:defRPr sz="1600" b="1" kern="1200"/>
  </cs:title>
  <cs:trendline>
    <cs:lnRef idx="0">
      <cs:styleClr val="auto"/>
    </cs:lnRef>
    <cs:fillRef idx="0"/>
    <cs:effectRef idx="0"/>
    <cs:fontRef idx="minor">
      <a:schemeClr val="tx2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2"/>
    </cs:fontRef>
    <cs:defRPr sz="900" kern="1200"/>
  </cs:trendlineLabel>
  <cs:upBar>
    <cs:lnRef idx="0"/>
    <cs:fillRef idx="0"/>
    <cs:effectRef idx="0"/>
    <cs:fontRef idx="minor">
      <a:schemeClr val="tx2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2"/>
    </cs:fontRef>
    <cs:defRPr sz="900" kern="1200"/>
  </cs:valueAxis>
  <cs:wall>
    <cs:lnRef idx="0"/>
    <cs:fillRef idx="0"/>
    <cs:effectRef idx="0"/>
    <cs:fontRef idx="minor">
      <a:schemeClr val="tx2"/>
    </cs:fontRef>
  </cs:wall>
</cs:chartStyle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Microsoft-tili</dc:creator>
  <cp:keywords/>
  <dc:description/>
  <cp:lastModifiedBy>Matti Ristikankare</cp:lastModifiedBy>
  <cp:revision>2</cp:revision>
  <dcterms:created xsi:type="dcterms:W3CDTF">2021-05-16T12:34:00Z</dcterms:created>
  <dcterms:modified xsi:type="dcterms:W3CDTF">2021-05-16T12:34:00Z</dcterms:modified>
</cp:coreProperties>
</file>