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385EA5" w14:textId="77777777" w:rsidR="00812D1A" w:rsidRPr="009C7AF1" w:rsidRDefault="00812D1A" w:rsidP="00812D1A">
      <w:pPr>
        <w:pStyle w:val="iTitle"/>
        <w:rPr>
          <w:sz w:val="28"/>
          <w:szCs w:val="28"/>
        </w:rPr>
      </w:pPr>
      <w:r w:rsidRPr="009C7AF1">
        <w:rPr>
          <w:sz w:val="28"/>
          <w:szCs w:val="28"/>
        </w:rPr>
        <w:t xml:space="preserve">A Phase 2a, Randomized, Double-Blind, Placebo-Controlled Trial to Evaluate the Safety, Tolerability and Efficacy of Intravenous </w:t>
      </w:r>
      <w:proofErr w:type="spellStart"/>
      <w:r w:rsidRPr="009C7AF1">
        <w:rPr>
          <w:sz w:val="28"/>
          <w:szCs w:val="28"/>
        </w:rPr>
        <w:t>Bendavia</w:t>
      </w:r>
      <w:proofErr w:type="spellEnd"/>
      <w:r w:rsidRPr="009C7AF1">
        <w:rPr>
          <w:sz w:val="28"/>
          <w:szCs w:val="28"/>
        </w:rPr>
        <w:t>™ (MTP-131) on Reperfusion Injury in Patients Treated with Standard Therapy Including Primary PCI and Stenting for ST-segment Elevation Myocardial Infarction</w:t>
      </w:r>
    </w:p>
    <w:p w14:paraId="7B2F8095" w14:textId="77777777" w:rsidR="00726D97" w:rsidRDefault="00726D97"/>
    <w:tbl>
      <w:tblPr>
        <w:tblW w:w="5128" w:type="pct"/>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Look w:val="0000" w:firstRow="0" w:lastRow="0" w:firstColumn="0" w:lastColumn="0" w:noHBand="0" w:noVBand="0"/>
      </w:tblPr>
      <w:tblGrid>
        <w:gridCol w:w="6543"/>
        <w:gridCol w:w="2704"/>
      </w:tblGrid>
      <w:tr w:rsidR="00331064" w:rsidRPr="00047122" w14:paraId="510754A7" w14:textId="77777777" w:rsidTr="00336B47">
        <w:trPr>
          <w:cantSplit/>
          <w:jc w:val="center"/>
        </w:trPr>
        <w:tc>
          <w:tcPr>
            <w:tcW w:w="9247" w:type="dxa"/>
            <w:gridSpan w:val="2"/>
            <w:shd w:val="clear" w:color="auto" w:fill="auto"/>
          </w:tcPr>
          <w:p w14:paraId="7B94B0F5" w14:textId="77777777" w:rsidR="00331064" w:rsidRPr="00047122" w:rsidRDefault="00331064" w:rsidP="00DB4D79">
            <w:pPr>
              <w:pStyle w:val="iParagraphSynopsis"/>
              <w:rPr>
                <w:sz w:val="22"/>
                <w:szCs w:val="22"/>
              </w:rPr>
            </w:pPr>
            <w:r w:rsidRPr="00047122">
              <w:rPr>
                <w:b/>
                <w:sz w:val="22"/>
                <w:szCs w:val="22"/>
              </w:rPr>
              <w:t>Title of Study:</w:t>
            </w:r>
            <w:r w:rsidRPr="00047122">
              <w:rPr>
                <w:sz w:val="22"/>
                <w:szCs w:val="22"/>
              </w:rPr>
              <w:t xml:space="preserve">  A Phase 2a, Randomized, Double-Blind, Placebo-Controlled Trial to Evaluate the Safety, Tolerability and Efficacy of Intravenous </w:t>
            </w:r>
            <w:proofErr w:type="spellStart"/>
            <w:r w:rsidRPr="00047122">
              <w:rPr>
                <w:sz w:val="22"/>
                <w:szCs w:val="22"/>
              </w:rPr>
              <w:t>Bendavia</w:t>
            </w:r>
            <w:proofErr w:type="spellEnd"/>
            <w:r w:rsidRPr="00047122">
              <w:rPr>
                <w:sz w:val="22"/>
                <w:szCs w:val="22"/>
              </w:rPr>
              <w:t xml:space="preserve"> (MTP-131) on Reperfusion Injury in Patients Treated with Standard Therapy Including Primary PCI and Stenting for ST-segment Elevation Myocardial Infarction</w:t>
            </w:r>
          </w:p>
          <w:p w14:paraId="12559EBE" w14:textId="77777777" w:rsidR="00331064" w:rsidRPr="00047122" w:rsidRDefault="00331064" w:rsidP="00DB4D79">
            <w:pPr>
              <w:pStyle w:val="iParagraphSynopsis"/>
              <w:rPr>
                <w:sz w:val="22"/>
                <w:szCs w:val="22"/>
              </w:rPr>
            </w:pPr>
          </w:p>
          <w:p w14:paraId="79B79CB0" w14:textId="77777777" w:rsidR="00331064" w:rsidRPr="00047122" w:rsidRDefault="00331064" w:rsidP="00DB4D79">
            <w:pPr>
              <w:pStyle w:val="iParagraphSynopsis"/>
              <w:rPr>
                <w:sz w:val="22"/>
                <w:szCs w:val="22"/>
              </w:rPr>
            </w:pPr>
            <w:r w:rsidRPr="00047122">
              <w:rPr>
                <w:sz w:val="22"/>
                <w:szCs w:val="22"/>
              </w:rPr>
              <w:t xml:space="preserve">The EMBRACE-STEMI™ Trial: </w:t>
            </w:r>
            <w:r w:rsidRPr="00047122">
              <w:rPr>
                <w:b/>
                <w:i/>
                <w:sz w:val="22"/>
                <w:szCs w:val="22"/>
              </w:rPr>
              <w:t>E</w:t>
            </w:r>
            <w:r w:rsidRPr="00047122">
              <w:rPr>
                <w:sz w:val="22"/>
                <w:szCs w:val="22"/>
              </w:rPr>
              <w:t xml:space="preserve">valuation of the </w:t>
            </w:r>
            <w:r w:rsidRPr="00047122">
              <w:rPr>
                <w:b/>
                <w:i/>
                <w:sz w:val="22"/>
                <w:szCs w:val="22"/>
              </w:rPr>
              <w:t>M</w:t>
            </w:r>
            <w:r w:rsidRPr="00047122">
              <w:rPr>
                <w:sz w:val="22"/>
                <w:szCs w:val="22"/>
              </w:rPr>
              <w:t xml:space="preserve">yocardial Effects of </w:t>
            </w:r>
            <w:proofErr w:type="spellStart"/>
            <w:r w:rsidRPr="00047122">
              <w:rPr>
                <w:b/>
                <w:i/>
                <w:sz w:val="22"/>
                <w:szCs w:val="22"/>
              </w:rPr>
              <w:t>B</w:t>
            </w:r>
            <w:r w:rsidRPr="00047122">
              <w:rPr>
                <w:sz w:val="22"/>
                <w:szCs w:val="22"/>
              </w:rPr>
              <w:t>endavia</w:t>
            </w:r>
            <w:proofErr w:type="spellEnd"/>
            <w:r w:rsidRPr="00047122">
              <w:rPr>
                <w:sz w:val="22"/>
                <w:szCs w:val="22"/>
              </w:rPr>
              <w:t xml:space="preserve"> for reducing</w:t>
            </w:r>
          </w:p>
          <w:p w14:paraId="1402F896" w14:textId="77777777" w:rsidR="00331064" w:rsidRPr="00047122" w:rsidRDefault="00331064" w:rsidP="00DB4D79">
            <w:pPr>
              <w:pStyle w:val="iParagraphSynopsis"/>
              <w:rPr>
                <w:sz w:val="22"/>
                <w:szCs w:val="22"/>
              </w:rPr>
            </w:pPr>
            <w:r w:rsidRPr="00047122">
              <w:rPr>
                <w:b/>
                <w:i/>
                <w:sz w:val="22"/>
                <w:szCs w:val="22"/>
              </w:rPr>
              <w:t>R</w:t>
            </w:r>
            <w:r w:rsidRPr="00047122">
              <w:rPr>
                <w:sz w:val="22"/>
                <w:szCs w:val="22"/>
              </w:rPr>
              <w:t xml:space="preserve">eperfusion Injury in Patients with </w:t>
            </w:r>
            <w:r w:rsidRPr="00047122">
              <w:rPr>
                <w:b/>
                <w:i/>
                <w:sz w:val="22"/>
                <w:szCs w:val="22"/>
              </w:rPr>
              <w:t>A</w:t>
            </w:r>
            <w:r w:rsidRPr="00047122">
              <w:rPr>
                <w:sz w:val="22"/>
                <w:szCs w:val="22"/>
              </w:rPr>
              <w:t xml:space="preserve">cute </w:t>
            </w:r>
            <w:r w:rsidRPr="00047122">
              <w:rPr>
                <w:b/>
                <w:i/>
                <w:sz w:val="22"/>
                <w:szCs w:val="22"/>
              </w:rPr>
              <w:t>C</w:t>
            </w:r>
            <w:r w:rsidRPr="00047122">
              <w:rPr>
                <w:sz w:val="22"/>
                <w:szCs w:val="22"/>
              </w:rPr>
              <w:t xml:space="preserve">oronary </w:t>
            </w:r>
            <w:r w:rsidRPr="00047122">
              <w:rPr>
                <w:b/>
                <w:i/>
                <w:sz w:val="22"/>
                <w:szCs w:val="22"/>
              </w:rPr>
              <w:t>E</w:t>
            </w:r>
            <w:r w:rsidRPr="00047122">
              <w:rPr>
                <w:sz w:val="22"/>
                <w:szCs w:val="22"/>
              </w:rPr>
              <w:t>vents – STEMI</w:t>
            </w:r>
          </w:p>
        </w:tc>
      </w:tr>
      <w:tr w:rsidR="00331064" w:rsidRPr="00047122" w14:paraId="6BD0C12F" w14:textId="77777777" w:rsidTr="00336B47">
        <w:trPr>
          <w:cantSplit/>
          <w:jc w:val="center"/>
        </w:trPr>
        <w:tc>
          <w:tcPr>
            <w:tcW w:w="9247" w:type="dxa"/>
            <w:gridSpan w:val="2"/>
            <w:shd w:val="clear" w:color="auto" w:fill="auto"/>
          </w:tcPr>
          <w:p w14:paraId="2147736B" w14:textId="77777777" w:rsidR="00331064" w:rsidRPr="00047122" w:rsidRDefault="00331064" w:rsidP="00DB4D79">
            <w:pPr>
              <w:pStyle w:val="iParagraphSynopsis"/>
              <w:rPr>
                <w:sz w:val="22"/>
                <w:szCs w:val="22"/>
              </w:rPr>
            </w:pPr>
            <w:r w:rsidRPr="00047122">
              <w:rPr>
                <w:b/>
                <w:sz w:val="22"/>
                <w:szCs w:val="22"/>
              </w:rPr>
              <w:t>Principal Investigator:</w:t>
            </w:r>
          </w:p>
          <w:p w14:paraId="4D23A729" w14:textId="77777777" w:rsidR="00331064" w:rsidRPr="00047122" w:rsidRDefault="00331064" w:rsidP="00DB4D79">
            <w:pPr>
              <w:pStyle w:val="iParagraphSynopsis"/>
              <w:jc w:val="left"/>
              <w:rPr>
                <w:sz w:val="22"/>
                <w:szCs w:val="22"/>
              </w:rPr>
            </w:pPr>
            <w:proofErr w:type="spellStart"/>
            <w:r w:rsidRPr="00047122">
              <w:rPr>
                <w:sz w:val="22"/>
                <w:szCs w:val="22"/>
              </w:rPr>
              <w:t>Anjan</w:t>
            </w:r>
            <w:proofErr w:type="spellEnd"/>
            <w:r w:rsidRPr="00047122">
              <w:rPr>
                <w:sz w:val="22"/>
                <w:szCs w:val="22"/>
              </w:rPr>
              <w:t xml:space="preserve"> Chakrabarti, MD</w:t>
            </w:r>
            <w:r w:rsidRPr="00047122">
              <w:rPr>
                <w:sz w:val="22"/>
                <w:szCs w:val="22"/>
              </w:rPr>
              <w:br/>
              <w:t xml:space="preserve">Beth Israel Deaconess Medical </w:t>
            </w:r>
            <w:proofErr w:type="spellStart"/>
            <w:r w:rsidRPr="00047122">
              <w:rPr>
                <w:sz w:val="22"/>
                <w:szCs w:val="22"/>
              </w:rPr>
              <w:t>Center</w:t>
            </w:r>
            <w:proofErr w:type="spellEnd"/>
            <w:r w:rsidRPr="00047122">
              <w:rPr>
                <w:sz w:val="22"/>
                <w:szCs w:val="22"/>
              </w:rPr>
              <w:br/>
              <w:t xml:space="preserve">Boston, MA  </w:t>
            </w:r>
          </w:p>
        </w:tc>
      </w:tr>
      <w:tr w:rsidR="00331064" w:rsidRPr="00047122" w14:paraId="34205B9C" w14:textId="77777777" w:rsidTr="00336B47">
        <w:trPr>
          <w:cantSplit/>
          <w:jc w:val="center"/>
        </w:trPr>
        <w:tc>
          <w:tcPr>
            <w:tcW w:w="9247" w:type="dxa"/>
            <w:gridSpan w:val="2"/>
            <w:shd w:val="clear" w:color="auto" w:fill="auto"/>
          </w:tcPr>
          <w:p w14:paraId="42901A7D" w14:textId="77777777" w:rsidR="00331064" w:rsidRPr="00047122" w:rsidRDefault="00331064" w:rsidP="00DB4D79">
            <w:pPr>
              <w:pStyle w:val="iParagraphSynopsis"/>
              <w:rPr>
                <w:sz w:val="22"/>
                <w:szCs w:val="22"/>
              </w:rPr>
            </w:pPr>
            <w:r w:rsidRPr="00047122">
              <w:rPr>
                <w:b/>
                <w:sz w:val="22"/>
                <w:szCs w:val="22"/>
              </w:rPr>
              <w:t xml:space="preserve">Study </w:t>
            </w:r>
            <w:proofErr w:type="spellStart"/>
            <w:r w:rsidRPr="00047122">
              <w:rPr>
                <w:b/>
                <w:sz w:val="22"/>
                <w:szCs w:val="22"/>
              </w:rPr>
              <w:t>Centers</w:t>
            </w:r>
            <w:proofErr w:type="spellEnd"/>
            <w:r w:rsidRPr="00047122">
              <w:rPr>
                <w:b/>
                <w:sz w:val="22"/>
                <w:szCs w:val="22"/>
              </w:rPr>
              <w:t>:</w:t>
            </w:r>
          </w:p>
          <w:p w14:paraId="2D551556" w14:textId="77777777" w:rsidR="00331064" w:rsidRPr="00047122" w:rsidRDefault="00331064" w:rsidP="00DB4D79">
            <w:pPr>
              <w:pStyle w:val="iParagraphSynopsis"/>
              <w:rPr>
                <w:sz w:val="22"/>
                <w:szCs w:val="22"/>
              </w:rPr>
            </w:pPr>
            <w:r w:rsidRPr="00047122">
              <w:rPr>
                <w:sz w:val="22"/>
                <w:szCs w:val="22"/>
              </w:rPr>
              <w:t xml:space="preserve">A total of </w:t>
            </w:r>
            <w:r>
              <w:rPr>
                <w:sz w:val="22"/>
                <w:szCs w:val="22"/>
              </w:rPr>
              <w:t>24</w:t>
            </w:r>
            <w:r w:rsidRPr="00047122">
              <w:rPr>
                <w:sz w:val="22"/>
                <w:szCs w:val="22"/>
              </w:rPr>
              <w:t xml:space="preserve"> study </w:t>
            </w:r>
            <w:proofErr w:type="spellStart"/>
            <w:r w:rsidRPr="00047122">
              <w:rPr>
                <w:sz w:val="22"/>
                <w:szCs w:val="22"/>
              </w:rPr>
              <w:t>centers</w:t>
            </w:r>
            <w:proofErr w:type="spellEnd"/>
            <w:r w:rsidRPr="00047122">
              <w:rPr>
                <w:sz w:val="22"/>
                <w:szCs w:val="22"/>
              </w:rPr>
              <w:t xml:space="preserve"> </w:t>
            </w:r>
            <w:r>
              <w:rPr>
                <w:sz w:val="22"/>
                <w:szCs w:val="22"/>
              </w:rPr>
              <w:t xml:space="preserve">in the </w:t>
            </w:r>
            <w:r w:rsidRPr="00047122">
              <w:rPr>
                <w:sz w:val="22"/>
                <w:szCs w:val="22"/>
              </w:rPr>
              <w:t xml:space="preserve">United States, Poland, Germany, and Hungary were </w:t>
            </w:r>
            <w:r>
              <w:rPr>
                <w:sz w:val="22"/>
                <w:szCs w:val="22"/>
              </w:rPr>
              <w:t>used</w:t>
            </w:r>
            <w:r w:rsidRPr="00047122">
              <w:rPr>
                <w:sz w:val="22"/>
                <w:szCs w:val="22"/>
              </w:rPr>
              <w:t>.</w:t>
            </w:r>
          </w:p>
        </w:tc>
      </w:tr>
      <w:tr w:rsidR="00331064" w:rsidRPr="00047122" w14:paraId="0C4B45F9" w14:textId="77777777" w:rsidTr="00336B47">
        <w:trPr>
          <w:cantSplit/>
          <w:jc w:val="center"/>
        </w:trPr>
        <w:tc>
          <w:tcPr>
            <w:tcW w:w="9247" w:type="dxa"/>
            <w:gridSpan w:val="2"/>
            <w:tcBorders>
              <w:bottom w:val="single" w:sz="6" w:space="0" w:color="000000"/>
            </w:tcBorders>
            <w:shd w:val="clear" w:color="auto" w:fill="auto"/>
          </w:tcPr>
          <w:p w14:paraId="58674191" w14:textId="77777777" w:rsidR="00331064" w:rsidRPr="00047122" w:rsidRDefault="00331064" w:rsidP="00DB4D79">
            <w:pPr>
              <w:pStyle w:val="iParagraphSynopsis"/>
              <w:rPr>
                <w:sz w:val="22"/>
                <w:szCs w:val="22"/>
              </w:rPr>
            </w:pPr>
            <w:r>
              <w:rPr>
                <w:b/>
                <w:sz w:val="22"/>
                <w:szCs w:val="22"/>
              </w:rPr>
              <w:t>Publication based on the study</w:t>
            </w:r>
            <w:r w:rsidRPr="00047122">
              <w:rPr>
                <w:b/>
                <w:sz w:val="22"/>
                <w:szCs w:val="22"/>
              </w:rPr>
              <w:t>:</w:t>
            </w:r>
            <w:r w:rsidRPr="00047122">
              <w:rPr>
                <w:sz w:val="22"/>
                <w:szCs w:val="22"/>
              </w:rPr>
              <w:t xml:space="preserve">  None. </w:t>
            </w:r>
          </w:p>
        </w:tc>
      </w:tr>
      <w:tr w:rsidR="00331064" w:rsidRPr="00047122" w14:paraId="581B15AA" w14:textId="77777777" w:rsidTr="00336B47">
        <w:trPr>
          <w:cantSplit/>
          <w:jc w:val="center"/>
        </w:trPr>
        <w:tc>
          <w:tcPr>
            <w:tcW w:w="6543" w:type="dxa"/>
            <w:tcBorders>
              <w:top w:val="single" w:sz="6" w:space="0" w:color="000000"/>
              <w:bottom w:val="single" w:sz="6" w:space="0" w:color="000000"/>
              <w:right w:val="nil"/>
            </w:tcBorders>
            <w:shd w:val="clear" w:color="auto" w:fill="auto"/>
          </w:tcPr>
          <w:p w14:paraId="3EC82352" w14:textId="77777777" w:rsidR="00331064" w:rsidRPr="00047122" w:rsidRDefault="00331064" w:rsidP="00DB4D79">
            <w:pPr>
              <w:pStyle w:val="iParagraphSynopsis"/>
              <w:tabs>
                <w:tab w:val="left" w:pos="1410"/>
              </w:tabs>
              <w:rPr>
                <w:b/>
                <w:sz w:val="22"/>
                <w:szCs w:val="22"/>
              </w:rPr>
            </w:pPr>
            <w:r w:rsidRPr="00047122">
              <w:rPr>
                <w:b/>
                <w:sz w:val="22"/>
                <w:szCs w:val="22"/>
              </w:rPr>
              <w:t>Study Period:</w:t>
            </w:r>
          </w:p>
          <w:p w14:paraId="1EFFCDAB" w14:textId="77777777" w:rsidR="00331064" w:rsidRPr="00047122" w:rsidRDefault="00331064" w:rsidP="00DB4D79">
            <w:pPr>
              <w:pStyle w:val="iParagraphSynopsis"/>
              <w:tabs>
                <w:tab w:val="left" w:pos="1410"/>
              </w:tabs>
              <w:jc w:val="left"/>
              <w:rPr>
                <w:sz w:val="22"/>
                <w:szCs w:val="22"/>
              </w:rPr>
            </w:pPr>
            <w:r w:rsidRPr="00047122">
              <w:rPr>
                <w:sz w:val="22"/>
                <w:szCs w:val="22"/>
              </w:rPr>
              <w:t>First subject enrolled: 21 June 2012</w:t>
            </w:r>
            <w:r w:rsidRPr="00047122">
              <w:rPr>
                <w:sz w:val="22"/>
                <w:szCs w:val="22"/>
              </w:rPr>
              <w:br/>
              <w:t>Last subject completed: 22 September 2014</w:t>
            </w:r>
          </w:p>
        </w:tc>
        <w:tc>
          <w:tcPr>
            <w:tcW w:w="2704" w:type="dxa"/>
            <w:tcBorders>
              <w:top w:val="single" w:sz="6" w:space="0" w:color="000000"/>
              <w:left w:val="nil"/>
              <w:bottom w:val="single" w:sz="6" w:space="0" w:color="000000"/>
            </w:tcBorders>
            <w:shd w:val="clear" w:color="auto" w:fill="auto"/>
          </w:tcPr>
          <w:p w14:paraId="5681DA88" w14:textId="77777777" w:rsidR="00331064" w:rsidRPr="00047122" w:rsidRDefault="00331064" w:rsidP="00DB4D79">
            <w:pPr>
              <w:pStyle w:val="iParagraphSynopsis"/>
              <w:rPr>
                <w:sz w:val="22"/>
                <w:szCs w:val="22"/>
              </w:rPr>
            </w:pPr>
            <w:r w:rsidRPr="00047122">
              <w:rPr>
                <w:b/>
                <w:sz w:val="22"/>
                <w:szCs w:val="22"/>
              </w:rPr>
              <w:t>Phase of Development:</w:t>
            </w:r>
          </w:p>
          <w:p w14:paraId="4EA98333" w14:textId="77777777" w:rsidR="00331064" w:rsidRPr="00047122" w:rsidRDefault="00331064" w:rsidP="00DB4D79">
            <w:pPr>
              <w:pStyle w:val="iParagraphSynopsis"/>
              <w:rPr>
                <w:sz w:val="22"/>
                <w:szCs w:val="22"/>
              </w:rPr>
            </w:pPr>
            <w:r w:rsidRPr="00047122">
              <w:rPr>
                <w:sz w:val="22"/>
                <w:szCs w:val="22"/>
              </w:rPr>
              <w:t>Phase 2a</w:t>
            </w:r>
          </w:p>
        </w:tc>
      </w:tr>
      <w:tr w:rsidR="00331064" w:rsidRPr="00047122" w14:paraId="29BB2516" w14:textId="77777777" w:rsidTr="00336B47">
        <w:trPr>
          <w:cantSplit/>
          <w:jc w:val="center"/>
        </w:trPr>
        <w:tc>
          <w:tcPr>
            <w:tcW w:w="9247" w:type="dxa"/>
            <w:gridSpan w:val="2"/>
            <w:tcBorders>
              <w:top w:val="single" w:sz="6" w:space="0" w:color="000000"/>
            </w:tcBorders>
            <w:shd w:val="clear" w:color="auto" w:fill="auto"/>
          </w:tcPr>
          <w:p w14:paraId="221B084E" w14:textId="77777777" w:rsidR="00331064" w:rsidRPr="00047122" w:rsidRDefault="00331064" w:rsidP="00DB4D79">
            <w:pPr>
              <w:pStyle w:val="iParagraphSynopsis"/>
              <w:rPr>
                <w:b/>
                <w:sz w:val="22"/>
                <w:szCs w:val="22"/>
              </w:rPr>
            </w:pPr>
            <w:r w:rsidRPr="00047122">
              <w:rPr>
                <w:b/>
                <w:sz w:val="22"/>
                <w:szCs w:val="22"/>
              </w:rPr>
              <w:t>Objectives:</w:t>
            </w:r>
          </w:p>
          <w:p w14:paraId="021A613F" w14:textId="77777777" w:rsidR="00331064" w:rsidRPr="00047122" w:rsidRDefault="00331064" w:rsidP="00DB4D79">
            <w:pPr>
              <w:pStyle w:val="iParagraphSynopsis"/>
              <w:rPr>
                <w:sz w:val="22"/>
                <w:szCs w:val="22"/>
                <w:u w:val="single"/>
              </w:rPr>
            </w:pPr>
            <w:r w:rsidRPr="00047122">
              <w:rPr>
                <w:sz w:val="22"/>
                <w:szCs w:val="22"/>
                <w:u w:val="single"/>
              </w:rPr>
              <w:t>Primary Objective:</w:t>
            </w:r>
          </w:p>
          <w:p w14:paraId="4911573F" w14:textId="77777777" w:rsidR="00331064" w:rsidRPr="00047122" w:rsidRDefault="00331064" w:rsidP="00DB4D79">
            <w:pPr>
              <w:pStyle w:val="iParagraphSynopsis"/>
              <w:rPr>
                <w:sz w:val="22"/>
                <w:szCs w:val="22"/>
              </w:rPr>
            </w:pPr>
            <w:r w:rsidRPr="00047122">
              <w:rPr>
                <w:sz w:val="22"/>
                <w:szCs w:val="22"/>
              </w:rPr>
              <w:t>The primary objective of this trial wa</w:t>
            </w:r>
            <w:r>
              <w:rPr>
                <w:sz w:val="22"/>
                <w:szCs w:val="22"/>
              </w:rPr>
              <w:t>s to evaluate the effec</w:t>
            </w:r>
            <w:r w:rsidRPr="00047122">
              <w:rPr>
                <w:sz w:val="22"/>
                <w:szCs w:val="22"/>
              </w:rPr>
              <w:t>t of</w:t>
            </w:r>
            <w:r>
              <w:rPr>
                <w:sz w:val="22"/>
                <w:szCs w:val="22"/>
              </w:rPr>
              <w:t xml:space="preserve"> </w:t>
            </w:r>
            <w:proofErr w:type="spellStart"/>
            <w:r>
              <w:rPr>
                <w:sz w:val="22"/>
                <w:szCs w:val="22"/>
              </w:rPr>
              <w:t>elamipretide</w:t>
            </w:r>
            <w:proofErr w:type="spellEnd"/>
            <w:r>
              <w:rPr>
                <w:sz w:val="22"/>
                <w:szCs w:val="22"/>
              </w:rPr>
              <w:t xml:space="preserve"> (also referred to as</w:t>
            </w:r>
            <w:r w:rsidRPr="00047122">
              <w:rPr>
                <w:sz w:val="22"/>
                <w:szCs w:val="22"/>
              </w:rPr>
              <w:t xml:space="preserve"> </w:t>
            </w:r>
            <w:proofErr w:type="spellStart"/>
            <w:r w:rsidRPr="00047122">
              <w:rPr>
                <w:sz w:val="22"/>
                <w:szCs w:val="22"/>
              </w:rPr>
              <w:t>Bendavia</w:t>
            </w:r>
            <w:proofErr w:type="spellEnd"/>
            <w:r>
              <w:rPr>
                <w:sz w:val="22"/>
                <w:szCs w:val="22"/>
              </w:rPr>
              <w:t>, MTP-131)</w:t>
            </w:r>
            <w:r w:rsidRPr="00047122">
              <w:rPr>
                <w:sz w:val="22"/>
                <w:szCs w:val="22"/>
              </w:rPr>
              <w:t xml:space="preserve"> on limiting the size of infarcted myocardium in a select population of patients with first time </w:t>
            </w:r>
            <w:r>
              <w:rPr>
                <w:sz w:val="22"/>
                <w:szCs w:val="22"/>
              </w:rPr>
              <w:t xml:space="preserve">acute </w:t>
            </w:r>
            <w:r w:rsidRPr="00047122">
              <w:rPr>
                <w:sz w:val="22"/>
                <w:szCs w:val="22"/>
              </w:rPr>
              <w:t xml:space="preserve">anterior wall </w:t>
            </w:r>
            <w:r>
              <w:rPr>
                <w:sz w:val="22"/>
                <w:szCs w:val="22"/>
              </w:rPr>
              <w:t>ST-segment elevation Myocardial Infarction (</w:t>
            </w:r>
            <w:r w:rsidRPr="00047122">
              <w:rPr>
                <w:sz w:val="22"/>
                <w:szCs w:val="22"/>
              </w:rPr>
              <w:t>STEMI</w:t>
            </w:r>
            <w:r>
              <w:rPr>
                <w:sz w:val="22"/>
                <w:szCs w:val="22"/>
              </w:rPr>
              <w:t>)</w:t>
            </w:r>
            <w:r w:rsidRPr="00047122">
              <w:rPr>
                <w:sz w:val="22"/>
                <w:szCs w:val="22"/>
              </w:rPr>
              <w:t xml:space="preserve"> who had undergone successful reperfusion using primary percutaneous coronary intervention (PCI) and stenting.</w:t>
            </w:r>
          </w:p>
          <w:p w14:paraId="394CEFEB" w14:textId="77777777" w:rsidR="00331064" w:rsidRPr="00047122" w:rsidRDefault="00331064" w:rsidP="00DB4D79">
            <w:pPr>
              <w:pStyle w:val="iParagraphSynopsis"/>
              <w:rPr>
                <w:sz w:val="22"/>
                <w:szCs w:val="22"/>
                <w:u w:val="single"/>
              </w:rPr>
            </w:pPr>
            <w:r w:rsidRPr="00047122">
              <w:rPr>
                <w:sz w:val="22"/>
                <w:szCs w:val="22"/>
                <w:u w:val="single"/>
              </w:rPr>
              <w:t>Secondary Objectives:</w:t>
            </w:r>
          </w:p>
          <w:p w14:paraId="579CE7A8" w14:textId="77777777" w:rsidR="00331064" w:rsidRPr="00047122" w:rsidRDefault="00331064" w:rsidP="00DB4D79">
            <w:pPr>
              <w:pStyle w:val="iParagraphSynopsis"/>
              <w:rPr>
                <w:sz w:val="22"/>
                <w:szCs w:val="22"/>
              </w:rPr>
            </w:pPr>
            <w:r w:rsidRPr="00047122">
              <w:rPr>
                <w:sz w:val="22"/>
                <w:szCs w:val="22"/>
              </w:rPr>
              <w:t xml:space="preserve">The secondary objectives for this trial were to evaluate the impact </w:t>
            </w:r>
            <w:proofErr w:type="spellStart"/>
            <w:r>
              <w:rPr>
                <w:sz w:val="22"/>
                <w:szCs w:val="22"/>
              </w:rPr>
              <w:t>elamipretide</w:t>
            </w:r>
            <w:proofErr w:type="spellEnd"/>
            <w:r w:rsidRPr="00047122">
              <w:rPr>
                <w:sz w:val="22"/>
                <w:szCs w:val="22"/>
              </w:rPr>
              <w:t xml:space="preserve"> had in patients with acute, anterior wall STEMI on the following outcomes: </w:t>
            </w:r>
          </w:p>
          <w:p w14:paraId="396FF757" w14:textId="77777777" w:rsidR="00331064" w:rsidRPr="00047122" w:rsidRDefault="00331064" w:rsidP="00331064">
            <w:pPr>
              <w:pStyle w:val="iParagraphSynopsis"/>
              <w:numPr>
                <w:ilvl w:val="0"/>
                <w:numId w:val="2"/>
              </w:numPr>
              <w:rPr>
                <w:sz w:val="22"/>
                <w:szCs w:val="22"/>
              </w:rPr>
            </w:pPr>
            <w:r w:rsidRPr="00047122">
              <w:rPr>
                <w:sz w:val="22"/>
                <w:szCs w:val="22"/>
              </w:rPr>
              <w:t xml:space="preserve">The pharmacokinetics (PK) of </w:t>
            </w:r>
            <w:proofErr w:type="spellStart"/>
            <w:r>
              <w:rPr>
                <w:sz w:val="22"/>
                <w:szCs w:val="22"/>
              </w:rPr>
              <w:t>elamipretide</w:t>
            </w:r>
            <w:proofErr w:type="spellEnd"/>
          </w:p>
          <w:p w14:paraId="1770A03F" w14:textId="77777777" w:rsidR="00331064" w:rsidRPr="00047122" w:rsidRDefault="00331064" w:rsidP="00331064">
            <w:pPr>
              <w:pStyle w:val="iParagraphSynopsis"/>
              <w:numPr>
                <w:ilvl w:val="0"/>
                <w:numId w:val="2"/>
              </w:numPr>
              <w:rPr>
                <w:sz w:val="22"/>
                <w:szCs w:val="22"/>
              </w:rPr>
            </w:pPr>
            <w:r w:rsidRPr="00047122">
              <w:rPr>
                <w:sz w:val="22"/>
                <w:szCs w:val="22"/>
              </w:rPr>
              <w:t>Renal dysfunction through 30 days and 6 months post-PCI and stenting</w:t>
            </w:r>
          </w:p>
          <w:p w14:paraId="56C049FB" w14:textId="77777777" w:rsidR="00331064" w:rsidRPr="00047122" w:rsidRDefault="00331064" w:rsidP="00331064">
            <w:pPr>
              <w:pStyle w:val="iParagraphSynopsis"/>
              <w:numPr>
                <w:ilvl w:val="0"/>
                <w:numId w:val="2"/>
              </w:numPr>
              <w:rPr>
                <w:sz w:val="22"/>
                <w:szCs w:val="22"/>
              </w:rPr>
            </w:pPr>
            <w:r w:rsidRPr="00047122">
              <w:rPr>
                <w:sz w:val="22"/>
                <w:szCs w:val="22"/>
              </w:rPr>
              <w:t>Cardiac function through Day 30 post-PCI</w:t>
            </w:r>
          </w:p>
          <w:p w14:paraId="29E30BC2" w14:textId="77777777" w:rsidR="00331064" w:rsidRPr="00047122" w:rsidRDefault="00331064" w:rsidP="00331064">
            <w:pPr>
              <w:pStyle w:val="iParagraphSynopsis"/>
              <w:numPr>
                <w:ilvl w:val="0"/>
                <w:numId w:val="2"/>
              </w:numPr>
              <w:rPr>
                <w:sz w:val="22"/>
                <w:szCs w:val="22"/>
              </w:rPr>
            </w:pPr>
            <w:r w:rsidRPr="00047122">
              <w:rPr>
                <w:sz w:val="22"/>
                <w:szCs w:val="22"/>
              </w:rPr>
              <w:t>The incidence of immediate myocardial complications during the primary hospitalization</w:t>
            </w:r>
          </w:p>
          <w:p w14:paraId="0646E8B2" w14:textId="77777777" w:rsidR="00331064" w:rsidRPr="00047122" w:rsidRDefault="00331064" w:rsidP="00331064">
            <w:pPr>
              <w:pStyle w:val="iParagraphSynopsis"/>
              <w:numPr>
                <w:ilvl w:val="0"/>
                <w:numId w:val="2"/>
              </w:numPr>
              <w:rPr>
                <w:sz w:val="22"/>
                <w:szCs w:val="22"/>
              </w:rPr>
            </w:pPr>
            <w:r w:rsidRPr="00047122">
              <w:rPr>
                <w:sz w:val="22"/>
                <w:szCs w:val="22"/>
              </w:rPr>
              <w:t xml:space="preserve">Biomarkers of congestive heart failure </w:t>
            </w:r>
            <w:r>
              <w:rPr>
                <w:sz w:val="22"/>
                <w:szCs w:val="22"/>
              </w:rPr>
              <w:t xml:space="preserve">(CHF) </w:t>
            </w:r>
            <w:r w:rsidRPr="00047122">
              <w:rPr>
                <w:sz w:val="22"/>
                <w:szCs w:val="22"/>
              </w:rPr>
              <w:t>and systemic inflammation through 6 months</w:t>
            </w:r>
          </w:p>
          <w:p w14:paraId="6959B89F" w14:textId="77777777" w:rsidR="00331064" w:rsidRPr="00047122" w:rsidRDefault="00331064" w:rsidP="00331064">
            <w:pPr>
              <w:pStyle w:val="iParagraphSynopsis"/>
              <w:numPr>
                <w:ilvl w:val="0"/>
                <w:numId w:val="2"/>
              </w:numPr>
              <w:rPr>
                <w:sz w:val="22"/>
                <w:szCs w:val="22"/>
              </w:rPr>
            </w:pPr>
            <w:r w:rsidRPr="00047122">
              <w:rPr>
                <w:sz w:val="22"/>
                <w:szCs w:val="22"/>
              </w:rPr>
              <w:t>Long-term clinical outcome at 30 days and 6 months</w:t>
            </w:r>
          </w:p>
          <w:p w14:paraId="320CA24D" w14:textId="77777777" w:rsidR="00331064" w:rsidRPr="00047122" w:rsidRDefault="00331064" w:rsidP="00331064">
            <w:pPr>
              <w:pStyle w:val="iParagraphSynopsis"/>
              <w:numPr>
                <w:ilvl w:val="0"/>
                <w:numId w:val="2"/>
              </w:numPr>
              <w:rPr>
                <w:b/>
                <w:sz w:val="22"/>
                <w:szCs w:val="22"/>
              </w:rPr>
            </w:pPr>
            <w:r w:rsidRPr="00047122">
              <w:rPr>
                <w:sz w:val="22"/>
                <w:szCs w:val="22"/>
              </w:rPr>
              <w:t xml:space="preserve">To evaluate the safety and tolerability of a single intravenous </w:t>
            </w:r>
            <w:r>
              <w:rPr>
                <w:sz w:val="22"/>
                <w:szCs w:val="22"/>
              </w:rPr>
              <w:t xml:space="preserve">(IV) </w:t>
            </w:r>
            <w:r w:rsidRPr="00047122">
              <w:rPr>
                <w:sz w:val="22"/>
                <w:szCs w:val="22"/>
              </w:rPr>
              <w:t xml:space="preserve">infusion of </w:t>
            </w:r>
            <w:proofErr w:type="spellStart"/>
            <w:r>
              <w:rPr>
                <w:sz w:val="22"/>
                <w:szCs w:val="22"/>
              </w:rPr>
              <w:t>elamipretide</w:t>
            </w:r>
            <w:proofErr w:type="spellEnd"/>
          </w:p>
        </w:tc>
      </w:tr>
      <w:tr w:rsidR="00331064" w:rsidRPr="00047122" w14:paraId="042A86D9" w14:textId="77777777" w:rsidTr="00336B47">
        <w:trPr>
          <w:cantSplit/>
          <w:jc w:val="center"/>
        </w:trPr>
        <w:tc>
          <w:tcPr>
            <w:tcW w:w="9247" w:type="dxa"/>
            <w:gridSpan w:val="2"/>
            <w:shd w:val="clear" w:color="auto" w:fill="auto"/>
          </w:tcPr>
          <w:p w14:paraId="0B8A90EA" w14:textId="77777777" w:rsidR="00331064" w:rsidRPr="00047122" w:rsidRDefault="00331064" w:rsidP="00DB4D79">
            <w:pPr>
              <w:pStyle w:val="iParagraphSynopsis"/>
              <w:rPr>
                <w:b/>
                <w:sz w:val="22"/>
                <w:szCs w:val="22"/>
              </w:rPr>
            </w:pPr>
            <w:r w:rsidRPr="00047122">
              <w:rPr>
                <w:b/>
                <w:sz w:val="22"/>
                <w:szCs w:val="22"/>
              </w:rPr>
              <w:lastRenderedPageBreak/>
              <w:t>Methodology:</w:t>
            </w:r>
          </w:p>
          <w:p w14:paraId="5DE62544" w14:textId="77777777" w:rsidR="00331064" w:rsidRPr="00047122" w:rsidRDefault="00331064" w:rsidP="00DB4D79">
            <w:pPr>
              <w:pStyle w:val="iParagraphSynopsis"/>
              <w:rPr>
                <w:sz w:val="22"/>
                <w:szCs w:val="22"/>
              </w:rPr>
            </w:pPr>
            <w:r w:rsidRPr="00047122">
              <w:rPr>
                <w:sz w:val="22"/>
                <w:szCs w:val="22"/>
              </w:rPr>
              <w:t xml:space="preserve">The EMBRACE-STEMI trial was a Phase 2a prospective, </w:t>
            </w:r>
            <w:proofErr w:type="spellStart"/>
            <w:r w:rsidRPr="00047122">
              <w:rPr>
                <w:sz w:val="22"/>
                <w:szCs w:val="22"/>
              </w:rPr>
              <w:t>multicenter</w:t>
            </w:r>
            <w:proofErr w:type="spellEnd"/>
            <w:r w:rsidRPr="00047122">
              <w:rPr>
                <w:sz w:val="22"/>
                <w:szCs w:val="22"/>
              </w:rPr>
              <w:t xml:space="preserve">, multinational randomized, double-blind, placebo-controlled study designed to assess the safety, tolerability, and efficacy of IV administered </w:t>
            </w:r>
            <w:proofErr w:type="spellStart"/>
            <w:r>
              <w:rPr>
                <w:sz w:val="22"/>
                <w:szCs w:val="22"/>
              </w:rPr>
              <w:t>elamipretide</w:t>
            </w:r>
            <w:proofErr w:type="spellEnd"/>
            <w:r w:rsidRPr="00047122">
              <w:rPr>
                <w:sz w:val="22"/>
                <w:szCs w:val="22"/>
              </w:rPr>
              <w:t xml:space="preserve"> on a background of standard-of-care therapy for reduction of reperfusion injury in patients with first time acute, anterior wall STEMI. </w:t>
            </w:r>
          </w:p>
          <w:p w14:paraId="61308DBF" w14:textId="77777777" w:rsidR="00331064" w:rsidRPr="00047122" w:rsidRDefault="00331064" w:rsidP="00DB4D79">
            <w:pPr>
              <w:pStyle w:val="iParagraphSynopsis"/>
              <w:rPr>
                <w:sz w:val="22"/>
                <w:szCs w:val="22"/>
              </w:rPr>
            </w:pPr>
            <w:r w:rsidRPr="00047122">
              <w:rPr>
                <w:sz w:val="22"/>
                <w:szCs w:val="22"/>
              </w:rPr>
              <w:t xml:space="preserve">Patients were randomized to receive either </w:t>
            </w:r>
            <w:r>
              <w:rPr>
                <w:sz w:val="22"/>
                <w:szCs w:val="22"/>
              </w:rPr>
              <w:t xml:space="preserve">an infusion of </w:t>
            </w:r>
            <w:proofErr w:type="spellStart"/>
            <w:r>
              <w:rPr>
                <w:sz w:val="22"/>
                <w:szCs w:val="22"/>
              </w:rPr>
              <w:t>elamipretide</w:t>
            </w:r>
            <w:proofErr w:type="spellEnd"/>
            <w:r w:rsidRPr="00047122">
              <w:rPr>
                <w:sz w:val="22"/>
                <w:szCs w:val="22"/>
              </w:rPr>
              <w:t xml:space="preserve"> at 0.05 mg/kg/hr or an identically appearing placebo administered as an IV infusion at 60 mL/hr. The infusion began at least 15 minutes but no more than 1 hour prior to the anticipated reperfusion event and continued through approximately 1 hour following re-establishment of blood flow through the culprit vessel.</w:t>
            </w:r>
          </w:p>
          <w:p w14:paraId="1EBAD5BE" w14:textId="77777777" w:rsidR="00331064" w:rsidRPr="00047122" w:rsidRDefault="00331064" w:rsidP="00DB4D79">
            <w:pPr>
              <w:pStyle w:val="iParagraphSynopsis"/>
              <w:rPr>
                <w:sz w:val="22"/>
                <w:szCs w:val="22"/>
              </w:rPr>
            </w:pPr>
            <w:r w:rsidRPr="00047122">
              <w:rPr>
                <w:sz w:val="22"/>
                <w:szCs w:val="22"/>
              </w:rPr>
              <w:t xml:space="preserve">All patients who received study drug, whether or not they were part of the primary efficacy analysis population, completed the entire 6-month collection of clinical, safety, and PK evaluations. </w:t>
            </w:r>
          </w:p>
          <w:p w14:paraId="00A6AF72" w14:textId="77777777" w:rsidR="00331064" w:rsidRPr="00047122" w:rsidRDefault="00331064" w:rsidP="00DB4D79">
            <w:pPr>
              <w:pStyle w:val="iParagraphSynopsis"/>
              <w:rPr>
                <w:sz w:val="22"/>
                <w:szCs w:val="22"/>
              </w:rPr>
            </w:pPr>
            <w:r w:rsidRPr="00B469D6">
              <w:rPr>
                <w:sz w:val="22"/>
                <w:szCs w:val="22"/>
              </w:rPr>
              <w:t>The infarct size was estimated using the area under the curve (AUC) of the serum creatine kinase isoenzyme, as well as using magnetic resonance imaging (MRI</w:t>
            </w:r>
            <w:r>
              <w:rPr>
                <w:sz w:val="22"/>
                <w:szCs w:val="22"/>
              </w:rPr>
              <w:t>)</w:t>
            </w:r>
            <w:r w:rsidRPr="00B469D6">
              <w:rPr>
                <w:sz w:val="22"/>
                <w:szCs w:val="22"/>
              </w:rPr>
              <w:t xml:space="preserve"> performed on the Day 4±1 and on Day 30±7 (both </w:t>
            </w:r>
            <w:r>
              <w:rPr>
                <w:sz w:val="22"/>
                <w:szCs w:val="22"/>
              </w:rPr>
              <w:t xml:space="preserve">MRI assessments </w:t>
            </w:r>
            <w:r w:rsidRPr="00B469D6">
              <w:rPr>
                <w:sz w:val="22"/>
                <w:szCs w:val="22"/>
              </w:rPr>
              <w:t>measured infarct size and the ratio of infarct size to myocardial mass). The analyses of cardiac MRI data were performed for both the primary endpoint population and also in all patients who had ade</w:t>
            </w:r>
            <w:r>
              <w:rPr>
                <w:sz w:val="22"/>
                <w:szCs w:val="22"/>
              </w:rPr>
              <w:t xml:space="preserve">quate Day 4/Day 30 cardiac MRI </w:t>
            </w:r>
            <w:r w:rsidRPr="00B469D6">
              <w:rPr>
                <w:sz w:val="22"/>
                <w:szCs w:val="22"/>
              </w:rPr>
              <w:t>studies.</w:t>
            </w:r>
          </w:p>
          <w:p w14:paraId="15A55E97" w14:textId="77777777" w:rsidR="00331064" w:rsidRPr="00047122" w:rsidRDefault="00331064" w:rsidP="00DB4D79">
            <w:pPr>
              <w:pStyle w:val="iParagraphSynopsis"/>
              <w:rPr>
                <w:sz w:val="22"/>
                <w:szCs w:val="22"/>
              </w:rPr>
            </w:pPr>
            <w:r w:rsidRPr="00047122">
              <w:rPr>
                <w:sz w:val="22"/>
                <w:szCs w:val="22"/>
              </w:rPr>
              <w:t xml:space="preserve">After completion of the PCI and stenting, patients received standard </w:t>
            </w:r>
            <w:r>
              <w:rPr>
                <w:sz w:val="22"/>
                <w:szCs w:val="22"/>
              </w:rPr>
              <w:t xml:space="preserve">medical </w:t>
            </w:r>
            <w:r w:rsidRPr="00047122">
              <w:rPr>
                <w:sz w:val="22"/>
                <w:szCs w:val="22"/>
              </w:rPr>
              <w:t>treatment.</w:t>
            </w:r>
          </w:p>
        </w:tc>
      </w:tr>
      <w:tr w:rsidR="00331064" w:rsidRPr="00047122" w14:paraId="30A3D761" w14:textId="77777777" w:rsidTr="00336B47">
        <w:trPr>
          <w:cantSplit/>
          <w:jc w:val="center"/>
        </w:trPr>
        <w:tc>
          <w:tcPr>
            <w:tcW w:w="9247" w:type="dxa"/>
            <w:gridSpan w:val="2"/>
            <w:shd w:val="clear" w:color="auto" w:fill="auto"/>
          </w:tcPr>
          <w:p w14:paraId="6E83F674" w14:textId="77777777" w:rsidR="00331064" w:rsidRPr="00047122" w:rsidRDefault="00331064" w:rsidP="00DB4D79">
            <w:pPr>
              <w:pStyle w:val="iParagraphSynopsis"/>
              <w:rPr>
                <w:b/>
                <w:sz w:val="22"/>
                <w:szCs w:val="22"/>
              </w:rPr>
            </w:pPr>
            <w:r w:rsidRPr="00047122">
              <w:rPr>
                <w:b/>
                <w:sz w:val="22"/>
                <w:szCs w:val="22"/>
              </w:rPr>
              <w:t>Number of Patients (Planned and Analysed):</w:t>
            </w:r>
          </w:p>
          <w:p w14:paraId="5792AA80" w14:textId="77777777" w:rsidR="00331064" w:rsidRPr="00047122" w:rsidRDefault="00331064" w:rsidP="00DB4D79">
            <w:pPr>
              <w:pStyle w:val="iParagraphSynopsis"/>
              <w:rPr>
                <w:sz w:val="22"/>
                <w:szCs w:val="22"/>
              </w:rPr>
            </w:pPr>
            <w:r w:rsidRPr="00047122">
              <w:rPr>
                <w:sz w:val="22"/>
                <w:szCs w:val="22"/>
              </w:rPr>
              <w:t xml:space="preserve">It was planned that 300 patients would be randomized to ensure </w:t>
            </w:r>
            <w:proofErr w:type="spellStart"/>
            <w:r w:rsidRPr="00047122">
              <w:rPr>
                <w:sz w:val="22"/>
                <w:szCs w:val="22"/>
              </w:rPr>
              <w:t>enrollment</w:t>
            </w:r>
            <w:proofErr w:type="spellEnd"/>
            <w:r w:rsidRPr="00047122">
              <w:rPr>
                <w:sz w:val="22"/>
                <w:szCs w:val="22"/>
              </w:rPr>
              <w:t xml:space="preserve"> of </w:t>
            </w:r>
            <w:r>
              <w:rPr>
                <w:sz w:val="22"/>
                <w:szCs w:val="22"/>
              </w:rPr>
              <w:t xml:space="preserve">at least </w:t>
            </w:r>
            <w:r w:rsidRPr="00047122">
              <w:rPr>
                <w:sz w:val="22"/>
                <w:szCs w:val="22"/>
              </w:rPr>
              <w:t>200 patients</w:t>
            </w:r>
            <w:r>
              <w:rPr>
                <w:sz w:val="22"/>
                <w:szCs w:val="22"/>
              </w:rPr>
              <w:t xml:space="preserve"> who would meet all evaluable criteria for primary endpoint comparison;</w:t>
            </w:r>
            <w:r w:rsidRPr="00047122">
              <w:rPr>
                <w:sz w:val="22"/>
                <w:szCs w:val="22"/>
              </w:rPr>
              <w:t xml:space="preserve"> 300 patients were actually enrolled, of whom 243 patients completed the study.</w:t>
            </w:r>
            <w:r>
              <w:rPr>
                <w:sz w:val="22"/>
                <w:szCs w:val="22"/>
              </w:rPr>
              <w:t xml:space="preserve"> Of the 300 patients enrolled, only 118 met criteria for the primary analysis population.</w:t>
            </w:r>
          </w:p>
        </w:tc>
      </w:tr>
      <w:tr w:rsidR="00331064" w:rsidRPr="00047122" w14:paraId="5707AA94" w14:textId="77777777" w:rsidTr="00336B47">
        <w:trPr>
          <w:cantSplit/>
          <w:jc w:val="center"/>
        </w:trPr>
        <w:tc>
          <w:tcPr>
            <w:tcW w:w="9247" w:type="dxa"/>
            <w:gridSpan w:val="2"/>
            <w:shd w:val="clear" w:color="auto" w:fill="auto"/>
          </w:tcPr>
          <w:p w14:paraId="188A66C7" w14:textId="77777777" w:rsidR="00331064" w:rsidRPr="00047122" w:rsidRDefault="00331064" w:rsidP="00DB4D79">
            <w:pPr>
              <w:pStyle w:val="iParagraphSynopsis"/>
              <w:rPr>
                <w:b/>
                <w:sz w:val="22"/>
                <w:szCs w:val="22"/>
              </w:rPr>
            </w:pPr>
            <w:r w:rsidRPr="00047122">
              <w:rPr>
                <w:b/>
                <w:sz w:val="22"/>
                <w:szCs w:val="22"/>
              </w:rPr>
              <w:t>Diagnosis and Main Criteria for Inclusion:</w:t>
            </w:r>
          </w:p>
          <w:p w14:paraId="10959F29" w14:textId="77777777" w:rsidR="00331064" w:rsidRPr="00047122" w:rsidRDefault="00331064" w:rsidP="00DB4D79">
            <w:pPr>
              <w:pStyle w:val="iParagraphSynopsis"/>
              <w:rPr>
                <w:sz w:val="22"/>
                <w:szCs w:val="22"/>
              </w:rPr>
            </w:pPr>
            <w:r w:rsidRPr="00047122">
              <w:rPr>
                <w:sz w:val="22"/>
                <w:szCs w:val="22"/>
              </w:rPr>
              <w:t>Patients were</w:t>
            </w:r>
            <w:r>
              <w:rPr>
                <w:sz w:val="22"/>
                <w:szCs w:val="22"/>
              </w:rPr>
              <w:t xml:space="preserve"> adult</w:t>
            </w:r>
            <w:r w:rsidRPr="00047122">
              <w:rPr>
                <w:sz w:val="22"/>
                <w:szCs w:val="22"/>
              </w:rPr>
              <w:t xml:space="preserve"> male</w:t>
            </w:r>
            <w:r>
              <w:rPr>
                <w:sz w:val="22"/>
                <w:szCs w:val="22"/>
              </w:rPr>
              <w:t>s</w:t>
            </w:r>
            <w:r w:rsidRPr="00047122">
              <w:rPr>
                <w:sz w:val="22"/>
                <w:szCs w:val="22"/>
              </w:rPr>
              <w:t xml:space="preserve"> or female</w:t>
            </w:r>
            <w:r>
              <w:rPr>
                <w:sz w:val="22"/>
                <w:szCs w:val="22"/>
              </w:rPr>
              <w:t>s</w:t>
            </w:r>
            <w:r w:rsidRPr="00047122">
              <w:rPr>
                <w:sz w:val="22"/>
                <w:szCs w:val="22"/>
              </w:rPr>
              <w:t xml:space="preserve"> aged 18 years or older and less than 85 years old who had undergone PCI plus stenting with the time from onset of symptoms of cardiac ischemia to the time of initial PCI balloon inflation not exceeding 4 hours.</w:t>
            </w:r>
          </w:p>
        </w:tc>
      </w:tr>
      <w:tr w:rsidR="00331064" w:rsidRPr="00047122" w14:paraId="1B86159F" w14:textId="77777777" w:rsidTr="00336B47">
        <w:trPr>
          <w:cantSplit/>
          <w:jc w:val="center"/>
        </w:trPr>
        <w:tc>
          <w:tcPr>
            <w:tcW w:w="9247" w:type="dxa"/>
            <w:gridSpan w:val="2"/>
            <w:shd w:val="clear" w:color="auto" w:fill="auto"/>
          </w:tcPr>
          <w:p w14:paraId="5C27E2EE" w14:textId="77777777" w:rsidR="00331064" w:rsidRPr="00047122" w:rsidRDefault="00331064" w:rsidP="00DB4D79">
            <w:pPr>
              <w:pStyle w:val="iParagraphSynopsis"/>
              <w:rPr>
                <w:b/>
                <w:sz w:val="22"/>
                <w:szCs w:val="22"/>
              </w:rPr>
            </w:pPr>
            <w:r>
              <w:rPr>
                <w:b/>
                <w:sz w:val="22"/>
                <w:szCs w:val="22"/>
              </w:rPr>
              <w:t>Investigational</w:t>
            </w:r>
            <w:r w:rsidRPr="00047122">
              <w:rPr>
                <w:b/>
                <w:sz w:val="22"/>
                <w:szCs w:val="22"/>
              </w:rPr>
              <w:t xml:space="preserve"> Product, Dose and Mode of Administration</w:t>
            </w:r>
            <w:r>
              <w:rPr>
                <w:b/>
                <w:sz w:val="22"/>
                <w:szCs w:val="22"/>
              </w:rPr>
              <w:t>;</w:t>
            </w:r>
            <w:r w:rsidRPr="00047122">
              <w:rPr>
                <w:b/>
                <w:sz w:val="22"/>
                <w:szCs w:val="22"/>
              </w:rPr>
              <w:t xml:space="preserve"> </w:t>
            </w:r>
            <w:r w:rsidRPr="00B00670">
              <w:rPr>
                <w:b/>
                <w:sz w:val="22"/>
                <w:szCs w:val="22"/>
              </w:rPr>
              <w:t>Lot Number:</w:t>
            </w:r>
          </w:p>
          <w:p w14:paraId="0139A546" w14:textId="77777777" w:rsidR="00331064" w:rsidRPr="00047122" w:rsidRDefault="00331064" w:rsidP="00DB4D79">
            <w:pPr>
              <w:pStyle w:val="iParagraphSynopsis"/>
              <w:rPr>
                <w:sz w:val="22"/>
                <w:szCs w:val="22"/>
              </w:rPr>
            </w:pPr>
            <w:proofErr w:type="spellStart"/>
            <w:r>
              <w:rPr>
                <w:sz w:val="22"/>
                <w:szCs w:val="22"/>
              </w:rPr>
              <w:t>Elamipretide</w:t>
            </w:r>
            <w:proofErr w:type="spellEnd"/>
            <w:r>
              <w:rPr>
                <w:sz w:val="22"/>
                <w:szCs w:val="22"/>
              </w:rPr>
              <w:t xml:space="preserve"> </w:t>
            </w:r>
            <w:r w:rsidRPr="00047122">
              <w:rPr>
                <w:sz w:val="22"/>
                <w:szCs w:val="22"/>
              </w:rPr>
              <w:t>(MTP-131) administered IV at 0.05 mg/kg/hr</w:t>
            </w:r>
            <w:r>
              <w:rPr>
                <w:sz w:val="22"/>
                <w:szCs w:val="22"/>
              </w:rPr>
              <w:t>; Lot Number P42202A</w:t>
            </w:r>
            <w:r w:rsidRPr="00047122">
              <w:rPr>
                <w:sz w:val="22"/>
                <w:szCs w:val="22"/>
              </w:rPr>
              <w:t>.</w:t>
            </w:r>
          </w:p>
        </w:tc>
      </w:tr>
      <w:tr w:rsidR="00331064" w:rsidRPr="00047122" w14:paraId="61570007" w14:textId="77777777" w:rsidTr="00336B47">
        <w:trPr>
          <w:cantSplit/>
          <w:jc w:val="center"/>
        </w:trPr>
        <w:tc>
          <w:tcPr>
            <w:tcW w:w="9247" w:type="dxa"/>
            <w:gridSpan w:val="2"/>
            <w:shd w:val="clear" w:color="auto" w:fill="auto"/>
          </w:tcPr>
          <w:p w14:paraId="01F8282B" w14:textId="77777777" w:rsidR="00331064" w:rsidRPr="00047122" w:rsidRDefault="00331064" w:rsidP="00DB4D79">
            <w:pPr>
              <w:pStyle w:val="iParagraphSynopsis"/>
              <w:rPr>
                <w:b/>
                <w:sz w:val="22"/>
                <w:szCs w:val="22"/>
              </w:rPr>
            </w:pPr>
            <w:r w:rsidRPr="00047122">
              <w:rPr>
                <w:b/>
                <w:sz w:val="22"/>
                <w:szCs w:val="22"/>
              </w:rPr>
              <w:t>Duration of Study Drug Treatment:</w:t>
            </w:r>
          </w:p>
          <w:p w14:paraId="2829A977" w14:textId="77777777" w:rsidR="00331064" w:rsidRPr="00047122" w:rsidRDefault="00331064" w:rsidP="00DB4D79">
            <w:pPr>
              <w:pStyle w:val="iParagraphSynopsis"/>
              <w:rPr>
                <w:sz w:val="22"/>
                <w:szCs w:val="22"/>
              </w:rPr>
            </w:pPr>
            <w:r>
              <w:rPr>
                <w:sz w:val="22"/>
                <w:szCs w:val="22"/>
              </w:rPr>
              <w:t>1.25 – 2.0 hour infusion</w:t>
            </w:r>
          </w:p>
        </w:tc>
      </w:tr>
      <w:tr w:rsidR="00331064" w:rsidRPr="00047122" w14:paraId="33966E36" w14:textId="77777777" w:rsidTr="00336B47">
        <w:trPr>
          <w:cantSplit/>
          <w:jc w:val="center"/>
        </w:trPr>
        <w:tc>
          <w:tcPr>
            <w:tcW w:w="9247" w:type="dxa"/>
            <w:gridSpan w:val="2"/>
            <w:shd w:val="clear" w:color="auto" w:fill="auto"/>
          </w:tcPr>
          <w:p w14:paraId="61A8F1CF" w14:textId="77777777" w:rsidR="00331064" w:rsidRPr="00047122" w:rsidRDefault="00331064" w:rsidP="00DB4D79">
            <w:pPr>
              <w:pStyle w:val="iParagraphSynopsis"/>
              <w:rPr>
                <w:b/>
                <w:sz w:val="22"/>
                <w:szCs w:val="22"/>
              </w:rPr>
            </w:pPr>
            <w:r w:rsidRPr="00047122">
              <w:rPr>
                <w:b/>
                <w:sz w:val="22"/>
                <w:szCs w:val="22"/>
              </w:rPr>
              <w:t>Reference Product, Dose and Mode of Administration</w:t>
            </w:r>
            <w:r>
              <w:rPr>
                <w:b/>
                <w:sz w:val="22"/>
                <w:szCs w:val="22"/>
              </w:rPr>
              <w:t>;</w:t>
            </w:r>
            <w:r w:rsidRPr="00047122">
              <w:rPr>
                <w:b/>
                <w:sz w:val="22"/>
                <w:szCs w:val="22"/>
              </w:rPr>
              <w:t xml:space="preserve"> </w:t>
            </w:r>
            <w:r>
              <w:rPr>
                <w:b/>
                <w:sz w:val="22"/>
                <w:szCs w:val="22"/>
              </w:rPr>
              <w:t>Lot</w:t>
            </w:r>
            <w:r w:rsidRPr="00047122">
              <w:rPr>
                <w:b/>
                <w:sz w:val="22"/>
                <w:szCs w:val="22"/>
              </w:rPr>
              <w:t xml:space="preserve"> Number:</w:t>
            </w:r>
          </w:p>
          <w:p w14:paraId="29516B84" w14:textId="77777777" w:rsidR="00331064" w:rsidRPr="00047122" w:rsidRDefault="00331064" w:rsidP="00DB4D79">
            <w:pPr>
              <w:pStyle w:val="iParagraphSynopsis"/>
              <w:rPr>
                <w:sz w:val="22"/>
                <w:szCs w:val="22"/>
              </w:rPr>
            </w:pPr>
            <w:r w:rsidRPr="00047122">
              <w:rPr>
                <w:sz w:val="22"/>
                <w:szCs w:val="22"/>
              </w:rPr>
              <w:t>Placebo administered as an IV infusion at 60 mL/hr</w:t>
            </w:r>
            <w:r>
              <w:rPr>
                <w:sz w:val="22"/>
                <w:szCs w:val="22"/>
              </w:rPr>
              <w:t>; Lot Number P42201P.</w:t>
            </w:r>
          </w:p>
        </w:tc>
      </w:tr>
      <w:tr w:rsidR="00331064" w:rsidRPr="008C15DC" w14:paraId="04C3F83E" w14:textId="77777777" w:rsidTr="00336B47">
        <w:trPr>
          <w:jc w:val="center"/>
        </w:trPr>
        <w:tc>
          <w:tcPr>
            <w:tcW w:w="9247" w:type="dxa"/>
            <w:gridSpan w:val="2"/>
            <w:shd w:val="clear" w:color="auto" w:fill="auto"/>
          </w:tcPr>
          <w:p w14:paraId="2D0EDD7E" w14:textId="77777777" w:rsidR="00331064" w:rsidRPr="008C15DC" w:rsidRDefault="00331064" w:rsidP="00DB4D79">
            <w:pPr>
              <w:pStyle w:val="iParagraphSynopsis"/>
              <w:rPr>
                <w:b/>
                <w:sz w:val="22"/>
                <w:szCs w:val="22"/>
              </w:rPr>
            </w:pPr>
            <w:r w:rsidRPr="008C15DC">
              <w:rPr>
                <w:b/>
                <w:sz w:val="22"/>
                <w:szCs w:val="22"/>
              </w:rPr>
              <w:t>Criteria for Evaluation:</w:t>
            </w:r>
          </w:p>
          <w:p w14:paraId="2E53F661" w14:textId="77777777" w:rsidR="00331064" w:rsidRPr="007F4C36" w:rsidRDefault="00331064" w:rsidP="00DB4D79">
            <w:pPr>
              <w:pStyle w:val="iParagraphSynopsis"/>
              <w:rPr>
                <w:sz w:val="22"/>
                <w:szCs w:val="22"/>
              </w:rPr>
            </w:pPr>
            <w:r w:rsidRPr="007F4C36">
              <w:rPr>
                <w:b/>
                <w:sz w:val="22"/>
                <w:szCs w:val="22"/>
              </w:rPr>
              <w:t xml:space="preserve">Efficacy:  </w:t>
            </w:r>
            <w:r w:rsidRPr="007F4C36">
              <w:rPr>
                <w:sz w:val="22"/>
                <w:szCs w:val="22"/>
              </w:rPr>
              <w:t xml:space="preserve">The primary efficacy endpoint for the study was the comparison between treatment groups of the </w:t>
            </w:r>
            <w:r>
              <w:rPr>
                <w:sz w:val="22"/>
                <w:szCs w:val="22"/>
              </w:rPr>
              <w:t>area under the curve from 0 to 72 hours (</w:t>
            </w:r>
            <w:r w:rsidRPr="007F4C36">
              <w:rPr>
                <w:sz w:val="22"/>
                <w:szCs w:val="22"/>
              </w:rPr>
              <w:t>AUC</w:t>
            </w:r>
            <w:r w:rsidRPr="000E3586">
              <w:rPr>
                <w:sz w:val="22"/>
                <w:szCs w:val="22"/>
                <w:vertAlign w:val="subscript"/>
              </w:rPr>
              <w:t>(0-72)</w:t>
            </w:r>
            <w:r>
              <w:rPr>
                <w:sz w:val="22"/>
                <w:szCs w:val="22"/>
              </w:rPr>
              <w:t xml:space="preserve">) </w:t>
            </w:r>
            <w:r w:rsidRPr="007F4C36">
              <w:rPr>
                <w:sz w:val="22"/>
                <w:szCs w:val="22"/>
              </w:rPr>
              <w:t xml:space="preserve">of the serum creatine kinase isoenzyme type muscle-brain (CK-MB) in </w:t>
            </w:r>
            <w:r>
              <w:rPr>
                <w:sz w:val="22"/>
                <w:szCs w:val="22"/>
              </w:rPr>
              <w:t>patient</w:t>
            </w:r>
            <w:r w:rsidRPr="007F4C36">
              <w:rPr>
                <w:sz w:val="22"/>
                <w:szCs w:val="22"/>
              </w:rPr>
              <w:t xml:space="preserve">s with first time acute STEMI who had undergone successful reperfusion using primary PCI and stenting. </w:t>
            </w:r>
          </w:p>
          <w:p w14:paraId="661FA547" w14:textId="77777777" w:rsidR="00331064" w:rsidRPr="007F4C36" w:rsidRDefault="00331064" w:rsidP="00DB4D79">
            <w:pPr>
              <w:pStyle w:val="iParagraphSynopsis"/>
              <w:rPr>
                <w:sz w:val="22"/>
                <w:szCs w:val="22"/>
              </w:rPr>
            </w:pPr>
            <w:r w:rsidRPr="007F4C36">
              <w:rPr>
                <w:sz w:val="22"/>
                <w:szCs w:val="22"/>
              </w:rPr>
              <w:t>Secondary endpoints included:</w:t>
            </w:r>
          </w:p>
          <w:p w14:paraId="67147DEA" w14:textId="77777777" w:rsidR="00331064" w:rsidRDefault="00331064" w:rsidP="00331064">
            <w:pPr>
              <w:pStyle w:val="iBulletList1"/>
              <w:numPr>
                <w:ilvl w:val="0"/>
                <w:numId w:val="4"/>
              </w:numPr>
              <w:rPr>
                <w:sz w:val="22"/>
                <w:szCs w:val="22"/>
              </w:rPr>
            </w:pPr>
            <w:r w:rsidRPr="007F4C36">
              <w:rPr>
                <w:sz w:val="22"/>
                <w:szCs w:val="22"/>
              </w:rPr>
              <w:t>Comparison between treatment groups of the AUC of troponin I enzyme curve over the 72 hours after the PCI as determined by the central laboratory.</w:t>
            </w:r>
          </w:p>
          <w:p w14:paraId="182F7425" w14:textId="77777777" w:rsidR="00331064" w:rsidRDefault="00331064" w:rsidP="00331064">
            <w:pPr>
              <w:pStyle w:val="iBulletList1"/>
              <w:numPr>
                <w:ilvl w:val="0"/>
                <w:numId w:val="4"/>
              </w:numPr>
              <w:spacing w:before="40" w:after="40" w:line="240" w:lineRule="auto"/>
              <w:rPr>
                <w:sz w:val="22"/>
                <w:szCs w:val="22"/>
              </w:rPr>
            </w:pPr>
            <w:r>
              <w:rPr>
                <w:sz w:val="22"/>
                <w:szCs w:val="22"/>
              </w:rPr>
              <w:t>Comparison between treatment groups of the AUC of CK-MB and troponin I enzyme curve over the 24 hours after the PCI as determined by the central laboratory.</w:t>
            </w:r>
          </w:p>
          <w:p w14:paraId="6F8765C3" w14:textId="77777777" w:rsidR="00331064" w:rsidRPr="007F4C36" w:rsidRDefault="00331064" w:rsidP="00331064">
            <w:pPr>
              <w:pStyle w:val="iBulletList1"/>
              <w:numPr>
                <w:ilvl w:val="0"/>
                <w:numId w:val="4"/>
              </w:numPr>
              <w:spacing w:before="40" w:after="40" w:line="240" w:lineRule="auto"/>
              <w:rPr>
                <w:sz w:val="22"/>
                <w:szCs w:val="22"/>
              </w:rPr>
            </w:pPr>
            <w:r>
              <w:rPr>
                <w:sz w:val="22"/>
                <w:szCs w:val="22"/>
              </w:rPr>
              <w:t>Peak CK-MB and troponin I values.</w:t>
            </w:r>
          </w:p>
          <w:p w14:paraId="3857DE21" w14:textId="77777777" w:rsidR="00331064" w:rsidRPr="007F4C36" w:rsidRDefault="00331064" w:rsidP="00331064">
            <w:pPr>
              <w:pStyle w:val="iBulletList1"/>
              <w:numPr>
                <w:ilvl w:val="0"/>
                <w:numId w:val="4"/>
              </w:numPr>
              <w:spacing w:before="40" w:after="40" w:line="240" w:lineRule="auto"/>
              <w:rPr>
                <w:sz w:val="22"/>
                <w:szCs w:val="22"/>
              </w:rPr>
            </w:pPr>
            <w:r w:rsidRPr="007F4C36">
              <w:rPr>
                <w:sz w:val="22"/>
                <w:szCs w:val="22"/>
              </w:rPr>
              <w:t>Comparison between treatment groups of the ratio of the volume of infarcted myocardium (late contrast gadolinium enhancement) to the volume of left ventricular mass determined on Day 4±1 and Day</w:t>
            </w:r>
            <w:r>
              <w:rPr>
                <w:sz w:val="22"/>
                <w:szCs w:val="22"/>
              </w:rPr>
              <w:t xml:space="preserve"> 30</w:t>
            </w:r>
            <w:r w:rsidRPr="007F4C36">
              <w:rPr>
                <w:sz w:val="22"/>
                <w:szCs w:val="22"/>
              </w:rPr>
              <w:t xml:space="preserve"> +7 </w:t>
            </w:r>
            <w:r>
              <w:rPr>
                <w:sz w:val="22"/>
                <w:szCs w:val="22"/>
              </w:rPr>
              <w:t xml:space="preserve">and change from Day 4±1 and Day 30+7 </w:t>
            </w:r>
            <w:r w:rsidRPr="007F4C36">
              <w:rPr>
                <w:sz w:val="22"/>
                <w:szCs w:val="22"/>
              </w:rPr>
              <w:t xml:space="preserve">cardiac MRIs as read by the central imaging facility. </w:t>
            </w:r>
          </w:p>
          <w:p w14:paraId="1DF16E3C" w14:textId="77777777" w:rsidR="00331064" w:rsidRPr="00CD3190" w:rsidRDefault="00331064" w:rsidP="00DB4D79">
            <w:pPr>
              <w:pStyle w:val="iBulletList1"/>
              <w:spacing w:before="40" w:after="40" w:line="240" w:lineRule="auto"/>
              <w:rPr>
                <w:sz w:val="22"/>
                <w:szCs w:val="22"/>
              </w:rPr>
            </w:pPr>
            <w:r w:rsidRPr="00CD3190">
              <w:rPr>
                <w:sz w:val="22"/>
                <w:szCs w:val="22"/>
              </w:rPr>
              <w:t>TIMI perfusion grade flow after completion of PCI as read by the central imaging facility</w:t>
            </w:r>
          </w:p>
          <w:p w14:paraId="521EA9E5" w14:textId="77777777" w:rsidR="00331064" w:rsidRPr="00CD3190" w:rsidRDefault="00331064" w:rsidP="00DB4D79">
            <w:pPr>
              <w:pStyle w:val="iBulletList1"/>
              <w:spacing w:before="40" w:after="40" w:line="240" w:lineRule="auto"/>
              <w:rPr>
                <w:sz w:val="22"/>
                <w:szCs w:val="22"/>
              </w:rPr>
            </w:pPr>
            <w:r w:rsidRPr="00CD3190">
              <w:rPr>
                <w:sz w:val="22"/>
                <w:szCs w:val="22"/>
              </w:rPr>
              <w:lastRenderedPageBreak/>
              <w:t>The corrected TIMI frame count at completion of the PCI as read by the central imaging facility.</w:t>
            </w:r>
          </w:p>
          <w:p w14:paraId="7D689592" w14:textId="77777777" w:rsidR="00331064" w:rsidRPr="00CD3190" w:rsidRDefault="00331064" w:rsidP="00DB4D79">
            <w:pPr>
              <w:pStyle w:val="iBulletList1"/>
              <w:spacing w:before="40" w:after="40" w:line="240" w:lineRule="auto"/>
              <w:rPr>
                <w:sz w:val="22"/>
                <w:szCs w:val="22"/>
              </w:rPr>
            </w:pPr>
            <w:r w:rsidRPr="00CD3190">
              <w:rPr>
                <w:sz w:val="22"/>
                <w:szCs w:val="22"/>
              </w:rPr>
              <w:t xml:space="preserve">The relative amount of ST-segment elevation resolution from the pre-PCI electrocardiogram (ECG) to the immediately post-PCI and 24-hour post-PCI ECGs as assessed by the blinded central electrocardiographic facility. </w:t>
            </w:r>
          </w:p>
          <w:p w14:paraId="303F0B02" w14:textId="77777777" w:rsidR="00331064" w:rsidRPr="007F4C36" w:rsidRDefault="00331064" w:rsidP="00DB4D79">
            <w:pPr>
              <w:pStyle w:val="iBulletList1"/>
              <w:spacing w:before="40" w:after="40" w:line="240" w:lineRule="auto"/>
              <w:rPr>
                <w:sz w:val="22"/>
                <w:szCs w:val="22"/>
              </w:rPr>
            </w:pPr>
            <w:r w:rsidRPr="007F4C36">
              <w:rPr>
                <w:sz w:val="22"/>
                <w:szCs w:val="22"/>
              </w:rPr>
              <w:t>Comparison between treatment groups of the Day 4±1 and Day 30+7</w:t>
            </w:r>
            <w:r>
              <w:rPr>
                <w:sz w:val="22"/>
                <w:szCs w:val="22"/>
              </w:rPr>
              <w:t xml:space="preserve"> and change from Day 4</w:t>
            </w:r>
            <w:r w:rsidRPr="007F4C36">
              <w:rPr>
                <w:sz w:val="22"/>
                <w:szCs w:val="22"/>
              </w:rPr>
              <w:t>±1</w:t>
            </w:r>
            <w:r>
              <w:rPr>
                <w:sz w:val="22"/>
                <w:szCs w:val="22"/>
              </w:rPr>
              <w:t xml:space="preserve"> and Day 30+7 </w:t>
            </w:r>
            <w:r w:rsidRPr="007F4C36">
              <w:rPr>
                <w:sz w:val="22"/>
                <w:szCs w:val="22"/>
              </w:rPr>
              <w:t xml:space="preserve">myocardial structure and function as measured by: </w:t>
            </w:r>
            <w:r>
              <w:rPr>
                <w:sz w:val="22"/>
                <w:szCs w:val="22"/>
              </w:rPr>
              <w:t>left ventricular (LV)</w:t>
            </w:r>
            <w:r w:rsidRPr="007F4C36">
              <w:rPr>
                <w:sz w:val="22"/>
                <w:szCs w:val="22"/>
              </w:rPr>
              <w:t xml:space="preserve"> ejection fraction; LV end diastolic volume and LV end systolic volume.</w:t>
            </w:r>
          </w:p>
          <w:p w14:paraId="7D962710" w14:textId="77777777" w:rsidR="00331064" w:rsidRPr="007F4C36" w:rsidRDefault="00331064" w:rsidP="00DB4D79">
            <w:pPr>
              <w:pStyle w:val="iBulletList1"/>
              <w:spacing w:before="40" w:after="40" w:line="240" w:lineRule="auto"/>
              <w:rPr>
                <w:sz w:val="22"/>
                <w:szCs w:val="22"/>
              </w:rPr>
            </w:pPr>
            <w:r w:rsidRPr="007F4C36">
              <w:rPr>
                <w:sz w:val="22"/>
                <w:szCs w:val="22"/>
              </w:rPr>
              <w:t>Comparison between treatment groups of the incidence of immediate myocardial complications.</w:t>
            </w:r>
          </w:p>
          <w:p w14:paraId="04657AC4" w14:textId="77777777" w:rsidR="00331064" w:rsidRPr="007F4C36" w:rsidRDefault="00331064" w:rsidP="00DB4D79">
            <w:pPr>
              <w:pStyle w:val="iBulletList1"/>
              <w:spacing w:before="40" w:after="40" w:line="240" w:lineRule="auto"/>
              <w:rPr>
                <w:sz w:val="22"/>
                <w:szCs w:val="22"/>
              </w:rPr>
            </w:pPr>
            <w:r w:rsidRPr="007F4C36">
              <w:rPr>
                <w:sz w:val="22"/>
                <w:szCs w:val="22"/>
              </w:rPr>
              <w:t xml:space="preserve">Comparison between treatment groups of the pharmacokinetic profile of </w:t>
            </w:r>
            <w:proofErr w:type="spellStart"/>
            <w:r>
              <w:rPr>
                <w:sz w:val="22"/>
                <w:szCs w:val="22"/>
              </w:rPr>
              <w:t>elamipretide</w:t>
            </w:r>
            <w:proofErr w:type="spellEnd"/>
            <w:r w:rsidRPr="007F4C36">
              <w:rPr>
                <w:sz w:val="22"/>
                <w:szCs w:val="22"/>
              </w:rPr>
              <w:t xml:space="preserve"> based on </w:t>
            </w:r>
            <w:proofErr w:type="spellStart"/>
            <w:r>
              <w:rPr>
                <w:sz w:val="22"/>
                <w:szCs w:val="22"/>
              </w:rPr>
              <w:t>elamipretide</w:t>
            </w:r>
            <w:proofErr w:type="spellEnd"/>
            <w:r w:rsidRPr="007F4C36">
              <w:rPr>
                <w:sz w:val="22"/>
                <w:szCs w:val="22"/>
              </w:rPr>
              <w:t xml:space="preserve"> concentration levels measured by the central laboratory.</w:t>
            </w:r>
          </w:p>
          <w:p w14:paraId="44235EAF" w14:textId="77777777" w:rsidR="00331064" w:rsidRPr="00B9270A" w:rsidRDefault="00331064" w:rsidP="00331064">
            <w:pPr>
              <w:pStyle w:val="iBulletList1"/>
              <w:numPr>
                <w:ilvl w:val="0"/>
                <w:numId w:val="5"/>
              </w:numPr>
              <w:spacing w:before="40" w:after="40" w:line="240" w:lineRule="auto"/>
              <w:rPr>
                <w:b/>
                <w:sz w:val="22"/>
                <w:szCs w:val="22"/>
              </w:rPr>
            </w:pPr>
            <w:r w:rsidRPr="008C15DC">
              <w:rPr>
                <w:sz w:val="22"/>
                <w:szCs w:val="22"/>
              </w:rPr>
              <w:t>Comparison between treatment groups of the Day 30+7 and 6-month incidence of the composite endpoint that included: death (all causes); new onset CHF beginning after PCI but within the duration of the index hospitalization; and CHF re-hospitalization after discharge from initial PCI hospitalization to 6 months later.</w:t>
            </w:r>
          </w:p>
          <w:p w14:paraId="1BF4433B" w14:textId="77777777" w:rsidR="00331064" w:rsidRPr="007F4C36" w:rsidRDefault="00331064" w:rsidP="00331064">
            <w:pPr>
              <w:pStyle w:val="iBulletList1"/>
              <w:numPr>
                <w:ilvl w:val="0"/>
                <w:numId w:val="5"/>
              </w:numPr>
              <w:spacing w:before="40" w:after="40" w:line="240" w:lineRule="auto"/>
              <w:rPr>
                <w:sz w:val="22"/>
                <w:szCs w:val="22"/>
              </w:rPr>
            </w:pPr>
            <w:r>
              <w:rPr>
                <w:sz w:val="22"/>
                <w:szCs w:val="22"/>
              </w:rPr>
              <w:t>Comparisons between treatment groups of serial measurements of renal function and incidence of contrast-induced nephropathy (CIN) post-PCI.</w:t>
            </w:r>
          </w:p>
        </w:tc>
      </w:tr>
      <w:tr w:rsidR="00331064" w:rsidRPr="00047122" w14:paraId="2938353C" w14:textId="77777777" w:rsidTr="00336B47">
        <w:trPr>
          <w:cantSplit/>
          <w:jc w:val="center"/>
        </w:trPr>
        <w:tc>
          <w:tcPr>
            <w:tcW w:w="9247" w:type="dxa"/>
            <w:gridSpan w:val="2"/>
            <w:tcBorders>
              <w:top w:val="nil"/>
              <w:bottom w:val="nil"/>
            </w:tcBorders>
            <w:shd w:val="clear" w:color="auto" w:fill="auto"/>
          </w:tcPr>
          <w:p w14:paraId="6D1712C6" w14:textId="77777777" w:rsidR="00331064" w:rsidRPr="00047122" w:rsidRDefault="00331064" w:rsidP="00DB4D79">
            <w:pPr>
              <w:pStyle w:val="iParagraphSynopsis"/>
              <w:rPr>
                <w:b/>
                <w:sz w:val="22"/>
                <w:szCs w:val="22"/>
              </w:rPr>
            </w:pPr>
            <w:r w:rsidRPr="00047122">
              <w:rPr>
                <w:b/>
                <w:sz w:val="22"/>
                <w:szCs w:val="22"/>
              </w:rPr>
              <w:lastRenderedPageBreak/>
              <w:t xml:space="preserve">Pharmacokinetics:  </w:t>
            </w:r>
            <w:r w:rsidRPr="00047122">
              <w:rPr>
                <w:sz w:val="22"/>
                <w:szCs w:val="22"/>
              </w:rPr>
              <w:t xml:space="preserve">Blood samples for </w:t>
            </w:r>
            <w:proofErr w:type="spellStart"/>
            <w:r>
              <w:rPr>
                <w:sz w:val="22"/>
                <w:szCs w:val="22"/>
              </w:rPr>
              <w:t>elamipretide</w:t>
            </w:r>
            <w:proofErr w:type="spellEnd"/>
            <w:r w:rsidRPr="00047122">
              <w:rPr>
                <w:sz w:val="22"/>
                <w:szCs w:val="22"/>
              </w:rPr>
              <w:t xml:space="preserve"> levels were obtained at ≥15 minutes prior to PCI, and at 1, 3, 6, 12, 24, 36, 48 and 60 hours after completion of the PCI.</w:t>
            </w:r>
          </w:p>
        </w:tc>
      </w:tr>
      <w:tr w:rsidR="00331064" w:rsidRPr="00047122" w14:paraId="150210C1" w14:textId="77777777" w:rsidTr="00336B47">
        <w:trPr>
          <w:cantSplit/>
          <w:trHeight w:val="594"/>
          <w:jc w:val="center"/>
        </w:trPr>
        <w:tc>
          <w:tcPr>
            <w:tcW w:w="9247" w:type="dxa"/>
            <w:gridSpan w:val="2"/>
            <w:tcBorders>
              <w:top w:val="nil"/>
              <w:bottom w:val="single" w:sz="6" w:space="0" w:color="000000"/>
            </w:tcBorders>
            <w:shd w:val="clear" w:color="auto" w:fill="auto"/>
          </w:tcPr>
          <w:p w14:paraId="6C5F09A6" w14:textId="77777777" w:rsidR="00331064" w:rsidRPr="00047122" w:rsidRDefault="00331064" w:rsidP="00DB4D79">
            <w:pPr>
              <w:pStyle w:val="iParagraphSynopsis"/>
              <w:rPr>
                <w:b/>
                <w:sz w:val="22"/>
                <w:szCs w:val="22"/>
              </w:rPr>
            </w:pPr>
            <w:r w:rsidRPr="00047122">
              <w:rPr>
                <w:b/>
                <w:sz w:val="22"/>
                <w:szCs w:val="22"/>
              </w:rPr>
              <w:t xml:space="preserve">Safety:  </w:t>
            </w:r>
            <w:r w:rsidRPr="00047122">
              <w:rPr>
                <w:sz w:val="22"/>
                <w:szCs w:val="22"/>
              </w:rPr>
              <w:t>Safety measures included the assessment of adverse events (AEs), laboratory parameters, and vital signs.</w:t>
            </w:r>
          </w:p>
        </w:tc>
      </w:tr>
      <w:tr w:rsidR="00331064" w:rsidRPr="00047122" w14:paraId="40F6DD08" w14:textId="77777777" w:rsidTr="00336B47">
        <w:trPr>
          <w:jc w:val="center"/>
        </w:trPr>
        <w:tc>
          <w:tcPr>
            <w:tcW w:w="9247" w:type="dxa"/>
            <w:gridSpan w:val="2"/>
            <w:tcBorders>
              <w:top w:val="single" w:sz="6" w:space="0" w:color="000000"/>
            </w:tcBorders>
            <w:shd w:val="clear" w:color="auto" w:fill="auto"/>
          </w:tcPr>
          <w:p w14:paraId="0B4981E0" w14:textId="77777777" w:rsidR="00331064" w:rsidRPr="00047122" w:rsidRDefault="00331064" w:rsidP="00DB4D79">
            <w:pPr>
              <w:pStyle w:val="iParagraphSynopsis"/>
              <w:rPr>
                <w:b/>
                <w:sz w:val="22"/>
                <w:szCs w:val="22"/>
              </w:rPr>
            </w:pPr>
            <w:r w:rsidRPr="00047122">
              <w:rPr>
                <w:b/>
                <w:sz w:val="22"/>
                <w:szCs w:val="22"/>
              </w:rPr>
              <w:t>Statistical Methods:</w:t>
            </w:r>
          </w:p>
          <w:p w14:paraId="1E0825F9" w14:textId="77777777" w:rsidR="00331064" w:rsidRPr="00047122" w:rsidRDefault="00331064" w:rsidP="00DB4D79">
            <w:pPr>
              <w:pStyle w:val="iParagraphSynopsis"/>
              <w:rPr>
                <w:sz w:val="22"/>
                <w:szCs w:val="22"/>
              </w:rPr>
            </w:pPr>
            <w:r w:rsidRPr="00047122">
              <w:rPr>
                <w:sz w:val="22"/>
                <w:szCs w:val="22"/>
              </w:rPr>
              <w:t>Unless otherwise indicated, continuous variables (</w:t>
            </w:r>
            <w:proofErr w:type="spellStart"/>
            <w:r w:rsidRPr="00047122">
              <w:rPr>
                <w:sz w:val="22"/>
                <w:szCs w:val="22"/>
              </w:rPr>
              <w:t>eg</w:t>
            </w:r>
            <w:proofErr w:type="spellEnd"/>
            <w:r w:rsidRPr="00047122">
              <w:rPr>
                <w:sz w:val="22"/>
                <w:szCs w:val="22"/>
              </w:rPr>
              <w:t xml:space="preserve">, age, volume of </w:t>
            </w:r>
            <w:r>
              <w:rPr>
                <w:sz w:val="22"/>
                <w:szCs w:val="22"/>
              </w:rPr>
              <w:t>myocardial infarction</w:t>
            </w:r>
            <w:r w:rsidRPr="00047122">
              <w:rPr>
                <w:sz w:val="22"/>
                <w:szCs w:val="22"/>
              </w:rPr>
              <w:t xml:space="preserve">) were summarized by treatment group using descriptive statistics consisting of number of patients, mean, median, standard deviation or standard error (as appropriate), minimum, and maximum values. </w:t>
            </w:r>
          </w:p>
          <w:p w14:paraId="39A592C1" w14:textId="77777777" w:rsidR="00331064" w:rsidRPr="00047122" w:rsidRDefault="00331064" w:rsidP="00DB4D79">
            <w:pPr>
              <w:pStyle w:val="iParagraphSynopsis"/>
              <w:rPr>
                <w:sz w:val="22"/>
                <w:szCs w:val="22"/>
              </w:rPr>
            </w:pPr>
            <w:r>
              <w:rPr>
                <w:sz w:val="22"/>
                <w:szCs w:val="22"/>
              </w:rPr>
              <w:t>C</w:t>
            </w:r>
            <w:r w:rsidRPr="00047122">
              <w:rPr>
                <w:sz w:val="22"/>
                <w:szCs w:val="22"/>
              </w:rPr>
              <w:t>ategorical variables (</w:t>
            </w:r>
            <w:proofErr w:type="spellStart"/>
            <w:r w:rsidRPr="00047122">
              <w:rPr>
                <w:sz w:val="22"/>
                <w:szCs w:val="22"/>
              </w:rPr>
              <w:t>eg</w:t>
            </w:r>
            <w:proofErr w:type="spellEnd"/>
            <w:r w:rsidRPr="00047122">
              <w:rPr>
                <w:sz w:val="22"/>
                <w:szCs w:val="22"/>
              </w:rPr>
              <w:t xml:space="preserve">, gender, TIMI perfusion </w:t>
            </w:r>
            <w:r>
              <w:rPr>
                <w:sz w:val="22"/>
                <w:szCs w:val="22"/>
              </w:rPr>
              <w:t>grade</w:t>
            </w:r>
            <w:r w:rsidRPr="00047122">
              <w:rPr>
                <w:sz w:val="22"/>
                <w:szCs w:val="22"/>
              </w:rPr>
              <w:t xml:space="preserve"> flow) were summarized by treatment group using the number and percentage of patients in each category. </w:t>
            </w:r>
          </w:p>
          <w:p w14:paraId="1FFBD307" w14:textId="77777777" w:rsidR="00331064" w:rsidRPr="00047122" w:rsidRDefault="00331064" w:rsidP="00DB4D79">
            <w:pPr>
              <w:pStyle w:val="iParagraphSynopsis"/>
              <w:rPr>
                <w:sz w:val="22"/>
                <w:szCs w:val="22"/>
              </w:rPr>
            </w:pPr>
            <w:r w:rsidRPr="00047122">
              <w:rPr>
                <w:sz w:val="22"/>
                <w:szCs w:val="22"/>
              </w:rPr>
              <w:t xml:space="preserve">All data were provided in individual patient listings, </w:t>
            </w:r>
            <w:r>
              <w:rPr>
                <w:sz w:val="22"/>
                <w:szCs w:val="22"/>
              </w:rPr>
              <w:t xml:space="preserve">and </w:t>
            </w:r>
            <w:r w:rsidRPr="00047122">
              <w:rPr>
                <w:sz w:val="22"/>
                <w:szCs w:val="22"/>
              </w:rPr>
              <w:t>sort</w:t>
            </w:r>
            <w:r>
              <w:rPr>
                <w:sz w:val="22"/>
                <w:szCs w:val="22"/>
              </w:rPr>
              <w:t>ed</w:t>
            </w:r>
            <w:r w:rsidRPr="00047122">
              <w:rPr>
                <w:sz w:val="22"/>
                <w:szCs w:val="22"/>
              </w:rPr>
              <w:t xml:space="preserve"> by treatment group.</w:t>
            </w:r>
          </w:p>
          <w:p w14:paraId="1ADB7003" w14:textId="77777777" w:rsidR="00331064" w:rsidRPr="00047122" w:rsidRDefault="00331064" w:rsidP="00DB4D79">
            <w:pPr>
              <w:pStyle w:val="iParagraphSynopsis"/>
              <w:rPr>
                <w:sz w:val="22"/>
                <w:szCs w:val="22"/>
              </w:rPr>
            </w:pPr>
            <w:r w:rsidRPr="00047122">
              <w:rPr>
                <w:sz w:val="22"/>
                <w:szCs w:val="22"/>
              </w:rPr>
              <w:t xml:space="preserve">Unless otherwise noted, all statistical tests of hypotheses were 2-sided at the 5% level of significance. Confidence intervals were 2-sided 95% intervals. No adjustments were made </w:t>
            </w:r>
            <w:r>
              <w:rPr>
                <w:sz w:val="22"/>
                <w:szCs w:val="22"/>
              </w:rPr>
              <w:t>to significance levels associated with multiplicity for secondary</w:t>
            </w:r>
            <w:r w:rsidRPr="00047122">
              <w:rPr>
                <w:sz w:val="22"/>
                <w:szCs w:val="22"/>
              </w:rPr>
              <w:t xml:space="preserve"> analyses. </w:t>
            </w:r>
          </w:p>
          <w:p w14:paraId="6F64ECF7" w14:textId="77777777" w:rsidR="00331064" w:rsidRPr="007F4C36" w:rsidRDefault="00331064" w:rsidP="00DB4D79">
            <w:pPr>
              <w:pStyle w:val="iParagraphSynopsis"/>
              <w:rPr>
                <w:sz w:val="22"/>
                <w:szCs w:val="22"/>
              </w:rPr>
            </w:pPr>
            <w:r w:rsidRPr="00047122">
              <w:rPr>
                <w:sz w:val="22"/>
                <w:szCs w:val="22"/>
              </w:rPr>
              <w:t>Statistical analyses were performed using the SAS System®, Version 9.1.3 or higher.</w:t>
            </w:r>
          </w:p>
          <w:p w14:paraId="0DE3C3AF" w14:textId="77777777" w:rsidR="00331064" w:rsidRPr="003D59FB" w:rsidRDefault="00331064" w:rsidP="00DB4D79">
            <w:pPr>
              <w:pStyle w:val="iParagraph"/>
              <w:spacing w:before="40" w:after="40" w:line="240" w:lineRule="auto"/>
              <w:jc w:val="both"/>
              <w:rPr>
                <w:sz w:val="22"/>
                <w:szCs w:val="22"/>
              </w:rPr>
            </w:pPr>
            <w:r w:rsidRPr="003D59FB">
              <w:rPr>
                <w:sz w:val="22"/>
                <w:szCs w:val="22"/>
              </w:rPr>
              <w:t xml:space="preserve">For purposes of efficacy, patients were included in the primary analysis population </w:t>
            </w:r>
            <w:r>
              <w:rPr>
                <w:sz w:val="22"/>
                <w:szCs w:val="22"/>
              </w:rPr>
              <w:t xml:space="preserve">(PAP) </w:t>
            </w:r>
            <w:r w:rsidRPr="003D59FB">
              <w:rPr>
                <w:sz w:val="22"/>
                <w:szCs w:val="22"/>
              </w:rPr>
              <w:t>if they met all of the following criteria:</w:t>
            </w:r>
          </w:p>
          <w:p w14:paraId="75D6BF1A" w14:textId="77777777" w:rsidR="00331064" w:rsidRPr="00CD3190" w:rsidRDefault="00331064" w:rsidP="00DB4D79">
            <w:pPr>
              <w:pStyle w:val="iBulletList1"/>
              <w:spacing w:before="40" w:after="40" w:line="240" w:lineRule="auto"/>
              <w:rPr>
                <w:sz w:val="22"/>
                <w:szCs w:val="22"/>
              </w:rPr>
            </w:pPr>
            <w:r w:rsidRPr="00CD3190">
              <w:rPr>
                <w:sz w:val="22"/>
                <w:szCs w:val="22"/>
              </w:rPr>
              <w:t>All eligibility criteria</w:t>
            </w:r>
          </w:p>
          <w:p w14:paraId="4A6E40EE" w14:textId="77777777" w:rsidR="00331064" w:rsidRPr="008C15DC" w:rsidRDefault="00331064" w:rsidP="00DB4D79">
            <w:pPr>
              <w:pStyle w:val="iBulletList1"/>
              <w:spacing w:before="40" w:after="40" w:line="240" w:lineRule="auto"/>
              <w:rPr>
                <w:sz w:val="22"/>
                <w:szCs w:val="22"/>
              </w:rPr>
            </w:pPr>
            <w:r w:rsidRPr="008C15DC">
              <w:rPr>
                <w:sz w:val="22"/>
                <w:szCs w:val="22"/>
              </w:rPr>
              <w:t>Completed the infusion of study drug (a minimum of 15 minutes prior to time of balloon inflation, with a duration of infusion of at least 70 minutes)</w:t>
            </w:r>
          </w:p>
          <w:p w14:paraId="02BDC74D" w14:textId="77777777" w:rsidR="00331064" w:rsidRPr="008C15DC" w:rsidRDefault="00331064" w:rsidP="00DB4D79">
            <w:pPr>
              <w:pStyle w:val="iBulletList1"/>
              <w:spacing w:before="40" w:after="40" w:line="240" w:lineRule="auto"/>
              <w:rPr>
                <w:sz w:val="22"/>
                <w:szCs w:val="22"/>
              </w:rPr>
            </w:pPr>
            <w:r w:rsidRPr="008C15DC">
              <w:rPr>
                <w:sz w:val="22"/>
                <w:szCs w:val="22"/>
              </w:rPr>
              <w:t>Had a pre-PCI coronary angiogram (after randomization) with:</w:t>
            </w:r>
          </w:p>
          <w:p w14:paraId="45938A79" w14:textId="77777777" w:rsidR="00331064" w:rsidRPr="008C15DC" w:rsidRDefault="00331064" w:rsidP="00331064">
            <w:pPr>
              <w:pStyle w:val="iParagraph"/>
              <w:numPr>
                <w:ilvl w:val="1"/>
                <w:numId w:val="1"/>
              </w:numPr>
              <w:spacing w:before="40" w:after="40" w:line="240" w:lineRule="auto"/>
              <w:jc w:val="both"/>
              <w:rPr>
                <w:sz w:val="22"/>
                <w:szCs w:val="22"/>
              </w:rPr>
            </w:pPr>
            <w:r w:rsidRPr="008C15DC">
              <w:rPr>
                <w:sz w:val="22"/>
                <w:szCs w:val="22"/>
              </w:rPr>
              <w:t>A proximal/mid lesion of the left anterior descending (LAD) coronary artery (from angiography data: LAD was selected for culprit artery location and either LI or L2 was selected) that was either:</w:t>
            </w:r>
          </w:p>
          <w:p w14:paraId="483411F6" w14:textId="77777777" w:rsidR="00331064" w:rsidRPr="008C15DC" w:rsidRDefault="00331064" w:rsidP="00331064">
            <w:pPr>
              <w:pStyle w:val="iParagraph"/>
              <w:numPr>
                <w:ilvl w:val="2"/>
                <w:numId w:val="1"/>
              </w:numPr>
              <w:spacing w:before="40" w:after="40" w:line="240" w:lineRule="auto"/>
              <w:jc w:val="both"/>
              <w:rPr>
                <w:sz w:val="22"/>
                <w:szCs w:val="22"/>
              </w:rPr>
            </w:pPr>
            <w:r w:rsidRPr="008C15DC">
              <w:rPr>
                <w:sz w:val="22"/>
                <w:szCs w:val="22"/>
              </w:rPr>
              <w:t>Fully occluded (TIMI flow grade 0) or</w:t>
            </w:r>
          </w:p>
          <w:p w14:paraId="10A1D839" w14:textId="77777777" w:rsidR="00331064" w:rsidRPr="008C15DC" w:rsidRDefault="00331064" w:rsidP="00331064">
            <w:pPr>
              <w:pStyle w:val="iParagraph"/>
              <w:numPr>
                <w:ilvl w:val="2"/>
                <w:numId w:val="1"/>
              </w:numPr>
              <w:spacing w:before="40" w:after="40" w:line="240" w:lineRule="auto"/>
              <w:jc w:val="both"/>
              <w:rPr>
                <w:sz w:val="22"/>
                <w:szCs w:val="22"/>
              </w:rPr>
            </w:pPr>
            <w:r w:rsidRPr="008C15DC">
              <w:rPr>
                <w:sz w:val="22"/>
                <w:szCs w:val="22"/>
              </w:rPr>
              <w:t>Had contrast penetration of the stenotic lesion without distal coronary bed perfusion (TIMI flow grade 1)</w:t>
            </w:r>
          </w:p>
          <w:p w14:paraId="2BF0AB9F" w14:textId="77777777" w:rsidR="00331064" w:rsidRDefault="00331064" w:rsidP="00331064">
            <w:pPr>
              <w:pStyle w:val="iBulletList1"/>
              <w:numPr>
                <w:ilvl w:val="1"/>
                <w:numId w:val="1"/>
              </w:numPr>
              <w:spacing w:before="40" w:after="40" w:line="240" w:lineRule="auto"/>
              <w:rPr>
                <w:sz w:val="22"/>
                <w:szCs w:val="22"/>
              </w:rPr>
            </w:pPr>
            <w:r w:rsidRPr="008C15DC">
              <w:rPr>
                <w:sz w:val="22"/>
                <w:szCs w:val="22"/>
              </w:rPr>
              <w:t>The culprit vessel had no visible evidence of significant coronary collateral flow (from angiography data: significant coronary collateral flow was defined as "Complete Collaterals</w:t>
            </w:r>
            <w:r>
              <w:rPr>
                <w:sz w:val="22"/>
                <w:szCs w:val="22"/>
              </w:rPr>
              <w:t>,</w:t>
            </w:r>
            <w:r w:rsidRPr="008C15DC">
              <w:rPr>
                <w:sz w:val="22"/>
                <w:szCs w:val="22"/>
              </w:rPr>
              <w:t>"</w:t>
            </w:r>
            <w:r>
              <w:rPr>
                <w:sz w:val="22"/>
                <w:szCs w:val="22"/>
              </w:rPr>
              <w:t xml:space="preserve"> and myocardial collaterals as opposed to either none or partial collaterals</w:t>
            </w:r>
            <w:r w:rsidRPr="008C15DC">
              <w:rPr>
                <w:sz w:val="22"/>
                <w:szCs w:val="22"/>
              </w:rPr>
              <w:t>)</w:t>
            </w:r>
          </w:p>
          <w:p w14:paraId="4AF4ACFB" w14:textId="77777777" w:rsidR="00331064" w:rsidRPr="00CD3190" w:rsidRDefault="00331064" w:rsidP="00DB4D79">
            <w:pPr>
              <w:pStyle w:val="iBulletList1"/>
              <w:spacing w:before="40" w:after="40" w:line="240" w:lineRule="auto"/>
              <w:rPr>
                <w:sz w:val="22"/>
                <w:szCs w:val="22"/>
              </w:rPr>
            </w:pPr>
            <w:r w:rsidRPr="00CD3190">
              <w:rPr>
                <w:sz w:val="22"/>
                <w:szCs w:val="22"/>
              </w:rPr>
              <w:lastRenderedPageBreak/>
              <w:t>No evidence of: STEMI that required treatment of the left main coronary artery (from angiography findings)</w:t>
            </w:r>
          </w:p>
          <w:p w14:paraId="279CF832" w14:textId="77777777" w:rsidR="00331064" w:rsidRPr="008C15DC" w:rsidRDefault="00331064" w:rsidP="00331064">
            <w:pPr>
              <w:pStyle w:val="iParagraph"/>
              <w:numPr>
                <w:ilvl w:val="0"/>
                <w:numId w:val="3"/>
              </w:numPr>
              <w:spacing w:before="40" w:after="40" w:line="240" w:lineRule="auto"/>
              <w:jc w:val="both"/>
              <w:rPr>
                <w:sz w:val="22"/>
                <w:szCs w:val="22"/>
              </w:rPr>
            </w:pPr>
            <w:r w:rsidRPr="008C15DC">
              <w:rPr>
                <w:sz w:val="22"/>
                <w:szCs w:val="22"/>
              </w:rPr>
              <w:t>Had a single coronary</w:t>
            </w:r>
            <w:r>
              <w:rPr>
                <w:sz w:val="22"/>
                <w:szCs w:val="22"/>
              </w:rPr>
              <w:t xml:space="preserve"> vessel undergoing dilation</w:t>
            </w:r>
          </w:p>
          <w:p w14:paraId="4BEA55ED" w14:textId="77777777" w:rsidR="00331064" w:rsidRPr="008C15DC" w:rsidRDefault="00331064" w:rsidP="00331064">
            <w:pPr>
              <w:pStyle w:val="iParagraph"/>
              <w:numPr>
                <w:ilvl w:val="0"/>
                <w:numId w:val="3"/>
              </w:numPr>
              <w:spacing w:before="40" w:after="40" w:line="240" w:lineRule="auto"/>
              <w:jc w:val="both"/>
              <w:rPr>
                <w:sz w:val="22"/>
                <w:szCs w:val="22"/>
              </w:rPr>
            </w:pPr>
            <w:r w:rsidRPr="008C15DC">
              <w:rPr>
                <w:sz w:val="22"/>
                <w:szCs w:val="22"/>
              </w:rPr>
              <w:t>Underwent a successful PCI (post-PCI TIMI flow ≥2),</w:t>
            </w:r>
          </w:p>
          <w:p w14:paraId="77EF550A" w14:textId="77777777" w:rsidR="00331064" w:rsidRPr="008C15DC" w:rsidRDefault="00331064" w:rsidP="00DB4D79">
            <w:pPr>
              <w:pStyle w:val="iBulletList1"/>
              <w:spacing w:before="40" w:after="40" w:line="240" w:lineRule="auto"/>
              <w:rPr>
                <w:sz w:val="22"/>
                <w:szCs w:val="22"/>
              </w:rPr>
            </w:pPr>
            <w:r w:rsidRPr="008C15DC">
              <w:rPr>
                <w:sz w:val="22"/>
                <w:szCs w:val="22"/>
              </w:rPr>
              <w:t xml:space="preserve">Had no evidence of a second </w:t>
            </w:r>
            <w:r>
              <w:rPr>
                <w:sz w:val="22"/>
                <w:szCs w:val="22"/>
              </w:rPr>
              <w:t>m</w:t>
            </w:r>
            <w:r w:rsidRPr="00D906CB">
              <w:rPr>
                <w:sz w:val="22"/>
                <w:szCs w:val="22"/>
              </w:rPr>
              <w:t xml:space="preserve">yocardial </w:t>
            </w:r>
            <w:r>
              <w:rPr>
                <w:sz w:val="22"/>
                <w:szCs w:val="22"/>
              </w:rPr>
              <w:t>i</w:t>
            </w:r>
            <w:r w:rsidRPr="00D906CB">
              <w:rPr>
                <w:sz w:val="22"/>
                <w:szCs w:val="22"/>
              </w:rPr>
              <w:t>nfarctio</w:t>
            </w:r>
            <w:r>
              <w:rPr>
                <w:sz w:val="22"/>
                <w:szCs w:val="22"/>
              </w:rPr>
              <w:t>n (</w:t>
            </w:r>
            <w:r w:rsidRPr="008C15DC">
              <w:rPr>
                <w:sz w:val="22"/>
                <w:szCs w:val="22"/>
              </w:rPr>
              <w:t>MI</w:t>
            </w:r>
            <w:r>
              <w:rPr>
                <w:sz w:val="22"/>
                <w:szCs w:val="22"/>
              </w:rPr>
              <w:t>)</w:t>
            </w:r>
            <w:r w:rsidRPr="008C15DC">
              <w:rPr>
                <w:sz w:val="22"/>
                <w:szCs w:val="22"/>
              </w:rPr>
              <w:t xml:space="preserve"> within 72 hours of the initial PCI </w:t>
            </w:r>
            <w:r>
              <w:rPr>
                <w:sz w:val="22"/>
                <w:szCs w:val="22"/>
              </w:rPr>
              <w:t>(</w:t>
            </w:r>
            <w:proofErr w:type="spellStart"/>
            <w:r w:rsidRPr="008C15DC">
              <w:rPr>
                <w:sz w:val="22"/>
                <w:szCs w:val="22"/>
              </w:rPr>
              <w:t>ie</w:t>
            </w:r>
            <w:proofErr w:type="spellEnd"/>
            <w:r w:rsidRPr="008C15DC">
              <w:rPr>
                <w:sz w:val="22"/>
                <w:szCs w:val="22"/>
              </w:rPr>
              <w:t>, second MI date/time was on or before 72 hour cardiac enzymes assessment</w:t>
            </w:r>
            <w:r>
              <w:rPr>
                <w:sz w:val="22"/>
                <w:szCs w:val="22"/>
              </w:rPr>
              <w:t>)</w:t>
            </w:r>
            <w:r w:rsidRPr="008C15DC">
              <w:rPr>
                <w:sz w:val="22"/>
                <w:szCs w:val="22"/>
              </w:rPr>
              <w:t>.</w:t>
            </w:r>
          </w:p>
          <w:p w14:paraId="339E48B6" w14:textId="77777777" w:rsidR="00331064" w:rsidRPr="008C15DC" w:rsidRDefault="00331064" w:rsidP="00DB4D79">
            <w:pPr>
              <w:pStyle w:val="iBulletList1"/>
              <w:numPr>
                <w:ilvl w:val="0"/>
                <w:numId w:val="0"/>
              </w:numPr>
              <w:spacing w:before="40" w:after="40" w:line="240" w:lineRule="auto"/>
              <w:rPr>
                <w:sz w:val="22"/>
                <w:szCs w:val="22"/>
              </w:rPr>
            </w:pPr>
            <w:r>
              <w:rPr>
                <w:sz w:val="22"/>
                <w:szCs w:val="22"/>
              </w:rPr>
              <w:t>For purposes of this protocol, a second MI was defined by any one of the following 3 criteria:</w:t>
            </w:r>
          </w:p>
          <w:p w14:paraId="5A582D21" w14:textId="77777777" w:rsidR="00331064" w:rsidRPr="00D31277" w:rsidRDefault="00331064" w:rsidP="00DB4D79">
            <w:pPr>
              <w:pStyle w:val="iBulletList1"/>
              <w:spacing w:before="40" w:after="40" w:line="240" w:lineRule="auto"/>
              <w:rPr>
                <w:sz w:val="22"/>
                <w:szCs w:val="22"/>
              </w:rPr>
            </w:pPr>
            <w:r w:rsidRPr="00D31277">
              <w:rPr>
                <w:sz w:val="22"/>
                <w:szCs w:val="22"/>
              </w:rPr>
              <w:t>An increase of 50% in the CK-MB enzyme after 2 sequential CK-MB protocol-required measurements had shown a sequential decrease in value.</w:t>
            </w:r>
          </w:p>
          <w:p w14:paraId="03C841FA" w14:textId="77777777" w:rsidR="00331064" w:rsidRPr="00D31277" w:rsidRDefault="00331064" w:rsidP="00DB4D79">
            <w:pPr>
              <w:pStyle w:val="iBulletList1"/>
              <w:spacing w:before="40" w:after="40" w:line="240" w:lineRule="auto"/>
              <w:rPr>
                <w:sz w:val="22"/>
                <w:szCs w:val="22"/>
              </w:rPr>
            </w:pPr>
            <w:r w:rsidRPr="00D31277">
              <w:rPr>
                <w:sz w:val="22"/>
                <w:szCs w:val="22"/>
              </w:rPr>
              <w:t>The development of new pathological Q waves in a patient in whom the post-PCI ECG did not have a pathological Q wave. A pathologic Q wave was defined, for purposes of this protocol, as:</w:t>
            </w:r>
          </w:p>
          <w:p w14:paraId="3497D861" w14:textId="77777777" w:rsidR="00331064" w:rsidRPr="00D31277" w:rsidRDefault="00331064" w:rsidP="00331064">
            <w:pPr>
              <w:pStyle w:val="iBulletList1"/>
              <w:keepNext/>
              <w:keepLines/>
              <w:numPr>
                <w:ilvl w:val="1"/>
                <w:numId w:val="1"/>
              </w:numPr>
              <w:spacing w:before="40" w:after="40" w:line="240" w:lineRule="auto"/>
              <w:rPr>
                <w:sz w:val="22"/>
                <w:szCs w:val="22"/>
              </w:rPr>
            </w:pPr>
            <w:r w:rsidRPr="00D31277">
              <w:rPr>
                <w:sz w:val="22"/>
                <w:szCs w:val="22"/>
              </w:rPr>
              <w:t>Any Q-wave in leads V2-V3 ≥0.02 seconds or a QS complex in leads V2 and V3,</w:t>
            </w:r>
          </w:p>
          <w:p w14:paraId="4054E2CC" w14:textId="77777777" w:rsidR="00331064" w:rsidRPr="00D31277" w:rsidRDefault="00331064" w:rsidP="00331064">
            <w:pPr>
              <w:pStyle w:val="iBulletList1"/>
              <w:keepNext/>
              <w:keepLines/>
              <w:numPr>
                <w:ilvl w:val="1"/>
                <w:numId w:val="1"/>
              </w:numPr>
              <w:spacing w:before="40" w:after="40" w:line="240" w:lineRule="auto"/>
              <w:rPr>
                <w:sz w:val="22"/>
                <w:szCs w:val="22"/>
              </w:rPr>
            </w:pPr>
            <w:r w:rsidRPr="00D31277">
              <w:rPr>
                <w:sz w:val="22"/>
                <w:szCs w:val="22"/>
              </w:rPr>
              <w:t xml:space="preserve">A Q-wave ≥0.03 seconds and ≥0.1 mV deep or a QS complex in leads I, II </w:t>
            </w:r>
            <w:proofErr w:type="spellStart"/>
            <w:r w:rsidRPr="00D31277">
              <w:rPr>
                <w:sz w:val="22"/>
                <w:szCs w:val="22"/>
              </w:rPr>
              <w:t>aVL</w:t>
            </w:r>
            <w:proofErr w:type="spellEnd"/>
            <w:r w:rsidRPr="00D31277">
              <w:rPr>
                <w:sz w:val="22"/>
                <w:szCs w:val="22"/>
              </w:rPr>
              <w:t xml:space="preserve">, </w:t>
            </w:r>
            <w:proofErr w:type="spellStart"/>
            <w:r w:rsidRPr="00D31277">
              <w:rPr>
                <w:sz w:val="22"/>
                <w:szCs w:val="22"/>
              </w:rPr>
              <w:t>aVF</w:t>
            </w:r>
            <w:proofErr w:type="spellEnd"/>
            <w:r w:rsidRPr="00D31277">
              <w:rPr>
                <w:sz w:val="22"/>
                <w:szCs w:val="22"/>
              </w:rPr>
              <w:t xml:space="preserve">, or V4-V6 in any two leads of a contiguous lead groups (I, </w:t>
            </w:r>
            <w:proofErr w:type="spellStart"/>
            <w:r w:rsidRPr="00D31277">
              <w:rPr>
                <w:sz w:val="22"/>
                <w:szCs w:val="22"/>
              </w:rPr>
              <w:t>aVL</w:t>
            </w:r>
            <w:proofErr w:type="spellEnd"/>
            <w:r w:rsidRPr="00D31277">
              <w:rPr>
                <w:sz w:val="22"/>
                <w:szCs w:val="22"/>
              </w:rPr>
              <w:t xml:space="preserve">, V6; V4-V6; II, II, and </w:t>
            </w:r>
            <w:proofErr w:type="spellStart"/>
            <w:r w:rsidRPr="00D31277">
              <w:rPr>
                <w:sz w:val="22"/>
                <w:szCs w:val="22"/>
              </w:rPr>
              <w:t>aVF</w:t>
            </w:r>
            <w:proofErr w:type="spellEnd"/>
            <w:r w:rsidRPr="00D31277">
              <w:rPr>
                <w:sz w:val="22"/>
                <w:szCs w:val="22"/>
              </w:rPr>
              <w:t>).</w:t>
            </w:r>
          </w:p>
          <w:p w14:paraId="138D729F" w14:textId="77777777" w:rsidR="00331064" w:rsidRPr="00D31277" w:rsidRDefault="00331064" w:rsidP="00DB4D79">
            <w:pPr>
              <w:pStyle w:val="iBulletList1"/>
              <w:spacing w:before="40" w:after="40" w:line="240" w:lineRule="auto"/>
              <w:rPr>
                <w:sz w:val="22"/>
                <w:szCs w:val="22"/>
              </w:rPr>
            </w:pPr>
            <w:r w:rsidRPr="00D31277">
              <w:rPr>
                <w:sz w:val="22"/>
                <w:szCs w:val="22"/>
              </w:rPr>
              <w:t>For patients who did not have an ST-segment elevation on the post-PCI ECG, the development of ST-segment elevation in two anatomically contiguous leads with the following cut-offs ≥0.2 mV in men (&gt;0.25 mV in men&lt;40 years old) or ≥0.15 mV in women in leads V2-V3 and/or &gt;0.1 mV in other leads.</w:t>
            </w:r>
          </w:p>
          <w:p w14:paraId="3472EE51" w14:textId="77777777" w:rsidR="00331064" w:rsidRPr="003D59FB" w:rsidRDefault="00331064" w:rsidP="00DB4D79">
            <w:pPr>
              <w:pStyle w:val="iBulletList1"/>
              <w:keepNext/>
              <w:keepLines/>
              <w:numPr>
                <w:ilvl w:val="0"/>
                <w:numId w:val="0"/>
              </w:numPr>
              <w:spacing w:before="40" w:after="40" w:line="240" w:lineRule="auto"/>
              <w:rPr>
                <w:sz w:val="22"/>
                <w:szCs w:val="22"/>
              </w:rPr>
            </w:pPr>
            <w:r w:rsidRPr="008C15DC">
              <w:rPr>
                <w:sz w:val="22"/>
                <w:szCs w:val="22"/>
              </w:rPr>
              <w:t>Data presentations and analyses for the PAP w</w:t>
            </w:r>
            <w:r>
              <w:rPr>
                <w:sz w:val="22"/>
                <w:szCs w:val="22"/>
              </w:rPr>
              <w:t>ere</w:t>
            </w:r>
            <w:r w:rsidRPr="008C15DC">
              <w:rPr>
                <w:sz w:val="22"/>
                <w:szCs w:val="22"/>
              </w:rPr>
              <w:t xml:space="preserve"> based on randomized treatment group.</w:t>
            </w:r>
          </w:p>
          <w:p w14:paraId="382D67E0" w14:textId="77777777" w:rsidR="00331064" w:rsidRPr="007F4C36" w:rsidRDefault="00331064" w:rsidP="00DB4D79">
            <w:pPr>
              <w:pStyle w:val="iParagraphSynopsis"/>
              <w:keepNext/>
              <w:keepLines/>
              <w:rPr>
                <w:sz w:val="22"/>
                <w:szCs w:val="22"/>
              </w:rPr>
            </w:pPr>
            <w:r w:rsidRPr="003D59FB">
              <w:rPr>
                <w:sz w:val="22"/>
                <w:szCs w:val="22"/>
              </w:rPr>
              <w:t xml:space="preserve">The primary efficacy analysis was repeated based on subsets of the PAP or </w:t>
            </w:r>
            <w:r>
              <w:rPr>
                <w:sz w:val="22"/>
                <w:szCs w:val="22"/>
              </w:rPr>
              <w:t>the intent-to-treat (</w:t>
            </w:r>
            <w:r w:rsidRPr="003D59FB">
              <w:rPr>
                <w:sz w:val="22"/>
                <w:szCs w:val="22"/>
              </w:rPr>
              <w:t>ITT</w:t>
            </w:r>
            <w:r>
              <w:rPr>
                <w:sz w:val="22"/>
                <w:szCs w:val="22"/>
              </w:rPr>
              <w:t>)</w:t>
            </w:r>
            <w:r w:rsidRPr="003D59FB">
              <w:rPr>
                <w:sz w:val="22"/>
                <w:szCs w:val="22"/>
              </w:rPr>
              <w:t xml:space="preserve"> Population, in order to evaluate analysis robustness</w:t>
            </w:r>
            <w:r>
              <w:rPr>
                <w:sz w:val="22"/>
                <w:szCs w:val="22"/>
              </w:rPr>
              <w:t>.</w:t>
            </w:r>
          </w:p>
        </w:tc>
      </w:tr>
      <w:tr w:rsidR="00331064" w:rsidRPr="00047122" w14:paraId="35EA11CD" w14:textId="77777777" w:rsidTr="00336B47">
        <w:trPr>
          <w:jc w:val="center"/>
        </w:trPr>
        <w:tc>
          <w:tcPr>
            <w:tcW w:w="9247" w:type="dxa"/>
            <w:gridSpan w:val="2"/>
            <w:tcBorders>
              <w:top w:val="single" w:sz="6" w:space="0" w:color="000000"/>
            </w:tcBorders>
            <w:shd w:val="clear" w:color="auto" w:fill="auto"/>
          </w:tcPr>
          <w:p w14:paraId="598A61E2" w14:textId="77777777" w:rsidR="00331064" w:rsidRDefault="00331064" w:rsidP="00DB4D79">
            <w:pPr>
              <w:pStyle w:val="iParagraphSynopsis"/>
              <w:rPr>
                <w:b/>
                <w:sz w:val="22"/>
                <w:szCs w:val="22"/>
              </w:rPr>
            </w:pPr>
            <w:r w:rsidRPr="00047122">
              <w:rPr>
                <w:b/>
                <w:sz w:val="22"/>
                <w:szCs w:val="22"/>
              </w:rPr>
              <w:lastRenderedPageBreak/>
              <w:t>Summary of Results:</w:t>
            </w:r>
          </w:p>
          <w:p w14:paraId="2CD9FD1C" w14:textId="77777777" w:rsidR="00331064" w:rsidRPr="00047122" w:rsidRDefault="00331064" w:rsidP="00DB4D79">
            <w:pPr>
              <w:pStyle w:val="iParagraphSynopsis"/>
              <w:rPr>
                <w:b/>
                <w:sz w:val="22"/>
                <w:szCs w:val="22"/>
              </w:rPr>
            </w:pPr>
            <w:r>
              <w:t>The efficacy findings were limited by fewer evaluable patients in the PAP than that planned to provide 80% power and a probability of 0.05 for a type 1 error.</w:t>
            </w:r>
          </w:p>
          <w:p w14:paraId="41CFE520" w14:textId="77777777" w:rsidR="00331064" w:rsidRPr="00047122" w:rsidRDefault="00331064" w:rsidP="00DB4D79">
            <w:pPr>
              <w:pStyle w:val="iParagraphSynopsis"/>
              <w:rPr>
                <w:b/>
                <w:sz w:val="22"/>
                <w:szCs w:val="22"/>
              </w:rPr>
            </w:pPr>
            <w:r>
              <w:rPr>
                <w:b/>
                <w:sz w:val="22"/>
                <w:szCs w:val="22"/>
              </w:rPr>
              <w:t>Efficacy</w:t>
            </w:r>
            <w:r w:rsidRPr="00047122">
              <w:rPr>
                <w:b/>
                <w:sz w:val="22"/>
                <w:szCs w:val="22"/>
              </w:rPr>
              <w:t>:</w:t>
            </w:r>
          </w:p>
          <w:p w14:paraId="5F95E12D" w14:textId="77777777" w:rsidR="00331064" w:rsidRDefault="00331064" w:rsidP="00331064">
            <w:pPr>
              <w:pStyle w:val="iParagraphSynopsis"/>
              <w:numPr>
                <w:ilvl w:val="0"/>
                <w:numId w:val="7"/>
              </w:numPr>
              <w:jc w:val="left"/>
              <w:rPr>
                <w:sz w:val="22"/>
              </w:rPr>
            </w:pPr>
            <w:proofErr w:type="spellStart"/>
            <w:r>
              <w:rPr>
                <w:sz w:val="22"/>
              </w:rPr>
              <w:t>Elamipretide</w:t>
            </w:r>
            <w:proofErr w:type="spellEnd"/>
            <w:r w:rsidRPr="00981097">
              <w:rPr>
                <w:sz w:val="22"/>
              </w:rPr>
              <w:t xml:space="preserve"> did not reduce the primary endpoint of infarct size</w:t>
            </w:r>
            <w:r>
              <w:rPr>
                <w:sz w:val="22"/>
              </w:rPr>
              <w:t xml:space="preserve"> determined</w:t>
            </w:r>
            <w:r w:rsidRPr="00981097">
              <w:rPr>
                <w:sz w:val="22"/>
              </w:rPr>
              <w:t xml:space="preserve"> by CK-MB AUC</w:t>
            </w:r>
            <w:r w:rsidRPr="00572376">
              <w:rPr>
                <w:sz w:val="22"/>
                <w:vertAlign w:val="subscript"/>
              </w:rPr>
              <w:t>0-72</w:t>
            </w:r>
            <w:r w:rsidRPr="00981097">
              <w:rPr>
                <w:sz w:val="22"/>
              </w:rPr>
              <w:t>.</w:t>
            </w:r>
          </w:p>
          <w:p w14:paraId="13EC7269" w14:textId="77777777" w:rsidR="00331064" w:rsidRDefault="00331064" w:rsidP="00331064">
            <w:pPr>
              <w:pStyle w:val="iParagraphSynopsis"/>
              <w:numPr>
                <w:ilvl w:val="0"/>
                <w:numId w:val="7"/>
              </w:numPr>
              <w:jc w:val="left"/>
              <w:rPr>
                <w:sz w:val="22"/>
              </w:rPr>
            </w:pPr>
            <w:proofErr w:type="spellStart"/>
            <w:r>
              <w:rPr>
                <w:sz w:val="22"/>
              </w:rPr>
              <w:t>Elamipretide</w:t>
            </w:r>
            <w:proofErr w:type="spellEnd"/>
            <w:r>
              <w:rPr>
                <w:sz w:val="22"/>
              </w:rPr>
              <w:t xml:space="preserve"> did not reduce the secondary endpoint of infarct size measured by MRI on Day 4 nor at Day 30.</w:t>
            </w:r>
          </w:p>
          <w:p w14:paraId="70EDF1AB" w14:textId="77777777" w:rsidR="00331064" w:rsidRPr="00981097" w:rsidRDefault="00331064" w:rsidP="00331064">
            <w:pPr>
              <w:pStyle w:val="iParagraphSynopsis"/>
              <w:numPr>
                <w:ilvl w:val="0"/>
                <w:numId w:val="7"/>
              </w:numPr>
              <w:jc w:val="left"/>
              <w:rPr>
                <w:sz w:val="22"/>
              </w:rPr>
            </w:pPr>
            <w:proofErr w:type="spellStart"/>
            <w:r>
              <w:rPr>
                <w:sz w:val="22"/>
              </w:rPr>
              <w:t>Elamipretide</w:t>
            </w:r>
            <w:proofErr w:type="spellEnd"/>
            <w:r>
              <w:rPr>
                <w:sz w:val="22"/>
              </w:rPr>
              <w:t xml:space="preserve"> did improve myocardial perfusion as determined by corrected TIMI frame count (79.7 vs 166.0, p=0.03), but not TIMI perfusion grade.</w:t>
            </w:r>
          </w:p>
          <w:p w14:paraId="735D30EB" w14:textId="77777777" w:rsidR="00331064" w:rsidRPr="005B44B3" w:rsidRDefault="00331064" w:rsidP="00331064">
            <w:pPr>
              <w:pStyle w:val="iParagraphSynopsis"/>
              <w:numPr>
                <w:ilvl w:val="0"/>
                <w:numId w:val="7"/>
              </w:numPr>
              <w:jc w:val="left"/>
              <w:rPr>
                <w:sz w:val="22"/>
                <w:szCs w:val="22"/>
              </w:rPr>
            </w:pPr>
            <w:proofErr w:type="spellStart"/>
            <w:r>
              <w:rPr>
                <w:sz w:val="22"/>
                <w:szCs w:val="22"/>
              </w:rPr>
              <w:t>Elamipretide</w:t>
            </w:r>
            <w:proofErr w:type="spellEnd"/>
            <w:r w:rsidRPr="005B44B3">
              <w:rPr>
                <w:sz w:val="22"/>
                <w:szCs w:val="22"/>
              </w:rPr>
              <w:t xml:space="preserve"> did not improve the composite clinical endpoint of death and new onset heart failure within 30 days (22.4% vs 28.3%, p=0.53) nor at 6 months (25.9% vs 28.3%, p=0.84) but trended toward a decrease in the incidence of new heart failure beginning within the first 24 hours following PCI but within the duration of the index hospitalization (13.8% vs 25.0%, p=0.16).</w:t>
            </w:r>
          </w:p>
          <w:p w14:paraId="592A94B1" w14:textId="77777777" w:rsidR="00331064" w:rsidRPr="00047122" w:rsidRDefault="00331064" w:rsidP="00DB4D79">
            <w:pPr>
              <w:pStyle w:val="iParagraphSynopsis"/>
              <w:jc w:val="left"/>
              <w:rPr>
                <w:b/>
                <w:sz w:val="22"/>
                <w:szCs w:val="22"/>
              </w:rPr>
            </w:pPr>
            <w:r>
              <w:rPr>
                <w:b/>
                <w:sz w:val="22"/>
                <w:szCs w:val="22"/>
              </w:rPr>
              <w:t>Pharmacokinetics</w:t>
            </w:r>
            <w:r w:rsidRPr="00047122">
              <w:rPr>
                <w:b/>
                <w:sz w:val="22"/>
                <w:szCs w:val="22"/>
              </w:rPr>
              <w:t>:</w:t>
            </w:r>
          </w:p>
          <w:p w14:paraId="519724BD" w14:textId="77777777" w:rsidR="00331064" w:rsidRPr="00981097" w:rsidRDefault="00331064" w:rsidP="00331064">
            <w:pPr>
              <w:pStyle w:val="iParagraphSynopsis"/>
              <w:numPr>
                <w:ilvl w:val="0"/>
                <w:numId w:val="6"/>
              </w:numPr>
              <w:jc w:val="left"/>
              <w:rPr>
                <w:sz w:val="22"/>
                <w:szCs w:val="22"/>
              </w:rPr>
            </w:pPr>
            <w:r w:rsidRPr="00981097">
              <w:rPr>
                <w:sz w:val="22"/>
                <w:szCs w:val="22"/>
              </w:rPr>
              <w:t xml:space="preserve">Following an IV infusion of </w:t>
            </w:r>
            <w:proofErr w:type="spellStart"/>
            <w:r>
              <w:rPr>
                <w:sz w:val="22"/>
                <w:szCs w:val="22"/>
              </w:rPr>
              <w:t>elamipretide</w:t>
            </w:r>
            <w:proofErr w:type="spellEnd"/>
            <w:r w:rsidRPr="00981097">
              <w:rPr>
                <w:sz w:val="22"/>
                <w:szCs w:val="22"/>
              </w:rPr>
              <w:t xml:space="preserve"> 0.05 mg/kg/hr starting from ≥15 minutes prior to the reperfusion until 1 hour after reperfusion, plasma </w:t>
            </w:r>
            <w:proofErr w:type="spellStart"/>
            <w:r w:rsidRPr="00981097">
              <w:rPr>
                <w:sz w:val="22"/>
                <w:szCs w:val="22"/>
              </w:rPr>
              <w:t>C</w:t>
            </w:r>
            <w:r w:rsidRPr="00981097">
              <w:rPr>
                <w:sz w:val="22"/>
                <w:szCs w:val="22"/>
                <w:vertAlign w:val="subscript"/>
              </w:rPr>
              <w:t>max</w:t>
            </w:r>
            <w:proofErr w:type="spellEnd"/>
            <w:r w:rsidRPr="00981097">
              <w:rPr>
                <w:sz w:val="22"/>
                <w:szCs w:val="22"/>
              </w:rPr>
              <w:t xml:space="preserve"> of </w:t>
            </w:r>
            <w:proofErr w:type="spellStart"/>
            <w:r>
              <w:rPr>
                <w:sz w:val="22"/>
                <w:szCs w:val="22"/>
              </w:rPr>
              <w:t>elamipretide</w:t>
            </w:r>
            <w:proofErr w:type="spellEnd"/>
            <w:r w:rsidRPr="00981097">
              <w:rPr>
                <w:sz w:val="22"/>
                <w:szCs w:val="22"/>
              </w:rPr>
              <w:t xml:space="preserve"> was 187.2 ng/mL and AUC</w:t>
            </w:r>
            <w:r w:rsidRPr="00981097">
              <w:rPr>
                <w:sz w:val="22"/>
                <w:szCs w:val="22"/>
                <w:vertAlign w:val="subscript"/>
              </w:rPr>
              <w:t>0</w:t>
            </w:r>
            <w:r>
              <w:rPr>
                <w:sz w:val="22"/>
                <w:szCs w:val="22"/>
                <w:vertAlign w:val="subscript"/>
              </w:rPr>
              <w:noBreakHyphen/>
            </w:r>
            <w:r w:rsidRPr="00981097">
              <w:rPr>
                <w:sz w:val="22"/>
                <w:szCs w:val="22"/>
                <w:vertAlign w:val="subscript"/>
              </w:rPr>
              <w:t>inf</w:t>
            </w:r>
            <w:r w:rsidRPr="00981097">
              <w:rPr>
                <w:sz w:val="22"/>
                <w:szCs w:val="22"/>
              </w:rPr>
              <w:t xml:space="preserve"> was 625.6 ng.hr/</w:t>
            </w:r>
            <w:proofErr w:type="spellStart"/>
            <w:r w:rsidRPr="00981097">
              <w:rPr>
                <w:sz w:val="22"/>
                <w:szCs w:val="22"/>
              </w:rPr>
              <w:t>mL.</w:t>
            </w:r>
            <w:proofErr w:type="spellEnd"/>
            <w:r w:rsidRPr="00981097">
              <w:rPr>
                <w:sz w:val="22"/>
                <w:szCs w:val="22"/>
              </w:rPr>
              <w:t xml:space="preserve"> The elimination half</w:t>
            </w:r>
            <w:r w:rsidRPr="00981097">
              <w:rPr>
                <w:sz w:val="22"/>
                <w:szCs w:val="22"/>
              </w:rPr>
              <w:noBreakHyphen/>
              <w:t>life was approximately 5.8 hours and the clearance was 10.4 L/hr.</w:t>
            </w:r>
          </w:p>
          <w:p w14:paraId="2E6949B7" w14:textId="77777777" w:rsidR="00331064" w:rsidRPr="00047122" w:rsidRDefault="00331064" w:rsidP="00DB4D79">
            <w:pPr>
              <w:pStyle w:val="iParagraphSynopsis"/>
              <w:jc w:val="left"/>
              <w:rPr>
                <w:b/>
                <w:sz w:val="22"/>
                <w:szCs w:val="22"/>
              </w:rPr>
            </w:pPr>
            <w:r w:rsidRPr="00047122">
              <w:rPr>
                <w:b/>
                <w:sz w:val="22"/>
                <w:szCs w:val="22"/>
              </w:rPr>
              <w:t>Safety:</w:t>
            </w:r>
          </w:p>
          <w:p w14:paraId="183DD044" w14:textId="77777777" w:rsidR="00331064" w:rsidRDefault="00331064" w:rsidP="00331064">
            <w:pPr>
              <w:pStyle w:val="iParagraphSynopsis"/>
              <w:numPr>
                <w:ilvl w:val="0"/>
                <w:numId w:val="6"/>
              </w:numPr>
              <w:jc w:val="left"/>
              <w:rPr>
                <w:sz w:val="22"/>
              </w:rPr>
            </w:pPr>
            <w:r w:rsidRPr="00BF3692">
              <w:rPr>
                <w:sz w:val="22"/>
              </w:rPr>
              <w:t>There were no significant differences in arrhythmias, deaths, SAE</w:t>
            </w:r>
            <w:r>
              <w:rPr>
                <w:sz w:val="22"/>
              </w:rPr>
              <w:t>s</w:t>
            </w:r>
            <w:r w:rsidRPr="00BF3692">
              <w:rPr>
                <w:sz w:val="22"/>
              </w:rPr>
              <w:t xml:space="preserve">, TEAEs </w:t>
            </w:r>
            <w:r>
              <w:rPr>
                <w:sz w:val="22"/>
              </w:rPr>
              <w:t>n</w:t>
            </w:r>
            <w:r w:rsidRPr="00BF3692">
              <w:rPr>
                <w:sz w:val="22"/>
              </w:rPr>
              <w:t xml:space="preserve">or </w:t>
            </w:r>
            <w:r>
              <w:rPr>
                <w:sz w:val="22"/>
              </w:rPr>
              <w:t xml:space="preserve">in the incidence of </w:t>
            </w:r>
            <w:r w:rsidRPr="00BF3692">
              <w:rPr>
                <w:sz w:val="22"/>
              </w:rPr>
              <w:t xml:space="preserve">hyponatremia between the </w:t>
            </w:r>
            <w:proofErr w:type="spellStart"/>
            <w:r>
              <w:rPr>
                <w:sz w:val="22"/>
              </w:rPr>
              <w:t>elamipretide</w:t>
            </w:r>
            <w:proofErr w:type="spellEnd"/>
            <w:r w:rsidRPr="00BF3692">
              <w:rPr>
                <w:sz w:val="22"/>
              </w:rPr>
              <w:t xml:space="preserve"> patients and the controls</w:t>
            </w:r>
            <w:r>
              <w:rPr>
                <w:sz w:val="22"/>
              </w:rPr>
              <w:t>.</w:t>
            </w:r>
          </w:p>
          <w:p w14:paraId="166B91EE" w14:textId="77777777" w:rsidR="00331064" w:rsidRPr="00981097" w:rsidRDefault="00331064" w:rsidP="00331064">
            <w:pPr>
              <w:pStyle w:val="iParagraphSynopsis"/>
              <w:numPr>
                <w:ilvl w:val="0"/>
                <w:numId w:val="6"/>
              </w:numPr>
              <w:jc w:val="left"/>
              <w:rPr>
                <w:sz w:val="22"/>
              </w:rPr>
            </w:pPr>
            <w:r w:rsidRPr="00981097">
              <w:rPr>
                <w:sz w:val="22"/>
              </w:rPr>
              <w:t xml:space="preserve">Three deaths from the </w:t>
            </w:r>
            <w:proofErr w:type="spellStart"/>
            <w:r>
              <w:rPr>
                <w:sz w:val="22"/>
              </w:rPr>
              <w:t>elamipretide</w:t>
            </w:r>
            <w:proofErr w:type="spellEnd"/>
            <w:r w:rsidRPr="00981097">
              <w:rPr>
                <w:sz w:val="22"/>
              </w:rPr>
              <w:t xml:space="preserve"> treatment group and 1 death from the placebo group were reported prior to Day 30.</w:t>
            </w:r>
          </w:p>
          <w:p w14:paraId="37CA070B" w14:textId="77777777" w:rsidR="00331064" w:rsidRPr="00981097" w:rsidRDefault="00331064" w:rsidP="00331064">
            <w:pPr>
              <w:pStyle w:val="iParagraphSynopsis"/>
              <w:numPr>
                <w:ilvl w:val="0"/>
                <w:numId w:val="6"/>
              </w:numPr>
              <w:jc w:val="left"/>
              <w:rPr>
                <w:sz w:val="22"/>
              </w:rPr>
            </w:pPr>
            <w:r w:rsidRPr="00981097">
              <w:rPr>
                <w:sz w:val="22"/>
              </w:rPr>
              <w:t xml:space="preserve">20 (13.3%) </w:t>
            </w:r>
            <w:proofErr w:type="spellStart"/>
            <w:r>
              <w:rPr>
                <w:sz w:val="22"/>
              </w:rPr>
              <w:t>elamipretide</w:t>
            </w:r>
            <w:proofErr w:type="spellEnd"/>
            <w:r w:rsidRPr="00981097">
              <w:rPr>
                <w:sz w:val="22"/>
              </w:rPr>
              <w:t xml:space="preserve"> patients experienced SAEs compared to 14 (9.5%) placebo patients.</w:t>
            </w:r>
          </w:p>
          <w:p w14:paraId="5C7CF195" w14:textId="77777777" w:rsidR="00331064" w:rsidRPr="00981097" w:rsidRDefault="00331064" w:rsidP="00331064">
            <w:pPr>
              <w:pStyle w:val="iParagraphSynopsis"/>
              <w:numPr>
                <w:ilvl w:val="0"/>
                <w:numId w:val="6"/>
              </w:numPr>
              <w:jc w:val="left"/>
              <w:rPr>
                <w:sz w:val="22"/>
              </w:rPr>
            </w:pPr>
            <w:r w:rsidRPr="00981097">
              <w:rPr>
                <w:sz w:val="22"/>
              </w:rPr>
              <w:t xml:space="preserve">TEAEs were reported for 88.7% of patients in the </w:t>
            </w:r>
            <w:proofErr w:type="spellStart"/>
            <w:r>
              <w:rPr>
                <w:sz w:val="22"/>
              </w:rPr>
              <w:t>elamipretide</w:t>
            </w:r>
            <w:proofErr w:type="spellEnd"/>
            <w:r w:rsidRPr="00981097">
              <w:rPr>
                <w:sz w:val="22"/>
              </w:rPr>
              <w:t xml:space="preserve"> treatment group compared to 81.6% of patients in the placebo group.</w:t>
            </w:r>
          </w:p>
          <w:p w14:paraId="404CD0FF" w14:textId="77777777" w:rsidR="00331064" w:rsidRPr="00981097" w:rsidRDefault="00331064" w:rsidP="00331064">
            <w:pPr>
              <w:pStyle w:val="iParagraphSynopsis"/>
              <w:numPr>
                <w:ilvl w:val="0"/>
                <w:numId w:val="6"/>
              </w:numPr>
              <w:jc w:val="left"/>
              <w:rPr>
                <w:sz w:val="22"/>
              </w:rPr>
            </w:pPr>
            <w:r w:rsidRPr="00981097">
              <w:rPr>
                <w:sz w:val="22"/>
              </w:rPr>
              <w:lastRenderedPageBreak/>
              <w:t xml:space="preserve">Overall, 26 patients (17.3%) in the </w:t>
            </w:r>
            <w:proofErr w:type="spellStart"/>
            <w:r>
              <w:rPr>
                <w:sz w:val="22"/>
              </w:rPr>
              <w:t>elamipretide</w:t>
            </w:r>
            <w:proofErr w:type="spellEnd"/>
            <w:r w:rsidRPr="00981097">
              <w:rPr>
                <w:sz w:val="22"/>
              </w:rPr>
              <w:t xml:space="preserve"> treatment group experienced TEAEs assessed as related to study drug compared to 19 patients (12.9%) in the placebo group. </w:t>
            </w:r>
          </w:p>
          <w:p w14:paraId="5DFAA7BE" w14:textId="77777777" w:rsidR="00331064" w:rsidRPr="00981097" w:rsidRDefault="00331064" w:rsidP="00331064">
            <w:pPr>
              <w:pStyle w:val="iParagraphSynopsis"/>
              <w:numPr>
                <w:ilvl w:val="0"/>
                <w:numId w:val="6"/>
              </w:numPr>
              <w:jc w:val="left"/>
              <w:rPr>
                <w:sz w:val="22"/>
              </w:rPr>
            </w:pPr>
            <w:r w:rsidRPr="00981097">
              <w:rPr>
                <w:sz w:val="22"/>
              </w:rPr>
              <w:t xml:space="preserve">The most common related TEAE was hypokalaemia, which was reported for 8.7% of patients in the </w:t>
            </w:r>
            <w:proofErr w:type="spellStart"/>
            <w:r>
              <w:rPr>
                <w:sz w:val="22"/>
              </w:rPr>
              <w:t>elamipretide</w:t>
            </w:r>
            <w:proofErr w:type="spellEnd"/>
            <w:r w:rsidRPr="00981097">
              <w:rPr>
                <w:sz w:val="22"/>
              </w:rPr>
              <w:t xml:space="preserve"> group and 8.8% of patients in the placebo group.</w:t>
            </w:r>
          </w:p>
          <w:p w14:paraId="74020D72" w14:textId="77777777" w:rsidR="00331064" w:rsidRDefault="00331064" w:rsidP="00331064">
            <w:pPr>
              <w:pStyle w:val="iParagraphSynopsis"/>
              <w:numPr>
                <w:ilvl w:val="0"/>
                <w:numId w:val="6"/>
              </w:numPr>
              <w:jc w:val="left"/>
              <w:rPr>
                <w:sz w:val="22"/>
              </w:rPr>
            </w:pPr>
            <w:r w:rsidRPr="00981097">
              <w:rPr>
                <w:sz w:val="22"/>
              </w:rPr>
              <w:t xml:space="preserve">For the </w:t>
            </w:r>
            <w:proofErr w:type="spellStart"/>
            <w:r>
              <w:rPr>
                <w:sz w:val="22"/>
              </w:rPr>
              <w:t>elamipretide</w:t>
            </w:r>
            <w:proofErr w:type="spellEnd"/>
            <w:r w:rsidRPr="00981097">
              <w:rPr>
                <w:sz w:val="22"/>
              </w:rPr>
              <w:t xml:space="preserve"> treatment group, 40.7% of TEAEs were assessed as mild, 29.3% were assessed as moderate, and 18% were assessed as severe. For the placebo group, 38.1% were assessed as mild, 32.7% were moderate, and 10.9% were severe.</w:t>
            </w:r>
          </w:p>
          <w:p w14:paraId="0DCABE10" w14:textId="77777777" w:rsidR="00331064" w:rsidRPr="00047122" w:rsidRDefault="00331064" w:rsidP="00331064">
            <w:pPr>
              <w:pStyle w:val="iParagraphSynopsis"/>
              <w:numPr>
                <w:ilvl w:val="0"/>
                <w:numId w:val="6"/>
              </w:numPr>
              <w:jc w:val="left"/>
            </w:pPr>
            <w:r w:rsidRPr="00B4147B">
              <w:rPr>
                <w:sz w:val="22"/>
              </w:rPr>
              <w:t xml:space="preserve">In the </w:t>
            </w:r>
            <w:proofErr w:type="spellStart"/>
            <w:r>
              <w:rPr>
                <w:sz w:val="22"/>
              </w:rPr>
              <w:t>elamipretide</w:t>
            </w:r>
            <w:proofErr w:type="spellEnd"/>
            <w:r w:rsidRPr="00B4147B">
              <w:rPr>
                <w:sz w:val="22"/>
              </w:rPr>
              <w:t xml:space="preserve"> treatment group, 18 patients (12.0%) experienced treatment-emergent hyponatremia with a mean serum sodium value of 130.7 mmol/L (change from baseline:  </w:t>
            </w:r>
            <w:r>
              <w:rPr>
                <w:sz w:val="22"/>
              </w:rPr>
              <w:t>-</w:t>
            </w:r>
            <w:r w:rsidRPr="00B4147B">
              <w:rPr>
                <w:sz w:val="22"/>
              </w:rPr>
              <w:t xml:space="preserve">7.9 mmol/L). In the placebo group, 13 patients (8.8%) experienced treatment-emergent hyponatremia with a mean serum sodium value of 132.6 mmol/L (change from baseline:  </w:t>
            </w:r>
            <w:r>
              <w:rPr>
                <w:sz w:val="22"/>
              </w:rPr>
              <w:t>-</w:t>
            </w:r>
            <w:r w:rsidRPr="00B4147B">
              <w:rPr>
                <w:sz w:val="22"/>
              </w:rPr>
              <w:t>4.9 mmol/L).</w:t>
            </w:r>
          </w:p>
        </w:tc>
      </w:tr>
      <w:tr w:rsidR="00331064" w:rsidRPr="00A70AB2" w14:paraId="2C3A1191" w14:textId="77777777" w:rsidTr="00336B47">
        <w:trPr>
          <w:cantSplit/>
          <w:jc w:val="center"/>
        </w:trPr>
        <w:tc>
          <w:tcPr>
            <w:tcW w:w="9247" w:type="dxa"/>
            <w:gridSpan w:val="2"/>
            <w:shd w:val="clear" w:color="auto" w:fill="auto"/>
          </w:tcPr>
          <w:p w14:paraId="6FB9C2D5" w14:textId="77777777" w:rsidR="00331064" w:rsidRPr="00A70AB2" w:rsidRDefault="00331064" w:rsidP="00DB4D79">
            <w:pPr>
              <w:pStyle w:val="iParagraphSynopsis"/>
              <w:rPr>
                <w:b/>
                <w:sz w:val="22"/>
                <w:szCs w:val="22"/>
              </w:rPr>
            </w:pPr>
            <w:r w:rsidRPr="00A70AB2">
              <w:rPr>
                <w:b/>
                <w:sz w:val="22"/>
                <w:szCs w:val="22"/>
              </w:rPr>
              <w:lastRenderedPageBreak/>
              <w:t>Conclusions:</w:t>
            </w:r>
          </w:p>
          <w:p w14:paraId="44744BA8" w14:textId="77777777" w:rsidR="00331064" w:rsidRPr="00A70AB2" w:rsidRDefault="00331064" w:rsidP="00331064">
            <w:pPr>
              <w:pStyle w:val="iParagraphSynopsis"/>
              <w:numPr>
                <w:ilvl w:val="0"/>
                <w:numId w:val="8"/>
              </w:numPr>
              <w:jc w:val="left"/>
              <w:rPr>
                <w:sz w:val="22"/>
                <w:szCs w:val="22"/>
              </w:rPr>
            </w:pPr>
            <w:proofErr w:type="spellStart"/>
            <w:r>
              <w:rPr>
                <w:sz w:val="22"/>
                <w:szCs w:val="22"/>
              </w:rPr>
              <w:t>Elamipretide</w:t>
            </w:r>
            <w:proofErr w:type="spellEnd"/>
            <w:r w:rsidRPr="00A70AB2">
              <w:rPr>
                <w:sz w:val="22"/>
                <w:szCs w:val="22"/>
              </w:rPr>
              <w:t xml:space="preserve"> administered at a dose of 0.05 mg/kg/hr for 1 hour was safe and well tolerated but failed to reduce infarct size as determined by CK-MB area under the curve.</w:t>
            </w:r>
          </w:p>
          <w:p w14:paraId="3C87439F" w14:textId="77777777" w:rsidR="00331064" w:rsidRPr="00A70AB2" w:rsidRDefault="00331064" w:rsidP="00331064">
            <w:pPr>
              <w:pStyle w:val="iParagraphSynopsis"/>
              <w:numPr>
                <w:ilvl w:val="0"/>
                <w:numId w:val="8"/>
              </w:numPr>
              <w:jc w:val="left"/>
              <w:rPr>
                <w:sz w:val="22"/>
                <w:szCs w:val="22"/>
              </w:rPr>
            </w:pPr>
            <w:proofErr w:type="spellStart"/>
            <w:r>
              <w:rPr>
                <w:sz w:val="22"/>
                <w:szCs w:val="22"/>
              </w:rPr>
              <w:t>Elamipretide</w:t>
            </w:r>
            <w:proofErr w:type="spellEnd"/>
            <w:r w:rsidRPr="00A70AB2">
              <w:rPr>
                <w:sz w:val="22"/>
                <w:szCs w:val="22"/>
              </w:rPr>
              <w:t xml:space="preserve"> did not improve the composite clinical endpoint of death and new onset heart failure within 30 days nor at 6 months, but trended toward a decrease in the incidence of new heart failure within the first 24 hours following PCI.</w:t>
            </w:r>
          </w:p>
        </w:tc>
      </w:tr>
      <w:tr w:rsidR="00331064" w:rsidRPr="00047122" w14:paraId="5B436ADF" w14:textId="77777777" w:rsidTr="00336B47">
        <w:trPr>
          <w:cantSplit/>
          <w:jc w:val="center"/>
        </w:trPr>
        <w:tc>
          <w:tcPr>
            <w:tcW w:w="9247" w:type="dxa"/>
            <w:gridSpan w:val="2"/>
            <w:shd w:val="clear" w:color="auto" w:fill="auto"/>
          </w:tcPr>
          <w:p w14:paraId="4AC0A33E" w14:textId="77777777" w:rsidR="00331064" w:rsidRPr="00047122" w:rsidRDefault="00331064" w:rsidP="00DB4D79">
            <w:pPr>
              <w:pStyle w:val="iParagraphSynopsis"/>
              <w:rPr>
                <w:sz w:val="22"/>
                <w:szCs w:val="22"/>
              </w:rPr>
            </w:pPr>
            <w:r w:rsidRPr="00047122">
              <w:rPr>
                <w:b/>
                <w:sz w:val="22"/>
                <w:szCs w:val="22"/>
              </w:rPr>
              <w:t>Date of Report:</w:t>
            </w:r>
            <w:r w:rsidRPr="00047122">
              <w:rPr>
                <w:sz w:val="22"/>
                <w:szCs w:val="22"/>
              </w:rPr>
              <w:t xml:space="preserve">  </w:t>
            </w:r>
            <w:r>
              <w:rPr>
                <w:sz w:val="22"/>
                <w:szCs w:val="22"/>
              </w:rPr>
              <w:t xml:space="preserve">23 March </w:t>
            </w:r>
            <w:r w:rsidRPr="00047122">
              <w:rPr>
                <w:sz w:val="22"/>
                <w:szCs w:val="22"/>
              </w:rPr>
              <w:t xml:space="preserve"> 201</w:t>
            </w:r>
            <w:r>
              <w:rPr>
                <w:sz w:val="22"/>
                <w:szCs w:val="22"/>
              </w:rPr>
              <w:t>6</w:t>
            </w:r>
          </w:p>
        </w:tc>
      </w:tr>
    </w:tbl>
    <w:p w14:paraId="4467D5B0" w14:textId="77777777" w:rsidR="00352B13" w:rsidRDefault="00812D1A"/>
    <w:sectPr w:rsidR="00352B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D8222A"/>
    <w:multiLevelType w:val="hybridMultilevel"/>
    <w:tmpl w:val="49D84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753AF3"/>
    <w:multiLevelType w:val="hybridMultilevel"/>
    <w:tmpl w:val="7BAE1E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79F1AA9"/>
    <w:multiLevelType w:val="hybridMultilevel"/>
    <w:tmpl w:val="F8F6A0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AE074A3"/>
    <w:multiLevelType w:val="hybridMultilevel"/>
    <w:tmpl w:val="C00C3914"/>
    <w:lvl w:ilvl="0" w:tplc="04090001">
      <w:start w:val="1"/>
      <w:numFmt w:val="bullet"/>
      <w:lvlText w:val=""/>
      <w:lvlJc w:val="left"/>
      <w:pPr>
        <w:ind w:left="717" w:hanging="360"/>
      </w:pPr>
      <w:rPr>
        <w:rFonts w:ascii="Symbol" w:hAnsi="Symbol" w:hint="default"/>
      </w:rPr>
    </w:lvl>
    <w:lvl w:ilvl="1" w:tplc="04090003" w:tentative="1">
      <w:start w:val="1"/>
      <w:numFmt w:val="bullet"/>
      <w:lvlText w:val="o"/>
      <w:lvlJc w:val="left"/>
      <w:pPr>
        <w:ind w:left="717" w:hanging="360"/>
      </w:pPr>
      <w:rPr>
        <w:rFonts w:ascii="Courier New" w:hAnsi="Courier New" w:cs="Courier New" w:hint="default"/>
      </w:rPr>
    </w:lvl>
    <w:lvl w:ilvl="2" w:tplc="04090005" w:tentative="1">
      <w:start w:val="1"/>
      <w:numFmt w:val="bullet"/>
      <w:lvlText w:val=""/>
      <w:lvlJc w:val="left"/>
      <w:pPr>
        <w:ind w:left="1437" w:hanging="360"/>
      </w:pPr>
      <w:rPr>
        <w:rFonts w:ascii="Wingdings" w:hAnsi="Wingdings" w:hint="default"/>
      </w:rPr>
    </w:lvl>
    <w:lvl w:ilvl="3" w:tplc="04090001" w:tentative="1">
      <w:start w:val="1"/>
      <w:numFmt w:val="bullet"/>
      <w:lvlText w:val=""/>
      <w:lvlJc w:val="left"/>
      <w:pPr>
        <w:ind w:left="2157" w:hanging="360"/>
      </w:pPr>
      <w:rPr>
        <w:rFonts w:ascii="Symbol" w:hAnsi="Symbol" w:hint="default"/>
      </w:rPr>
    </w:lvl>
    <w:lvl w:ilvl="4" w:tplc="04090003" w:tentative="1">
      <w:start w:val="1"/>
      <w:numFmt w:val="bullet"/>
      <w:lvlText w:val="o"/>
      <w:lvlJc w:val="left"/>
      <w:pPr>
        <w:ind w:left="2877" w:hanging="360"/>
      </w:pPr>
      <w:rPr>
        <w:rFonts w:ascii="Courier New" w:hAnsi="Courier New" w:cs="Courier New" w:hint="default"/>
      </w:rPr>
    </w:lvl>
    <w:lvl w:ilvl="5" w:tplc="04090005" w:tentative="1">
      <w:start w:val="1"/>
      <w:numFmt w:val="bullet"/>
      <w:lvlText w:val=""/>
      <w:lvlJc w:val="left"/>
      <w:pPr>
        <w:ind w:left="3597" w:hanging="360"/>
      </w:pPr>
      <w:rPr>
        <w:rFonts w:ascii="Wingdings" w:hAnsi="Wingdings" w:hint="default"/>
      </w:rPr>
    </w:lvl>
    <w:lvl w:ilvl="6" w:tplc="04090001" w:tentative="1">
      <w:start w:val="1"/>
      <w:numFmt w:val="bullet"/>
      <w:lvlText w:val=""/>
      <w:lvlJc w:val="left"/>
      <w:pPr>
        <w:ind w:left="4317" w:hanging="360"/>
      </w:pPr>
      <w:rPr>
        <w:rFonts w:ascii="Symbol" w:hAnsi="Symbol" w:hint="default"/>
      </w:rPr>
    </w:lvl>
    <w:lvl w:ilvl="7" w:tplc="04090003" w:tentative="1">
      <w:start w:val="1"/>
      <w:numFmt w:val="bullet"/>
      <w:lvlText w:val="o"/>
      <w:lvlJc w:val="left"/>
      <w:pPr>
        <w:ind w:left="5037" w:hanging="360"/>
      </w:pPr>
      <w:rPr>
        <w:rFonts w:ascii="Courier New" w:hAnsi="Courier New" w:cs="Courier New" w:hint="default"/>
      </w:rPr>
    </w:lvl>
    <w:lvl w:ilvl="8" w:tplc="04090005" w:tentative="1">
      <w:start w:val="1"/>
      <w:numFmt w:val="bullet"/>
      <w:lvlText w:val=""/>
      <w:lvlJc w:val="left"/>
      <w:pPr>
        <w:ind w:left="5757" w:hanging="360"/>
      </w:pPr>
      <w:rPr>
        <w:rFonts w:ascii="Wingdings" w:hAnsi="Wingdings" w:hint="default"/>
      </w:rPr>
    </w:lvl>
  </w:abstractNum>
  <w:abstractNum w:abstractNumId="4" w15:restartNumberingAfterBreak="0">
    <w:nsid w:val="4FB9259F"/>
    <w:multiLevelType w:val="hybridMultilevel"/>
    <w:tmpl w:val="DFF4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027F6B"/>
    <w:multiLevelType w:val="hybridMultilevel"/>
    <w:tmpl w:val="DFBCC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854AA1"/>
    <w:multiLevelType w:val="hybridMultilevel"/>
    <w:tmpl w:val="B09E1EBE"/>
    <w:lvl w:ilvl="0" w:tplc="5F8043C0">
      <w:start w:val="1"/>
      <w:numFmt w:val="bullet"/>
      <w:pStyle w:val="iBulletList1"/>
      <w:lvlText w:val=""/>
      <w:lvlJc w:val="left"/>
      <w:pPr>
        <w:tabs>
          <w:tab w:val="num" w:pos="714"/>
        </w:tabs>
        <w:ind w:left="714" w:hanging="357"/>
      </w:pPr>
      <w:rPr>
        <w:rFonts w:ascii="Symbol" w:hAnsi="Symbol" w:hint="default"/>
        <w:color w:val="auto"/>
      </w:rPr>
    </w:lvl>
    <w:lvl w:ilvl="1" w:tplc="04090003">
      <w:start w:val="1"/>
      <w:numFmt w:val="bullet"/>
      <w:lvlText w:val="o"/>
      <w:lvlJc w:val="left"/>
      <w:pPr>
        <w:tabs>
          <w:tab w:val="num" w:pos="1797"/>
        </w:tabs>
        <w:ind w:left="1797" w:hanging="360"/>
      </w:pPr>
      <w:rPr>
        <w:rFonts w:ascii="Courier New" w:hAnsi="Courier New" w:cs="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 w15:restartNumberingAfterBreak="0">
    <w:nsid w:val="726D092E"/>
    <w:multiLevelType w:val="hybridMultilevel"/>
    <w:tmpl w:val="6B3422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5"/>
  </w:num>
  <w:num w:numId="3">
    <w:abstractNumId w:val="0"/>
  </w:num>
  <w:num w:numId="4">
    <w:abstractNumId w:val="3"/>
  </w:num>
  <w:num w:numId="5">
    <w:abstractNumId w:val="4"/>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064"/>
    <w:rsid w:val="00240A76"/>
    <w:rsid w:val="00331064"/>
    <w:rsid w:val="00336B47"/>
    <w:rsid w:val="00726D97"/>
    <w:rsid w:val="00812D1A"/>
    <w:rsid w:val="009B7BD0"/>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B8030"/>
  <w15:chartTrackingRefBased/>
  <w15:docId w15:val="{1233D1E3-89E9-43B5-A304-627CE2FE1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064"/>
    <w:pPr>
      <w:tabs>
        <w:tab w:val="left" w:pos="1361"/>
        <w:tab w:val="right" w:leader="dot" w:pos="8789"/>
      </w:tabs>
      <w:suppressAutoHyphens/>
      <w:spacing w:before="20" w:after="20" w:line="240" w:lineRule="auto"/>
      <w:ind w:left="1361" w:right="340" w:hanging="1361"/>
    </w:pPr>
    <w:rPr>
      <w:rFonts w:ascii="Times New Roman" w:eastAsia="Times New Roman" w:hAnsi="Times New Rom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Paragraph">
    <w:name w:val="iParagraph"/>
    <w:link w:val="iParagraphCharChar"/>
    <w:rsid w:val="00331064"/>
    <w:pPr>
      <w:spacing w:before="120" w:after="120" w:line="320" w:lineRule="exact"/>
    </w:pPr>
    <w:rPr>
      <w:rFonts w:ascii="Times New Roman" w:eastAsia="Times New Roman" w:hAnsi="Times New Roman" w:cs="Times New Roman"/>
      <w:sz w:val="24"/>
      <w:szCs w:val="20"/>
      <w:lang w:val="en-GB"/>
    </w:rPr>
  </w:style>
  <w:style w:type="character" w:customStyle="1" w:styleId="iParagraphCharChar">
    <w:name w:val="iParagraph Char Char"/>
    <w:link w:val="iParagraph"/>
    <w:rsid w:val="00331064"/>
    <w:rPr>
      <w:rFonts w:ascii="Times New Roman" w:eastAsia="Times New Roman" w:hAnsi="Times New Roman" w:cs="Times New Roman"/>
      <w:sz w:val="24"/>
      <w:szCs w:val="20"/>
      <w:lang w:val="en-GB"/>
    </w:rPr>
  </w:style>
  <w:style w:type="paragraph" w:customStyle="1" w:styleId="iBulletList1">
    <w:name w:val="iBullet List 1"/>
    <w:rsid w:val="00331064"/>
    <w:pPr>
      <w:numPr>
        <w:numId w:val="1"/>
      </w:numPr>
      <w:tabs>
        <w:tab w:val="left" w:pos="357"/>
      </w:tabs>
      <w:spacing w:after="120" w:line="320" w:lineRule="exact"/>
      <w:jc w:val="both"/>
    </w:pPr>
    <w:rPr>
      <w:rFonts w:ascii="Times New Roman" w:eastAsia="Times New Roman" w:hAnsi="Times New Roman" w:cs="Times New Roman"/>
      <w:sz w:val="24"/>
      <w:szCs w:val="20"/>
      <w:lang w:val="en-GB"/>
    </w:rPr>
  </w:style>
  <w:style w:type="paragraph" w:customStyle="1" w:styleId="iParagraphSynopsis">
    <w:name w:val="iParagraph Synopsis"/>
    <w:rsid w:val="00331064"/>
    <w:pPr>
      <w:spacing w:before="40" w:after="40" w:line="240" w:lineRule="auto"/>
      <w:jc w:val="both"/>
    </w:pPr>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336B47"/>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6B47"/>
    <w:rPr>
      <w:rFonts w:ascii="Segoe UI" w:eastAsia="Times New Roman" w:hAnsi="Segoe UI" w:cs="Segoe UI"/>
      <w:sz w:val="18"/>
      <w:szCs w:val="18"/>
      <w:lang w:val="en-GB"/>
    </w:rPr>
  </w:style>
  <w:style w:type="paragraph" w:customStyle="1" w:styleId="iTitle">
    <w:name w:val="iTitle"/>
    <w:next w:val="iParagraph"/>
    <w:rsid w:val="00812D1A"/>
    <w:pPr>
      <w:tabs>
        <w:tab w:val="left" w:pos="1361"/>
        <w:tab w:val="right" w:pos="9072"/>
      </w:tabs>
      <w:spacing w:before="20" w:after="60" w:line="240" w:lineRule="auto"/>
      <w:jc w:val="center"/>
    </w:pPr>
    <w:rPr>
      <w:rFonts w:ascii="Times New Roman" w:eastAsia="Times New Roman" w:hAnsi="Times New Roman" w:cs="Times New Roman"/>
      <w:b/>
      <w:kern w:val="28"/>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2084</Words>
  <Characters>11880</Characters>
  <Application>Microsoft Office Word</Application>
  <DocSecurity>0</DocSecurity>
  <Lines>99</Lines>
  <Paragraphs>27</Paragraphs>
  <ScaleCrop>false</ScaleCrop>
  <Company/>
  <LinksUpToDate>false</LinksUpToDate>
  <CharactersWithSpaces>13937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Chupina</dc:creator>
  <cp:keywords/>
  <dc:description/>
  <cp:lastModifiedBy>Olga Chupina</cp:lastModifiedBy>
  <cp:revision>4</cp:revision>
  <dcterms:created xsi:type="dcterms:W3CDTF">2020-07-17T07:45:00Z</dcterms:created>
  <dcterms:modified xsi:type="dcterms:W3CDTF">2020-07-17T07:56:00Z</dcterms:modified>
</cp:coreProperties>
</file>