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670BC" w14:textId="15062709" w:rsidR="00114BE5" w:rsidRDefault="008D1A9A" w:rsidP="00114BE5">
      <w:pPr>
        <w:rPr>
          <w:lang w:val="en"/>
        </w:rPr>
      </w:pPr>
      <w:r w:rsidRPr="008D1A9A">
        <w:rPr>
          <w:i/>
          <w:lang w:val="en"/>
        </w:rPr>
        <w:t xml:space="preserve">Purpose: </w:t>
      </w:r>
      <w:r w:rsidR="00114BE5">
        <w:rPr>
          <w:lang w:val="en"/>
        </w:rPr>
        <w:t xml:space="preserve">The purpose of the study is to identify specific genes that are up- or downregulated in </w:t>
      </w:r>
      <w:r w:rsidR="002C630A">
        <w:rPr>
          <w:lang w:val="en"/>
        </w:rPr>
        <w:t xml:space="preserve">the mononuclear cells (MNC) of the </w:t>
      </w:r>
      <w:proofErr w:type="spellStart"/>
      <w:r w:rsidR="002C630A">
        <w:rPr>
          <w:lang w:val="en"/>
        </w:rPr>
        <w:t>pheripheral</w:t>
      </w:r>
      <w:proofErr w:type="spellEnd"/>
      <w:r w:rsidR="002C630A">
        <w:rPr>
          <w:lang w:val="en"/>
        </w:rPr>
        <w:t xml:space="preserve"> blood in </w:t>
      </w:r>
      <w:r w:rsidR="00114BE5">
        <w:rPr>
          <w:lang w:val="en"/>
        </w:rPr>
        <w:t xml:space="preserve">multiple myeloma patients who receive a </w:t>
      </w:r>
      <w:proofErr w:type="spellStart"/>
      <w:r w:rsidR="00114BE5">
        <w:rPr>
          <w:lang w:val="en"/>
        </w:rPr>
        <w:t>microdose</w:t>
      </w:r>
      <w:proofErr w:type="spellEnd"/>
      <w:r w:rsidR="00114BE5">
        <w:rPr>
          <w:lang w:val="en"/>
        </w:rPr>
        <w:t xml:space="preserve"> of either </w:t>
      </w:r>
      <w:proofErr w:type="spellStart"/>
      <w:r w:rsidR="00114BE5">
        <w:rPr>
          <w:lang w:val="en"/>
        </w:rPr>
        <w:t>Melphalan</w:t>
      </w:r>
      <w:proofErr w:type="spellEnd"/>
      <w:r w:rsidR="00114BE5">
        <w:rPr>
          <w:lang w:val="en"/>
        </w:rPr>
        <w:t xml:space="preserve"> (</w:t>
      </w:r>
      <w:proofErr w:type="spellStart"/>
      <w:r w:rsidR="00114BE5">
        <w:rPr>
          <w:lang w:val="en"/>
        </w:rPr>
        <w:t>Alkeran</w:t>
      </w:r>
      <w:proofErr w:type="spellEnd"/>
      <w:r w:rsidR="00114BE5">
        <w:rPr>
          <w:lang w:val="en"/>
        </w:rPr>
        <w:t xml:space="preserve">®), </w:t>
      </w:r>
      <w:proofErr w:type="spellStart"/>
      <w:r w:rsidR="00114BE5">
        <w:rPr>
          <w:lang w:val="en"/>
        </w:rPr>
        <w:t>Bortezomib</w:t>
      </w:r>
      <w:proofErr w:type="spellEnd"/>
      <w:r w:rsidR="00114BE5">
        <w:rPr>
          <w:lang w:val="en"/>
        </w:rPr>
        <w:t xml:space="preserve"> (</w:t>
      </w:r>
      <w:proofErr w:type="spellStart"/>
      <w:r w:rsidR="00114BE5">
        <w:rPr>
          <w:lang w:val="en"/>
        </w:rPr>
        <w:t>Velcade</w:t>
      </w:r>
      <w:proofErr w:type="spellEnd"/>
      <w:r w:rsidR="00114BE5">
        <w:rPr>
          <w:lang w:val="en"/>
        </w:rPr>
        <w:t>®)</w:t>
      </w:r>
      <w:r w:rsidR="002C630A">
        <w:rPr>
          <w:lang w:val="en"/>
        </w:rPr>
        <w:t>,</w:t>
      </w:r>
      <w:r w:rsidR="00114BE5">
        <w:rPr>
          <w:lang w:val="en"/>
        </w:rPr>
        <w:t xml:space="preserve"> or Dexamethasone (</w:t>
      </w:r>
      <w:proofErr w:type="spellStart"/>
      <w:r w:rsidR="00114BE5">
        <w:rPr>
          <w:lang w:val="en"/>
        </w:rPr>
        <w:t>Dexaven</w:t>
      </w:r>
      <w:proofErr w:type="spellEnd"/>
      <w:r w:rsidR="00114BE5">
        <w:rPr>
          <w:lang w:val="en"/>
        </w:rPr>
        <w:t>®). The study treatment constitutes 1% of the planned standard myeloma treatment and will be given two hours prior to standard treatment. Blood samples are taken at baseline, 15, 30, 60 and 120 minutes for microarray analysis.</w:t>
      </w:r>
    </w:p>
    <w:p w14:paraId="4B6FBBC1" w14:textId="77777777" w:rsidR="00114BE5" w:rsidRDefault="00114BE5" w:rsidP="00114BE5">
      <w:pPr>
        <w:rPr>
          <w:lang w:val="en"/>
        </w:rPr>
      </w:pPr>
    </w:p>
    <w:p w14:paraId="1882C4B1" w14:textId="36141596" w:rsidR="00114BE5" w:rsidRDefault="00114BE5" w:rsidP="00114BE5">
      <w:r w:rsidRPr="008D1A9A">
        <w:rPr>
          <w:i/>
        </w:rPr>
        <w:t>Primary Outcome Measures:</w:t>
      </w:r>
      <w:r>
        <w:t xml:space="preserve"> Change from baseline in gene expression at 15, 30, 60, 120 minutes upon </w:t>
      </w:r>
      <w:proofErr w:type="spellStart"/>
      <w:r>
        <w:t>microdose</w:t>
      </w:r>
      <w:proofErr w:type="spellEnd"/>
      <w:r>
        <w:t xml:space="preserve"> drug exposure. </w:t>
      </w:r>
      <w:proofErr w:type="gramStart"/>
      <w:r>
        <w:t>[ Time</w:t>
      </w:r>
      <w:proofErr w:type="gramEnd"/>
      <w:r>
        <w:t xml:space="preserve"> Frame: Prior to </w:t>
      </w:r>
      <w:proofErr w:type="spellStart"/>
      <w:r>
        <w:t>microdose</w:t>
      </w:r>
      <w:proofErr w:type="spellEnd"/>
      <w:r>
        <w:t xml:space="preserve"> and 15, 30, 60 and 120 minutes post-</w:t>
      </w:r>
      <w:proofErr w:type="spellStart"/>
      <w:r>
        <w:t>microdose</w:t>
      </w:r>
      <w:proofErr w:type="spellEnd"/>
      <w:r>
        <w:t xml:space="preserve"> ]</w:t>
      </w:r>
    </w:p>
    <w:p w14:paraId="6BC06B27" w14:textId="607A7215" w:rsidR="00114BE5" w:rsidRDefault="00114BE5" w:rsidP="00114BE5">
      <w:r>
        <w:t xml:space="preserve">The primary outcome measure is determination of differential and significantly expressed genes across time </w:t>
      </w:r>
      <w:r w:rsidR="002C630A">
        <w:t xml:space="preserve">for </w:t>
      </w:r>
      <w:r>
        <w:t>successive samples from each individual patient. The analysis will be based on global gene expression profiling and differentially expressed genes will be identified using pairwise comparisons of samples means by two sample t-tests and corrections for multiple testing.</w:t>
      </w:r>
    </w:p>
    <w:p w14:paraId="4FDBA17E" w14:textId="77777777" w:rsidR="00114BE5" w:rsidRDefault="00114BE5" w:rsidP="00114BE5"/>
    <w:p w14:paraId="30B2E4B7" w14:textId="5C2D064C" w:rsidR="00114BE5" w:rsidRDefault="00114BE5">
      <w:r w:rsidRPr="008D1A9A">
        <w:rPr>
          <w:i/>
        </w:rPr>
        <w:t>Experimental:</w:t>
      </w:r>
      <w:r>
        <w:t xml:space="preserve"> A </w:t>
      </w:r>
      <w:proofErr w:type="spellStart"/>
      <w:r>
        <w:t>microdose</w:t>
      </w:r>
      <w:proofErr w:type="spellEnd"/>
      <w:r>
        <w:t xml:space="preserve"> of 2 mg/m2 </w:t>
      </w:r>
      <w:proofErr w:type="gramStart"/>
      <w:r>
        <w:t>iv</w:t>
      </w:r>
      <w:proofErr w:type="gramEnd"/>
      <w:r>
        <w:t xml:space="preserve"> </w:t>
      </w:r>
      <w:proofErr w:type="spellStart"/>
      <w:r>
        <w:t>Melphalan</w:t>
      </w:r>
      <w:proofErr w:type="spellEnd"/>
      <w:r>
        <w:t xml:space="preserve"> (1% of standard dose) is given two hours prior to planned standard dose </w:t>
      </w:r>
      <w:proofErr w:type="spellStart"/>
      <w:r>
        <w:t>Melphalan</w:t>
      </w:r>
      <w:proofErr w:type="spellEnd"/>
    </w:p>
    <w:p w14:paraId="00A3AF0F" w14:textId="77777777" w:rsidR="008D1A9A" w:rsidRDefault="008D1A9A">
      <w:pPr>
        <w:rPr>
          <w:b/>
        </w:rPr>
      </w:pPr>
    </w:p>
    <w:p w14:paraId="2CFCBCB3" w14:textId="77777777" w:rsidR="00CF38A6" w:rsidRDefault="00114BE5" w:rsidP="00B04F90">
      <w:r w:rsidRPr="008D1A9A">
        <w:rPr>
          <w:i/>
        </w:rPr>
        <w:t>Report:</w:t>
      </w:r>
      <w:r w:rsidRPr="00114BE5">
        <w:rPr>
          <w:b/>
        </w:rPr>
        <w:t xml:space="preserve"> </w:t>
      </w:r>
      <w:r>
        <w:t xml:space="preserve">A </w:t>
      </w:r>
      <w:proofErr w:type="spellStart"/>
      <w:r>
        <w:t>microdose</w:t>
      </w:r>
      <w:proofErr w:type="spellEnd"/>
      <w:r>
        <w:t xml:space="preserve"> of 2 mg/m2 </w:t>
      </w:r>
      <w:proofErr w:type="gramStart"/>
      <w:r>
        <w:t>iv</w:t>
      </w:r>
      <w:proofErr w:type="gramEnd"/>
      <w:r>
        <w:t xml:space="preserve"> </w:t>
      </w:r>
      <w:proofErr w:type="spellStart"/>
      <w:r>
        <w:t>Melphalan</w:t>
      </w:r>
      <w:proofErr w:type="spellEnd"/>
      <w:r>
        <w:t xml:space="preserve"> (1% of standard dose) is given two hours prior to planned standard dose </w:t>
      </w:r>
      <w:proofErr w:type="spellStart"/>
      <w:r>
        <w:t>Melphalan</w:t>
      </w:r>
      <w:proofErr w:type="spellEnd"/>
      <w:r>
        <w:t xml:space="preserve">. 5 ml of </w:t>
      </w:r>
      <w:proofErr w:type="spellStart"/>
      <w:r>
        <w:t>pheripheral</w:t>
      </w:r>
      <w:proofErr w:type="spellEnd"/>
      <w:r>
        <w:t xml:space="preserve"> blood is collected in EDTA tubes prior to </w:t>
      </w:r>
      <w:proofErr w:type="spellStart"/>
      <w:r>
        <w:t>microdose</w:t>
      </w:r>
      <w:proofErr w:type="spellEnd"/>
      <w:r>
        <w:t xml:space="preserve"> and at 15, 30, 60 and 120 minutes post-</w:t>
      </w:r>
      <w:proofErr w:type="spellStart"/>
      <w:r>
        <w:t>microdose</w:t>
      </w:r>
      <w:proofErr w:type="spellEnd"/>
      <w:r>
        <w:t xml:space="preserve"> injection. </w:t>
      </w:r>
      <w:r w:rsidR="00470FCB">
        <w:t>MNC</w:t>
      </w:r>
      <w:r w:rsidR="002C630A">
        <w:t>s</w:t>
      </w:r>
      <w:r w:rsidR="00470FCB">
        <w:t xml:space="preserve"> </w:t>
      </w:r>
      <w:r>
        <w:t xml:space="preserve">are </w:t>
      </w:r>
      <w:r w:rsidR="00470FCB">
        <w:t xml:space="preserve">for each </w:t>
      </w:r>
      <w:proofErr w:type="spellStart"/>
      <w:r w:rsidR="00470FCB">
        <w:t>timepoint</w:t>
      </w:r>
      <w:proofErr w:type="spellEnd"/>
      <w:r w:rsidR="00470FCB">
        <w:t xml:space="preserve"> </w:t>
      </w:r>
      <w:r>
        <w:t xml:space="preserve">immediately purified by </w:t>
      </w:r>
      <w:r w:rsidR="00470FCB">
        <w:t xml:space="preserve">density centrifugation in </w:t>
      </w:r>
      <w:proofErr w:type="spellStart"/>
      <w:r>
        <w:t>Ficoll-Pac</w:t>
      </w:r>
      <w:r w:rsidR="00470FCB">
        <w:t>que</w:t>
      </w:r>
      <w:proofErr w:type="spellEnd"/>
      <w:r>
        <w:t xml:space="preserve"> Plus</w:t>
      </w:r>
      <w:r w:rsidR="003A7214">
        <w:t xml:space="preserve"> and split into fractions for flow cytometry analysis and RNA extraction for gene expression profiling. </w:t>
      </w:r>
      <w:r w:rsidR="009262E0">
        <w:t xml:space="preserve">Flow cytometric analysis were performed on 100.000 MNC stained with the </w:t>
      </w:r>
      <w:proofErr w:type="spellStart"/>
      <w:r w:rsidR="009262E0">
        <w:t>EuroFlow</w:t>
      </w:r>
      <w:proofErr w:type="spellEnd"/>
      <w:r w:rsidR="009262E0">
        <w:t xml:space="preserve"> LST panel resulting in no detectable changes in cellular composition during the </w:t>
      </w:r>
      <w:proofErr w:type="spellStart"/>
      <w:r w:rsidR="009262E0">
        <w:t>microdose</w:t>
      </w:r>
      <w:proofErr w:type="spellEnd"/>
      <w:r w:rsidR="009262E0">
        <w:t xml:space="preserve"> time </w:t>
      </w:r>
      <w:proofErr w:type="spellStart"/>
      <w:r w:rsidR="009262E0">
        <w:t>time</w:t>
      </w:r>
      <w:proofErr w:type="spellEnd"/>
      <w:r w:rsidR="009262E0">
        <w:t xml:space="preserve">. Global GEP was performed on total RNA extracted by a combination of </w:t>
      </w:r>
      <w:proofErr w:type="spellStart"/>
      <w:r w:rsidR="009262E0">
        <w:t>Trizol</w:t>
      </w:r>
      <w:proofErr w:type="spellEnd"/>
      <w:r w:rsidR="009262E0">
        <w:t xml:space="preserve"> and </w:t>
      </w:r>
      <w:proofErr w:type="spellStart"/>
      <w:r w:rsidR="009262E0">
        <w:t>Qiagen</w:t>
      </w:r>
      <w:proofErr w:type="spellEnd"/>
      <w:r w:rsidR="009262E0">
        <w:t xml:space="preserve"> protocols as previously described </w:t>
      </w:r>
      <w:r w:rsidR="00B04F90">
        <w:fldChar w:fldCharType="begin" w:fldLock="1"/>
      </w:r>
      <w:r w:rsidR="00B04F90">
        <w:instrText>ADDIN CSL_CITATION { "citationItems" : [ { "id" : "ITEM-1", "itemData" : { "author" : [ { "dropping-particle" : "", "family" : "Dybk\u00e6r", "given" : "Karen", "non-dropping-particle" : "", "parse-names" : false, "suffix" : "" }, { "dropping-particle" : "", "family" : "B\u00f8gsted", "given" : "Martin", "non-dropping-particle" : "", "parse-names" : false, "suffix" : "" }, { "dropping-particle" : "", "family" : "Falgreen", "given" : "Steffen", "non-dropping-particle" : "", "parse-names" : false, "suffix" : "" }, { "dropping-particle" : "", "family" : "B\u00f8dker", "given" : "Julie S.", "non-dropping-particle" : "", "parse-names" : false, "suffix" : "" }, { "dropping-particle" : "", "family" : "Kjeldsen", "given" : "Malene K.", "non-dropping-particle" : "", "parse-names" : false, "suffix" : "" }, { "dropping-particle" : "", "family" : "Schmitz", "given" : "Alexander", "non-dropping-particle" : "", "parse-names" : false, "suffix" : "" }, { "dropping-particle" : "", "family" : "Bilgrau", "given" : "Anders E.", "non-dropping-particle" : "", "parse-names" : false, "suffix" : "" }, { "dropping-particle" : "", "family" : "Xu-Monette", "given" : "Zijun Y.", "non-dropping-particle" : "", "parse-names" : false, "suffix" : "" }, { "dropping-particle" : "", "family" : "Li", "given" : "Ling", "non-dropping-particle" : "", "parse-names" : false, "suffix" : "" }, { "dropping-particle" : "", "family" : "Bergkvist", "given" : "Kim S.", "non-dropping-particle" : "", "parse-names" : false, "suffix" : "" }, { "dropping-particle" : "", "family" : "Laursen", "given" : "Maria B.", "non-dropping-particle" : "", "parse-names" : false, "suffix" : "" }, { "dropping-particle" : "", "family" : "Rodrigo-Domingo", "given" : "Maria", "non-dropping-particle" : "", "parse-names" : false, "suffix" : "" }, { "dropping-particle" : "", "family" : "Marques", "given" : "Sara C.", "non-dropping-particle" : "", "parse-names" : false, "suffix" : "" }, { "dropping-particle" : "", "family" : "Rasmussen", "given" : "Sophie B.", "non-dropping-particle" : "", "parse-names" : false, "suffix" : "" }, { "dropping-particle" : "", "family" : "Nyegaard", "given" : "Mette", "non-dropping-particle" : "", "parse-names" : false, "suffix" : "" }, { "dropping-particle" : "", "family" : "Gaihede", "given" : "Michael", "non-dropping-particle" : "", "parse-names" : false, "suffix" : "" }, { "dropping-particle" : "", "family" : "M\u00f8ller", "given" : "Michael B.", "non-dropping-particle" : "", "parse-names" : false, "suffix" : "" }, { "dropping-particle" : "", "family" : "Samworth", "given" : "Richard J.", "non-dropping-particle" : "", "parse-names" : false, "suffix" : "" }, { "dropping-particle" : "", "family" : "Shah", "given" : "Rajen D.", "non-dropping-particle" : "", "parse-names" : false, "suffix" : "" }, { "dropping-particle" : "", "family" : "Johansen", "given" : "Preben", "non-dropping-particle" : "", "parse-names" : false, "suffix" : "" }, { "dropping-particle" : "", "family" : "El-Galaly", "given" : "Tarec C.", "non-dropping-particle" : "", "parse-names" : false, "suffix" : "" }, { "dropping-particle" : "", "family" : "Young", "given" : "Ken H.", "non-dropping-particle" : "", "parse-names" : false, "suffix" : "" }, { "dropping-particle" : "", "family" : "Johnsen", "given" : "Hans E.", "non-dropping-particle" : "", "parse-names" : false, "suffix" : "" } ], "container-title" : "Journal of Clinical Oncology", "id" : "ITEM-1", "issue" : "12", "issued" : { "date-parts" : [ [ "2015" ] ] }, "page" : "1379-1388", "title" : "A diffuse large B-cell lymphoma classification system that associates normal B-cell subset phenotypes with prognosis", "type" : "article-journal", "volume" : "33" }, "uris" : [ "http://www.mendeley.com/documents/?uuid=0d6482e9-16fb-4e41-b18f-56f4f0c358a1" ] } ], "mendeley" : { "formattedCitation" : "&lt;sup&gt;1&lt;/sup&gt;", "plainTextFormattedCitation" : "1", "previouslyFormattedCitation" : "&lt;sup&gt;1&lt;/sup&gt;" }, "properties" : { "noteIndex" : 0 }, "schema" : "https://github.com/citation-style-language/schema/raw/master/csl-citation.json" }</w:instrText>
      </w:r>
      <w:r w:rsidR="00B04F90">
        <w:fldChar w:fldCharType="separate"/>
      </w:r>
      <w:r w:rsidR="00B04F90" w:rsidRPr="00B04F90">
        <w:rPr>
          <w:noProof/>
          <w:vertAlign w:val="superscript"/>
        </w:rPr>
        <w:t>1</w:t>
      </w:r>
      <w:r w:rsidR="00B04F90">
        <w:fldChar w:fldCharType="end"/>
      </w:r>
      <w:r w:rsidR="009262E0">
        <w:t xml:space="preserve">. </w:t>
      </w:r>
      <w:r w:rsidR="00D701E7">
        <w:t>Labeling</w:t>
      </w:r>
      <w:r w:rsidR="009262E0">
        <w:t xml:space="preserve"> and hybrid</w:t>
      </w:r>
      <w:r w:rsidR="00D701E7">
        <w:t xml:space="preserve">ization of cDNA to </w:t>
      </w:r>
      <w:r w:rsidR="00D701E7" w:rsidRPr="00D701E7">
        <w:t>Human Exon 1.0 ST (Exon) Arrays (</w:t>
      </w:r>
      <w:proofErr w:type="spellStart"/>
      <w:r w:rsidR="00D701E7" w:rsidRPr="00D701E7">
        <w:t>Affymetrix</w:t>
      </w:r>
      <w:proofErr w:type="spellEnd"/>
      <w:r w:rsidR="00D701E7">
        <w:t xml:space="preserve">) was performed and </w:t>
      </w:r>
      <w:r w:rsidR="00D701E7" w:rsidRPr="00D701E7">
        <w:t xml:space="preserve">Array data .CEL-files from the Exon array were generated by the </w:t>
      </w:r>
      <w:proofErr w:type="spellStart"/>
      <w:r w:rsidR="00D701E7" w:rsidRPr="00D701E7">
        <w:t>Affymetrix</w:t>
      </w:r>
      <w:proofErr w:type="spellEnd"/>
      <w:r w:rsidR="00D701E7" w:rsidRPr="00D701E7">
        <w:t xml:space="preserve"> </w:t>
      </w:r>
      <w:proofErr w:type="spellStart"/>
      <w:r w:rsidR="00D701E7" w:rsidRPr="00D701E7">
        <w:t>GeneChip</w:t>
      </w:r>
      <w:proofErr w:type="spellEnd"/>
      <w:r w:rsidR="00D701E7" w:rsidRPr="00D701E7">
        <w:t xml:space="preserve"> Command Console Software (AGCC).</w:t>
      </w:r>
      <w:r w:rsidR="00D701E7">
        <w:t xml:space="preserve"> Data w</w:t>
      </w:r>
      <w:r w:rsidR="002C630A">
        <w:t>ere</w:t>
      </w:r>
      <w:r w:rsidR="00D701E7">
        <w:t xml:space="preserve"> </w:t>
      </w:r>
      <w:r w:rsidR="00D701E7" w:rsidRPr="00D701E7">
        <w:t xml:space="preserve">RMA </w:t>
      </w:r>
      <w:r w:rsidR="00D701E7">
        <w:t>normalized</w:t>
      </w:r>
      <w:r w:rsidR="00031F86">
        <w:t xml:space="preserve"> and</w:t>
      </w:r>
      <w:r w:rsidR="00D701E7">
        <w:t xml:space="preserve"> </w:t>
      </w:r>
      <w:r w:rsidR="002C630A">
        <w:t>c</w:t>
      </w:r>
      <w:r w:rsidR="00D701E7" w:rsidRPr="00D701E7">
        <w:t>ombat</w:t>
      </w:r>
      <w:r w:rsidR="00D701E7">
        <w:t xml:space="preserve"> corrected to remove patient </w:t>
      </w:r>
      <w:r w:rsidR="00031F86">
        <w:t>specific</w:t>
      </w:r>
      <w:r w:rsidR="00D701E7">
        <w:t xml:space="preserve"> effects</w:t>
      </w:r>
      <w:r w:rsidR="002C630A">
        <w:t xml:space="preserve">. </w:t>
      </w:r>
      <w:r w:rsidR="00031F86">
        <w:t xml:space="preserve">A variance filter was used to select the most variable genes over all experimental settings. The </w:t>
      </w:r>
      <w:r w:rsidR="00B70C9D">
        <w:t xml:space="preserve">data were </w:t>
      </w:r>
      <w:r w:rsidR="00031F86">
        <w:t xml:space="preserve">first </w:t>
      </w:r>
      <w:r w:rsidR="00B70C9D">
        <w:t xml:space="preserve">analyzed by PCA plots. </w:t>
      </w:r>
      <w:r w:rsidR="00031F86">
        <w:t>D</w:t>
      </w:r>
      <w:r w:rsidR="002C630A">
        <w:t xml:space="preserve">etection of the </w:t>
      </w:r>
      <w:r w:rsidR="002627AE" w:rsidRPr="003E18E8">
        <w:t>genes with</w:t>
      </w:r>
      <w:r w:rsidR="00031F86">
        <w:t xml:space="preserve"> </w:t>
      </w:r>
      <w:r w:rsidR="002627AE" w:rsidRPr="00CB6E94">
        <w:t>significant change over time</w:t>
      </w:r>
      <w:r w:rsidR="00FC373F">
        <w:t xml:space="preserve"> </w:t>
      </w:r>
      <w:r w:rsidR="00031F86">
        <w:t xml:space="preserve">was conducted </w:t>
      </w:r>
      <w:r w:rsidR="00FC373F">
        <w:t>by linear models</w:t>
      </w:r>
      <w:r w:rsidR="002627AE" w:rsidRPr="00CB6E94">
        <w:t>, where significance</w:t>
      </w:r>
      <w:r w:rsidR="002627AE">
        <w:t xml:space="preserve"> was determined on the basis of </w:t>
      </w:r>
      <w:r w:rsidR="00FC373F">
        <w:t xml:space="preserve">un-adjusted p-values and </w:t>
      </w:r>
      <w:r w:rsidR="002627AE">
        <w:t xml:space="preserve">p-values </w:t>
      </w:r>
      <w:r w:rsidR="00FC373F">
        <w:t xml:space="preserve">adjusted for multiple testing. </w:t>
      </w:r>
      <w:r w:rsidR="00FC373F">
        <w:rPr>
          <w:rFonts w:eastAsiaTheme="minorEastAsia"/>
        </w:rPr>
        <w:t xml:space="preserve"> </w:t>
      </w:r>
      <w:r w:rsidR="00862E82">
        <w:rPr>
          <w:rFonts w:eastAsiaTheme="minorEastAsia"/>
        </w:rPr>
        <w:t>The analysis on the significant genes included unsupervised</w:t>
      </w:r>
      <w:r w:rsidR="00CB6E94">
        <w:rPr>
          <w:rFonts w:eastAsiaTheme="minorEastAsia"/>
        </w:rPr>
        <w:t xml:space="preserve"> clustering</w:t>
      </w:r>
      <w:r w:rsidR="00D67851">
        <w:rPr>
          <w:rFonts w:eastAsiaTheme="minorEastAsia"/>
        </w:rPr>
        <w:t xml:space="preserve"> and it was </w:t>
      </w:r>
      <w:r w:rsidR="00862E82">
        <w:rPr>
          <w:rFonts w:eastAsiaTheme="minorEastAsia"/>
        </w:rPr>
        <w:t>assessed whether clustering based on time</w:t>
      </w:r>
      <w:r w:rsidR="00B70C9D">
        <w:rPr>
          <w:rFonts w:eastAsiaTheme="minorEastAsia"/>
        </w:rPr>
        <w:t xml:space="preserve"> or</w:t>
      </w:r>
      <w:r w:rsidR="00862E82">
        <w:rPr>
          <w:rFonts w:eastAsiaTheme="minorEastAsia"/>
        </w:rPr>
        <w:t xml:space="preserve"> patient</w:t>
      </w:r>
      <w:r w:rsidR="00031F86">
        <w:rPr>
          <w:rFonts w:eastAsiaTheme="minorEastAsia"/>
        </w:rPr>
        <w:t xml:space="preserve"> occurred</w:t>
      </w:r>
      <w:r w:rsidR="00862E82">
        <w:rPr>
          <w:rFonts w:eastAsiaTheme="minorEastAsia"/>
        </w:rPr>
        <w:t xml:space="preserve">. </w:t>
      </w:r>
      <w:r w:rsidR="00D67851">
        <w:rPr>
          <w:rFonts w:eastAsiaTheme="minorEastAsia"/>
        </w:rPr>
        <w:t>D</w:t>
      </w:r>
      <w:r w:rsidR="00862E82">
        <w:rPr>
          <w:rFonts w:eastAsiaTheme="minorEastAsia"/>
        </w:rPr>
        <w:t>etect</w:t>
      </w:r>
      <w:r w:rsidR="00D67851">
        <w:rPr>
          <w:rFonts w:eastAsiaTheme="minorEastAsia"/>
        </w:rPr>
        <w:t>ion of</w:t>
      </w:r>
      <w:r w:rsidR="00862E82">
        <w:rPr>
          <w:rFonts w:eastAsiaTheme="minorEastAsia"/>
        </w:rPr>
        <w:t xml:space="preserve"> </w:t>
      </w:r>
      <w:r w:rsidR="00CB6E94">
        <w:rPr>
          <w:rFonts w:eastAsiaTheme="minorEastAsia"/>
        </w:rPr>
        <w:t>patterns across time</w:t>
      </w:r>
      <w:r w:rsidR="00862E82">
        <w:rPr>
          <w:rFonts w:eastAsiaTheme="minorEastAsia"/>
        </w:rPr>
        <w:t xml:space="preserve"> by inspecting the PCA trajectories over time of all the significant genes, in both 2 and 3-dimensions</w:t>
      </w:r>
      <w:r w:rsidR="00D67851">
        <w:rPr>
          <w:rFonts w:eastAsiaTheme="minorEastAsia"/>
        </w:rPr>
        <w:t xml:space="preserve"> were conducted</w:t>
      </w:r>
      <w:r w:rsidR="00862E82">
        <w:rPr>
          <w:rFonts w:eastAsiaTheme="minorEastAsia"/>
        </w:rPr>
        <w:t>. Finally</w:t>
      </w:r>
      <w:r w:rsidR="00146C8E">
        <w:rPr>
          <w:rFonts w:eastAsiaTheme="minorEastAsia"/>
        </w:rPr>
        <w:t>,</w:t>
      </w:r>
      <w:r w:rsidR="00862E82">
        <w:rPr>
          <w:rFonts w:eastAsiaTheme="minorEastAsia"/>
        </w:rPr>
        <w:t xml:space="preserve"> detect</w:t>
      </w:r>
      <w:r w:rsidR="00D67851">
        <w:rPr>
          <w:rFonts w:eastAsiaTheme="minorEastAsia"/>
        </w:rPr>
        <w:t>ion</w:t>
      </w:r>
      <w:r w:rsidR="00862E82">
        <w:rPr>
          <w:rFonts w:eastAsiaTheme="minorEastAsia"/>
        </w:rPr>
        <w:t xml:space="preserve"> </w:t>
      </w:r>
      <w:r w:rsidR="00D67851">
        <w:rPr>
          <w:rFonts w:eastAsiaTheme="minorEastAsia"/>
        </w:rPr>
        <w:t xml:space="preserve">of change in </w:t>
      </w:r>
      <w:r w:rsidR="00862E82">
        <w:rPr>
          <w:rFonts w:eastAsiaTheme="minorEastAsia"/>
        </w:rPr>
        <w:t>patterns of gene expression over time by applying self-organizing maps (SOMS)</w:t>
      </w:r>
      <w:r w:rsidR="00D67851">
        <w:rPr>
          <w:rFonts w:eastAsiaTheme="minorEastAsia"/>
        </w:rPr>
        <w:t xml:space="preserve"> was pursued</w:t>
      </w:r>
      <w:r w:rsidR="00862E82">
        <w:rPr>
          <w:rFonts w:eastAsiaTheme="minorEastAsia"/>
        </w:rPr>
        <w:t>.</w:t>
      </w:r>
      <w:r w:rsidR="008D1A9A">
        <w:t xml:space="preserve"> </w:t>
      </w:r>
      <w:r w:rsidR="00B70C9D">
        <w:t xml:space="preserve">By unsupervised clustering, data did not cluster by patients nor time. </w:t>
      </w:r>
    </w:p>
    <w:p w14:paraId="07D71FC8" w14:textId="77777777" w:rsidR="00CF38A6" w:rsidRDefault="00CF38A6" w:rsidP="00B04F90"/>
    <w:p w14:paraId="77233F62" w14:textId="62EB0203" w:rsidR="00B04F90" w:rsidRDefault="00CF38A6" w:rsidP="00B04F90">
      <w:r w:rsidRPr="00CF38A6">
        <w:rPr>
          <w:i/>
        </w:rPr>
        <w:t>Results:</w:t>
      </w:r>
      <w:r>
        <w:t xml:space="preserve"> </w:t>
      </w:r>
      <w:r w:rsidR="00AA08CD">
        <w:t xml:space="preserve">No </w:t>
      </w:r>
      <w:r w:rsidR="00DE27CF">
        <w:t xml:space="preserve">genes showed </w:t>
      </w:r>
      <w:r w:rsidR="00AA08CD">
        <w:t xml:space="preserve">significant changes during the </w:t>
      </w:r>
      <w:proofErr w:type="spellStart"/>
      <w:r w:rsidR="00AA08CD">
        <w:t>microdosis</w:t>
      </w:r>
      <w:proofErr w:type="spellEnd"/>
      <w:r w:rsidR="00AA08CD">
        <w:t xml:space="preserve"> time period</w:t>
      </w:r>
      <w:r w:rsidR="00DE27CF">
        <w:t>,</w:t>
      </w:r>
      <w:r w:rsidR="00AA08CD">
        <w:t xml:space="preserve"> when </w:t>
      </w:r>
      <w:r w:rsidR="00DE27CF">
        <w:t>analyzed</w:t>
      </w:r>
      <w:r w:rsidR="00AA08CD">
        <w:t xml:space="preserve"> using multiple test correction</w:t>
      </w:r>
      <w:r w:rsidR="00DE27CF">
        <w:t xml:space="preserve">. </w:t>
      </w:r>
      <w:r w:rsidR="00AA08CD">
        <w:t xml:space="preserve">However, the genes </w:t>
      </w:r>
      <w:r w:rsidR="00F24A5B">
        <w:t xml:space="preserve">showing </w:t>
      </w:r>
      <w:r w:rsidR="00B70C9D">
        <w:t xml:space="preserve">most </w:t>
      </w:r>
      <w:r w:rsidR="00F24A5B">
        <w:t xml:space="preserve">significance using un-adjusted p-values </w:t>
      </w:r>
      <w:r w:rsidR="00AA08CD">
        <w:t xml:space="preserve">showed </w:t>
      </w:r>
      <w:r w:rsidR="00B70C9D">
        <w:t xml:space="preserve">a </w:t>
      </w:r>
      <w:r w:rsidR="00AA08CD">
        <w:t xml:space="preserve">small but systematic changes in a three </w:t>
      </w:r>
      <w:r w:rsidR="00F24A5B">
        <w:t>dimensional</w:t>
      </w:r>
      <w:r w:rsidR="00AA08CD">
        <w:t xml:space="preserve"> PCA plot illustrating that the total composition of MNC</w:t>
      </w:r>
      <w:r w:rsidR="00DE27CF">
        <w:t>s</w:t>
      </w:r>
      <w:r w:rsidR="00AA08CD">
        <w:t xml:space="preserve"> experience changes in immediate response to </w:t>
      </w:r>
      <w:proofErr w:type="spellStart"/>
      <w:r w:rsidR="00AA08CD">
        <w:t>melphalan</w:t>
      </w:r>
      <w:proofErr w:type="spellEnd"/>
      <w:r w:rsidR="00AA08CD">
        <w:t xml:space="preserve"> and that the effect is gradually lost after 120 minutes post </w:t>
      </w:r>
      <w:proofErr w:type="spellStart"/>
      <w:r w:rsidR="00AA08CD">
        <w:t>microdose</w:t>
      </w:r>
      <w:proofErr w:type="spellEnd"/>
      <w:r w:rsidR="00AA08CD">
        <w:t xml:space="preserve"> injection</w:t>
      </w:r>
      <w:r w:rsidR="00CB6E94">
        <w:t xml:space="preserve">. </w:t>
      </w:r>
      <w:r w:rsidR="00DF2A92">
        <w:t>H</w:t>
      </w:r>
      <w:r w:rsidR="00B810E0">
        <w:t xml:space="preserve">owever, </w:t>
      </w:r>
      <w:r w:rsidR="00B70C9D">
        <w:t>one should be cauti</w:t>
      </w:r>
      <w:bookmarkStart w:id="0" w:name="_GoBack"/>
      <w:bookmarkEnd w:id="0"/>
      <w:r w:rsidR="00B70C9D">
        <w:t xml:space="preserve">ous interpreting these results, due to the pre-selection of significant genes. </w:t>
      </w:r>
      <w:r w:rsidR="00031F86">
        <w:t xml:space="preserve">There were no </w:t>
      </w:r>
      <w:r w:rsidR="003E1F80">
        <w:t xml:space="preserve">clear patterns using SOMs. </w:t>
      </w:r>
      <w:r w:rsidR="00DF2A92">
        <w:t xml:space="preserve">Finally, </w:t>
      </w:r>
      <w:r w:rsidR="00031F86">
        <w:t xml:space="preserve">an </w:t>
      </w:r>
      <w:r w:rsidR="003E1F80">
        <w:t xml:space="preserve">analysis </w:t>
      </w:r>
      <w:r w:rsidR="00DF2A92">
        <w:t xml:space="preserve">restricted to </w:t>
      </w:r>
      <w:r w:rsidR="003E1F80">
        <w:t>REGS genes and genes commonly associated with sleep patterns</w:t>
      </w:r>
      <w:r w:rsidR="00031F86">
        <w:t xml:space="preserve"> were conducted</w:t>
      </w:r>
      <w:r w:rsidR="00B04F90">
        <w:fldChar w:fldCharType="begin" w:fldLock="1"/>
      </w:r>
      <w:r w:rsidR="00B04F90">
        <w:instrText>ADDIN CSL_CITATION { "citationItems" : [ { "id" : "ITEM-1", "itemData" : { "author" : [ { "dropping-particle" : "", "family" : "Falgreen", "given" : "Steffen", "non-dropping-particle" : "", "parse-names" : false, "suffix" : "" }, { "dropping-particle" : "", "family" : "B{\\o}dker", "given" : "Julie St{\\o}ve", "non-dropping-particle" : "", "parse-names" : false, "suffix" : "" }, { "dropping-particle" : "", "family" : "Schmitz", "given" : "Alexander", "non-dropping-particle" : "", "parse-names" : false, "suffix" : "" }, { "dropping-particle" : "", "family" : "Nyegaard", "given" : "Mette", "non-dropping-particle" : "", "parse-names" : false, "suffix" : "" }, { "dropping-particle" : "", "family" : "Johnsen", "given" : "Hans Erik", "non-dropping-particle" : "", "parse-names" : false, "suffix" : "" }, { "dropping-particle" : "", "family" : "Dybk\u00e6r", "given" : "Karen", "non-dropping-particle" : "", "parse-names" : false, "suffix" : "" }, { "dropping-particle" : "", "family" : "B{\\o}gsted", "given" : "Martin", "non-dropping-particle" : "", "parse-names" : false, "suffix" : "" } ], "container-title" : "In preparation", "id" : "ITEM-1", "issued" : { "date-parts" : [ [ "2013" ] ] }, "title" : "Generation of cell line derived gene expression signatures for response to cyclophosphamide, doxorubicin, or vincristine validated in diffuse large B-cell lymphoma chohorts", "type" : "article-journal" }, "uris" : [ "http://www.mendeley.com/documents/?uuid=58bbf5f9-20cd-48e2-819c-22b65dcb8dfb" ] } ], "mendeley" : { "formattedCitation" : "&lt;sup&gt;2&lt;/sup&gt;", "plainTextFormattedCitation" : "2", "previouslyFormattedCitation" : "&lt;sup&gt;2&lt;/sup&gt;" }, "properties" : { "noteIndex" : 0 }, "schema" : "https://github.com/citation-style-language/schema/raw/master/csl-citation.json" }</w:instrText>
      </w:r>
      <w:r w:rsidR="00B04F90">
        <w:fldChar w:fldCharType="separate"/>
      </w:r>
      <w:r w:rsidR="00B04F90" w:rsidRPr="00B04F90">
        <w:rPr>
          <w:noProof/>
          <w:vertAlign w:val="superscript"/>
        </w:rPr>
        <w:t>2</w:t>
      </w:r>
      <w:r w:rsidR="00B04F90">
        <w:fldChar w:fldCharType="end"/>
      </w:r>
      <w:r w:rsidR="00DF2A92">
        <w:t>. None of these showed significant changes over time and did not cluster the data patient or time wise.</w:t>
      </w:r>
    </w:p>
    <w:p w14:paraId="71875AC9" w14:textId="77777777" w:rsidR="008D1A9A" w:rsidRDefault="008D1A9A" w:rsidP="00B04F90"/>
    <w:p w14:paraId="4E7D199E" w14:textId="048033F1" w:rsidR="00B04F90" w:rsidRPr="00CF38A6" w:rsidRDefault="00B04F90" w:rsidP="00B04F90">
      <w:pPr>
        <w:rPr>
          <w:i/>
          <w:lang w:val="da-DK"/>
        </w:rPr>
      </w:pPr>
      <w:r w:rsidRPr="00CF38A6">
        <w:rPr>
          <w:i/>
          <w:lang w:val="da-DK"/>
        </w:rPr>
        <w:t>References:</w:t>
      </w:r>
    </w:p>
    <w:p w14:paraId="307BE708" w14:textId="724EA782" w:rsidR="00B04F90" w:rsidRPr="00B04F90" w:rsidRDefault="00B04F90" w:rsidP="00B04F90">
      <w:pPr>
        <w:widowControl w:val="0"/>
        <w:autoSpaceDE w:val="0"/>
        <w:autoSpaceDN w:val="0"/>
        <w:adjustRightInd w:val="0"/>
        <w:ind w:left="640" w:hanging="640"/>
        <w:rPr>
          <w:noProof/>
          <w:szCs w:val="24"/>
        </w:rPr>
      </w:pPr>
      <w:r>
        <w:fldChar w:fldCharType="begin" w:fldLock="1"/>
      </w:r>
      <w:r w:rsidRPr="00CF38A6">
        <w:rPr>
          <w:lang w:val="da-DK"/>
        </w:rPr>
        <w:instrText xml:space="preserve">ADDIN Mendeley Bibliography CSL_BIBLIOGRAPHY </w:instrText>
      </w:r>
      <w:r>
        <w:fldChar w:fldCharType="separate"/>
      </w:r>
      <w:r w:rsidRPr="00CF38A6">
        <w:rPr>
          <w:noProof/>
          <w:szCs w:val="24"/>
          <w:lang w:val="da-DK"/>
        </w:rPr>
        <w:t>1.</w:t>
      </w:r>
      <w:r w:rsidRPr="00CF38A6">
        <w:rPr>
          <w:noProof/>
          <w:szCs w:val="24"/>
          <w:lang w:val="da-DK"/>
        </w:rPr>
        <w:tab/>
        <w:t xml:space="preserve">Dybkær, K. </w:t>
      </w:r>
      <w:r w:rsidRPr="00CF38A6">
        <w:rPr>
          <w:i/>
          <w:iCs/>
          <w:noProof/>
          <w:szCs w:val="24"/>
          <w:lang w:val="da-DK"/>
        </w:rPr>
        <w:t>et al.</w:t>
      </w:r>
      <w:r w:rsidRPr="00CF38A6">
        <w:rPr>
          <w:noProof/>
          <w:szCs w:val="24"/>
          <w:lang w:val="da-DK"/>
        </w:rPr>
        <w:t xml:space="preserve"> </w:t>
      </w:r>
      <w:r w:rsidRPr="00B04F90">
        <w:rPr>
          <w:noProof/>
          <w:szCs w:val="24"/>
        </w:rPr>
        <w:t xml:space="preserve">A diffuse large B-cell lymphoma classification system that associates normal B-cell subset phenotypes with prognosis. </w:t>
      </w:r>
      <w:r w:rsidRPr="00B04F90">
        <w:rPr>
          <w:i/>
          <w:iCs/>
          <w:noProof/>
          <w:szCs w:val="24"/>
        </w:rPr>
        <w:t>J. Clin. Oncol.</w:t>
      </w:r>
      <w:r w:rsidRPr="00B04F90">
        <w:rPr>
          <w:noProof/>
          <w:szCs w:val="24"/>
        </w:rPr>
        <w:t xml:space="preserve"> </w:t>
      </w:r>
      <w:r w:rsidRPr="00B04F90">
        <w:rPr>
          <w:b/>
          <w:bCs/>
          <w:noProof/>
          <w:szCs w:val="24"/>
        </w:rPr>
        <w:t>33,</w:t>
      </w:r>
      <w:r w:rsidRPr="00B04F90">
        <w:rPr>
          <w:noProof/>
          <w:szCs w:val="24"/>
        </w:rPr>
        <w:t xml:space="preserve"> 1379–1388 (2015).</w:t>
      </w:r>
    </w:p>
    <w:p w14:paraId="1C5AFC9E" w14:textId="77777777" w:rsidR="00B04F90" w:rsidRPr="00B04F90" w:rsidRDefault="00B04F90" w:rsidP="00B04F90">
      <w:pPr>
        <w:widowControl w:val="0"/>
        <w:autoSpaceDE w:val="0"/>
        <w:autoSpaceDN w:val="0"/>
        <w:adjustRightInd w:val="0"/>
        <w:ind w:left="640" w:hanging="640"/>
        <w:rPr>
          <w:noProof/>
        </w:rPr>
      </w:pPr>
      <w:r w:rsidRPr="00B04F90">
        <w:rPr>
          <w:noProof/>
          <w:szCs w:val="24"/>
        </w:rPr>
        <w:t>2.</w:t>
      </w:r>
      <w:r w:rsidRPr="00B04F90">
        <w:rPr>
          <w:noProof/>
          <w:szCs w:val="24"/>
        </w:rPr>
        <w:tab/>
        <w:t xml:space="preserve">Falgreen, S. </w:t>
      </w:r>
      <w:r w:rsidRPr="00B04F90">
        <w:rPr>
          <w:i/>
          <w:iCs/>
          <w:noProof/>
          <w:szCs w:val="24"/>
        </w:rPr>
        <w:t>et al.</w:t>
      </w:r>
      <w:r w:rsidRPr="00B04F90">
        <w:rPr>
          <w:noProof/>
          <w:szCs w:val="24"/>
        </w:rPr>
        <w:t xml:space="preserve"> Generation of cell line derived gene expression signatures for response to cyclophosphamide, doxorubicin, or vincristine validated in diffuse large B-cell lymphoma chohorts. </w:t>
      </w:r>
      <w:r w:rsidRPr="00B04F90">
        <w:rPr>
          <w:i/>
          <w:iCs/>
          <w:noProof/>
          <w:szCs w:val="24"/>
        </w:rPr>
        <w:t>Prep.</w:t>
      </w:r>
      <w:r w:rsidRPr="00B04F90">
        <w:rPr>
          <w:noProof/>
          <w:szCs w:val="24"/>
        </w:rPr>
        <w:t xml:space="preserve"> (2013).</w:t>
      </w:r>
    </w:p>
    <w:p w14:paraId="1E437C2E" w14:textId="548AF7BB" w:rsidR="00B04F90" w:rsidRDefault="00B04F90" w:rsidP="00B04F90">
      <w:r>
        <w:lastRenderedPageBreak/>
        <w:fldChar w:fldCharType="end"/>
      </w:r>
    </w:p>
    <w:sectPr w:rsidR="00B04F90" w:rsidSect="00AA08CD">
      <w:pgSz w:w="12240" w:h="15840"/>
      <w:pgMar w:top="567"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da-DK"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E5"/>
    <w:rsid w:val="00007B4F"/>
    <w:rsid w:val="00031F86"/>
    <w:rsid w:val="00114BE5"/>
    <w:rsid w:val="00146C8E"/>
    <w:rsid w:val="001716AF"/>
    <w:rsid w:val="002627AE"/>
    <w:rsid w:val="002A01C4"/>
    <w:rsid w:val="002C630A"/>
    <w:rsid w:val="003A7214"/>
    <w:rsid w:val="003E18E8"/>
    <w:rsid w:val="003E1F80"/>
    <w:rsid w:val="00470FCB"/>
    <w:rsid w:val="0049178A"/>
    <w:rsid w:val="00582698"/>
    <w:rsid w:val="005B1641"/>
    <w:rsid w:val="006E2626"/>
    <w:rsid w:val="00862E82"/>
    <w:rsid w:val="008D1A9A"/>
    <w:rsid w:val="009262E0"/>
    <w:rsid w:val="00AA08CD"/>
    <w:rsid w:val="00B04F90"/>
    <w:rsid w:val="00B70C9D"/>
    <w:rsid w:val="00B810E0"/>
    <w:rsid w:val="00C86A55"/>
    <w:rsid w:val="00CB6E94"/>
    <w:rsid w:val="00CF38A6"/>
    <w:rsid w:val="00D67851"/>
    <w:rsid w:val="00D701E7"/>
    <w:rsid w:val="00DE27CF"/>
    <w:rsid w:val="00DF2A92"/>
    <w:rsid w:val="00DF752A"/>
    <w:rsid w:val="00F24A5B"/>
    <w:rsid w:val="00F471BA"/>
    <w:rsid w:val="00FC3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2752E"/>
  <w15:chartTrackingRefBased/>
  <w15:docId w15:val="{B57A35A3-D74A-4989-A776-62B35F41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BE5"/>
    <w:pPr>
      <w:spacing w:after="0" w:line="240" w:lineRule="auto"/>
    </w:pPr>
    <w:rPr>
      <w:rFonts w:ascii="Calibri" w:hAnsi="Calibri" w:cs="Times New Roman"/>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Kommentarhenvisning">
    <w:name w:val="annotation reference"/>
    <w:basedOn w:val="Standardskrifttypeiafsnit"/>
    <w:uiPriority w:val="99"/>
    <w:semiHidden/>
    <w:unhideWhenUsed/>
    <w:rsid w:val="009262E0"/>
    <w:rPr>
      <w:sz w:val="16"/>
      <w:szCs w:val="16"/>
    </w:rPr>
  </w:style>
  <w:style w:type="paragraph" w:styleId="Kommentartekst">
    <w:name w:val="annotation text"/>
    <w:basedOn w:val="Normal"/>
    <w:link w:val="KommentartekstTegn"/>
    <w:uiPriority w:val="99"/>
    <w:semiHidden/>
    <w:unhideWhenUsed/>
    <w:rsid w:val="009262E0"/>
    <w:rPr>
      <w:sz w:val="20"/>
      <w:szCs w:val="20"/>
    </w:rPr>
  </w:style>
  <w:style w:type="character" w:customStyle="1" w:styleId="KommentartekstTegn">
    <w:name w:val="Kommentartekst Tegn"/>
    <w:basedOn w:val="Standardskrifttypeiafsnit"/>
    <w:link w:val="Kommentartekst"/>
    <w:uiPriority w:val="99"/>
    <w:semiHidden/>
    <w:rsid w:val="009262E0"/>
    <w:rPr>
      <w:rFonts w:ascii="Calibri" w:hAnsi="Calibri" w:cs="Times New Roman"/>
      <w:sz w:val="20"/>
      <w:szCs w:val="20"/>
    </w:rPr>
  </w:style>
  <w:style w:type="paragraph" w:styleId="Kommentaremne">
    <w:name w:val="annotation subject"/>
    <w:basedOn w:val="Kommentartekst"/>
    <w:next w:val="Kommentartekst"/>
    <w:link w:val="KommentaremneTegn"/>
    <w:uiPriority w:val="99"/>
    <w:semiHidden/>
    <w:unhideWhenUsed/>
    <w:rsid w:val="009262E0"/>
    <w:rPr>
      <w:b/>
      <w:bCs/>
    </w:rPr>
  </w:style>
  <w:style w:type="character" w:customStyle="1" w:styleId="KommentaremneTegn">
    <w:name w:val="Kommentaremne Tegn"/>
    <w:basedOn w:val="KommentartekstTegn"/>
    <w:link w:val="Kommentaremne"/>
    <w:uiPriority w:val="99"/>
    <w:semiHidden/>
    <w:rsid w:val="009262E0"/>
    <w:rPr>
      <w:rFonts w:ascii="Calibri" w:hAnsi="Calibri" w:cs="Times New Roman"/>
      <w:b/>
      <w:bCs/>
      <w:sz w:val="20"/>
      <w:szCs w:val="20"/>
    </w:rPr>
  </w:style>
  <w:style w:type="paragraph" w:styleId="Markeringsbobletekst">
    <w:name w:val="Balloon Text"/>
    <w:basedOn w:val="Normal"/>
    <w:link w:val="MarkeringsbobletekstTegn"/>
    <w:uiPriority w:val="99"/>
    <w:semiHidden/>
    <w:unhideWhenUsed/>
    <w:rsid w:val="009262E0"/>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9262E0"/>
    <w:rPr>
      <w:rFonts w:ascii="Segoe UI" w:hAnsi="Segoe UI" w:cs="Segoe UI"/>
      <w:sz w:val="18"/>
      <w:szCs w:val="18"/>
    </w:rPr>
  </w:style>
  <w:style w:type="paragraph" w:customStyle="1" w:styleId="title1">
    <w:name w:val="title1"/>
    <w:basedOn w:val="Normal"/>
    <w:rsid w:val="009262E0"/>
    <w:rPr>
      <w:rFonts w:ascii="Times New Roman" w:eastAsia="Times New Roman" w:hAnsi="Times New Roman"/>
      <w:sz w:val="27"/>
      <w:szCs w:val="27"/>
    </w:rPr>
  </w:style>
  <w:style w:type="paragraph" w:customStyle="1" w:styleId="desc2">
    <w:name w:val="desc2"/>
    <w:basedOn w:val="Normal"/>
    <w:rsid w:val="009262E0"/>
    <w:rPr>
      <w:rFonts w:ascii="Times New Roman" w:eastAsia="Times New Roman" w:hAnsi="Times New Roman"/>
      <w:sz w:val="26"/>
      <w:szCs w:val="26"/>
    </w:rPr>
  </w:style>
  <w:style w:type="paragraph" w:customStyle="1" w:styleId="details1">
    <w:name w:val="details1"/>
    <w:basedOn w:val="Normal"/>
    <w:rsid w:val="009262E0"/>
    <w:rPr>
      <w:rFonts w:ascii="Times New Roman" w:eastAsia="Times New Roman" w:hAnsi="Times New Roman"/>
    </w:rPr>
  </w:style>
  <w:style w:type="character" w:customStyle="1" w:styleId="jrnl">
    <w:name w:val="jrnl"/>
    <w:basedOn w:val="Standardskrifttypeiafsnit"/>
    <w:rsid w:val="009262E0"/>
  </w:style>
  <w:style w:type="character" w:styleId="Pladsholdertekst">
    <w:name w:val="Placeholder Text"/>
    <w:basedOn w:val="Standardskrifttypeiafsnit"/>
    <w:uiPriority w:val="99"/>
    <w:semiHidden/>
    <w:rsid w:val="003E18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6031604">
      <w:bodyDiv w:val="1"/>
      <w:marLeft w:val="0"/>
      <w:marRight w:val="0"/>
      <w:marTop w:val="0"/>
      <w:marBottom w:val="0"/>
      <w:divBdr>
        <w:top w:val="none" w:sz="0" w:space="0" w:color="auto"/>
        <w:left w:val="none" w:sz="0" w:space="0" w:color="auto"/>
        <w:bottom w:val="none" w:sz="0" w:space="0" w:color="auto"/>
        <w:right w:val="none" w:sz="0" w:space="0" w:color="auto"/>
      </w:divBdr>
      <w:divsChild>
        <w:div w:id="2093115193">
          <w:marLeft w:val="0"/>
          <w:marRight w:val="1"/>
          <w:marTop w:val="0"/>
          <w:marBottom w:val="0"/>
          <w:divBdr>
            <w:top w:val="none" w:sz="0" w:space="0" w:color="auto"/>
            <w:left w:val="none" w:sz="0" w:space="0" w:color="auto"/>
            <w:bottom w:val="none" w:sz="0" w:space="0" w:color="auto"/>
            <w:right w:val="none" w:sz="0" w:space="0" w:color="auto"/>
          </w:divBdr>
          <w:divsChild>
            <w:div w:id="418137163">
              <w:marLeft w:val="0"/>
              <w:marRight w:val="0"/>
              <w:marTop w:val="0"/>
              <w:marBottom w:val="0"/>
              <w:divBdr>
                <w:top w:val="none" w:sz="0" w:space="0" w:color="auto"/>
                <w:left w:val="none" w:sz="0" w:space="0" w:color="auto"/>
                <w:bottom w:val="none" w:sz="0" w:space="0" w:color="auto"/>
                <w:right w:val="none" w:sz="0" w:space="0" w:color="auto"/>
              </w:divBdr>
              <w:divsChild>
                <w:div w:id="1230458709">
                  <w:marLeft w:val="0"/>
                  <w:marRight w:val="1"/>
                  <w:marTop w:val="0"/>
                  <w:marBottom w:val="0"/>
                  <w:divBdr>
                    <w:top w:val="none" w:sz="0" w:space="0" w:color="auto"/>
                    <w:left w:val="none" w:sz="0" w:space="0" w:color="auto"/>
                    <w:bottom w:val="none" w:sz="0" w:space="0" w:color="auto"/>
                    <w:right w:val="none" w:sz="0" w:space="0" w:color="auto"/>
                  </w:divBdr>
                  <w:divsChild>
                    <w:div w:id="120610124">
                      <w:marLeft w:val="0"/>
                      <w:marRight w:val="0"/>
                      <w:marTop w:val="0"/>
                      <w:marBottom w:val="0"/>
                      <w:divBdr>
                        <w:top w:val="none" w:sz="0" w:space="0" w:color="auto"/>
                        <w:left w:val="none" w:sz="0" w:space="0" w:color="auto"/>
                        <w:bottom w:val="none" w:sz="0" w:space="0" w:color="auto"/>
                        <w:right w:val="none" w:sz="0" w:space="0" w:color="auto"/>
                      </w:divBdr>
                      <w:divsChild>
                        <w:div w:id="620458332">
                          <w:marLeft w:val="0"/>
                          <w:marRight w:val="0"/>
                          <w:marTop w:val="0"/>
                          <w:marBottom w:val="0"/>
                          <w:divBdr>
                            <w:top w:val="none" w:sz="0" w:space="0" w:color="auto"/>
                            <w:left w:val="none" w:sz="0" w:space="0" w:color="auto"/>
                            <w:bottom w:val="none" w:sz="0" w:space="0" w:color="auto"/>
                            <w:right w:val="none" w:sz="0" w:space="0" w:color="auto"/>
                          </w:divBdr>
                          <w:divsChild>
                            <w:div w:id="1844662806">
                              <w:marLeft w:val="0"/>
                              <w:marRight w:val="0"/>
                              <w:marTop w:val="120"/>
                              <w:marBottom w:val="360"/>
                              <w:divBdr>
                                <w:top w:val="none" w:sz="0" w:space="0" w:color="auto"/>
                                <w:left w:val="none" w:sz="0" w:space="0" w:color="auto"/>
                                <w:bottom w:val="none" w:sz="0" w:space="0" w:color="auto"/>
                                <w:right w:val="none" w:sz="0" w:space="0" w:color="auto"/>
                              </w:divBdr>
                              <w:divsChild>
                                <w:div w:id="731469599">
                                  <w:marLeft w:val="420"/>
                                  <w:marRight w:val="0"/>
                                  <w:marTop w:val="0"/>
                                  <w:marBottom w:val="0"/>
                                  <w:divBdr>
                                    <w:top w:val="none" w:sz="0" w:space="0" w:color="auto"/>
                                    <w:left w:val="none" w:sz="0" w:space="0" w:color="auto"/>
                                    <w:bottom w:val="none" w:sz="0" w:space="0" w:color="auto"/>
                                    <w:right w:val="none" w:sz="0" w:space="0" w:color="auto"/>
                                  </w:divBdr>
                                  <w:divsChild>
                                    <w:div w:id="54861587">
                                      <w:marLeft w:val="0"/>
                                      <w:marRight w:val="0"/>
                                      <w:marTop w:val="34"/>
                                      <w:marBottom w:val="34"/>
                                      <w:divBdr>
                                        <w:top w:val="none" w:sz="0" w:space="0" w:color="auto"/>
                                        <w:left w:val="none" w:sz="0" w:space="0" w:color="auto"/>
                                        <w:bottom w:val="none" w:sz="0" w:space="0" w:color="auto"/>
                                        <w:right w:val="none" w:sz="0" w:space="0" w:color="auto"/>
                                      </w:divBdr>
                                    </w:div>
                                    <w:div w:id="1689286555">
                                      <w:marLeft w:val="0"/>
                                      <w:marRight w:val="0"/>
                                      <w:marTop w:val="0"/>
                                      <w:marBottom w:val="0"/>
                                      <w:divBdr>
                                        <w:top w:val="none" w:sz="0" w:space="0" w:color="auto"/>
                                        <w:left w:val="none" w:sz="0" w:space="0" w:color="auto"/>
                                        <w:bottom w:val="none" w:sz="0" w:space="0" w:color="auto"/>
                                        <w:right w:val="none" w:sz="0" w:space="0" w:color="auto"/>
                                      </w:divBdr>
                                      <w:divsChild>
                                        <w:div w:id="46512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15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A61C4-DDE0-4DA8-9C66-2841E92D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1528</Words>
  <Characters>8713</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Region Nordjylland</Company>
  <LinksUpToDate>false</LinksUpToDate>
  <CharactersWithSpaces>10221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Dybkær Sørensen  / Region Nordjylland</dc:creator>
  <cp:keywords/>
  <dc:description/>
  <cp:lastModifiedBy>Karen Dybkær Sørensen  / Region Nordjylland</cp:lastModifiedBy>
  <cp:revision>2</cp:revision>
  <dcterms:created xsi:type="dcterms:W3CDTF">2017-03-28T11:09:00Z</dcterms:created>
  <dcterms:modified xsi:type="dcterms:W3CDTF">2017-03-28T11:09:00Z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http://www.zotero.org/styles/nature</vt:lpwstr>
  </property>
  <property fmtid="{D5CDD505-2E9C-101B-9397-08002B2CF9AE}" pid="4" name="Mendeley Unique User Id_1">
    <vt:lpwstr>ba6d9608-5344-30db-8b1a-c710bf6144f8</vt:lpwstr>
  </property>
</Properties>
</file>