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613" w:rsidRPr="008E748F" w:rsidRDefault="000C6613" w:rsidP="000C6613">
      <w:pPr>
        <w:pStyle w:val="Heading1"/>
        <w:numPr>
          <w:ilvl w:val="0"/>
          <w:numId w:val="0"/>
        </w:numPr>
        <w:ind w:left="432" w:hanging="432"/>
        <w:rPr>
          <w:lang w:val="en-US"/>
        </w:rPr>
      </w:pPr>
      <w:bookmarkStart w:id="0" w:name="_Toc415155961"/>
      <w:bookmarkStart w:id="1" w:name="_Ref416167095"/>
      <w:bookmarkStart w:id="2" w:name="_Toc418869659"/>
      <w:r>
        <w:rPr>
          <w:lang w:val="en-US"/>
        </w:rPr>
        <w:t xml:space="preserve">UCD ureagenesis </w:t>
      </w:r>
      <w:r w:rsidRPr="008E748F">
        <w:rPr>
          <w:lang w:val="en-US"/>
        </w:rPr>
        <w:t>Efficac</w:t>
      </w:r>
      <w:bookmarkStart w:id="3" w:name="_GoBack"/>
      <w:bookmarkEnd w:id="3"/>
      <w:r w:rsidRPr="008E748F">
        <w:rPr>
          <w:lang w:val="en-US"/>
        </w:rPr>
        <w:t>y evaluation</w:t>
      </w:r>
      <w:bookmarkEnd w:id="0"/>
      <w:bookmarkEnd w:id="1"/>
      <w:bookmarkEnd w:id="2"/>
    </w:p>
    <w:p w:rsidR="000C6613" w:rsidRPr="007F61FD" w:rsidRDefault="000C6613" w:rsidP="000C6613">
      <w:pPr>
        <w:pStyle w:val="KBPSynopsis"/>
        <w:rPr>
          <w:i/>
        </w:rPr>
      </w:pPr>
      <w:r w:rsidRPr="007F61FD">
        <w:rPr>
          <w:i/>
        </w:rPr>
        <w:t xml:space="preserve">In the 14 UCD patients in vivo testing of ureagenesis with </w:t>
      </w:r>
      <w:r w:rsidRPr="007F61FD">
        <w:rPr>
          <w:i/>
          <w:vertAlign w:val="superscript"/>
        </w:rPr>
        <w:t>13</w:t>
      </w:r>
      <w:r w:rsidRPr="007F61FD">
        <w:rPr>
          <w:i/>
        </w:rPr>
        <w:t>C was a secondary endpoint of the efficacy assessment.</w:t>
      </w:r>
    </w:p>
    <w:p w:rsidR="000C6613" w:rsidRDefault="000C6613" w:rsidP="000C6613">
      <w:pPr>
        <w:pStyle w:val="KBPSynopsis"/>
        <w:rPr>
          <w:rFonts w:eastAsia="Calibri"/>
        </w:rPr>
      </w:pPr>
      <w:r>
        <w:t xml:space="preserve">The functional test based on a </w:t>
      </w:r>
      <w:r>
        <w:rPr>
          <w:vertAlign w:val="superscript"/>
        </w:rPr>
        <w:t>13</w:t>
      </w:r>
      <w:r>
        <w:t xml:space="preserve">C tracer method was used to evaluate ureagenesis </w:t>
      </w:r>
      <w:r>
        <w:rPr>
          <w:i/>
        </w:rPr>
        <w:t>in vivo</w:t>
      </w:r>
      <w:r>
        <w:t xml:space="preserve"> pre- and post-HepaStem infusion. During the test, blood was collected before labelled precursor ingestion and every 30 minutes for 2h after labelled precursor ingestion </w:t>
      </w:r>
      <w:r>
        <w:rPr>
          <w:rFonts w:eastAsia="Calibri"/>
        </w:rPr>
        <w:t xml:space="preserve">In order to integrate plasma </w:t>
      </w:r>
      <w:r>
        <w:t>[</w:t>
      </w:r>
      <w:r>
        <w:rPr>
          <w:vertAlign w:val="superscript"/>
        </w:rPr>
        <w:t>13</w:t>
      </w:r>
      <w:r>
        <w:t>C] urea concentrations</w:t>
      </w:r>
      <w:r>
        <w:rPr>
          <w:rFonts w:eastAsia="Calibri"/>
        </w:rPr>
        <w:t xml:space="preserve"> measured over 2h, plasma [</w:t>
      </w:r>
      <w:r>
        <w:rPr>
          <w:vertAlign w:val="superscript"/>
        </w:rPr>
        <w:t>13</w:t>
      </w:r>
      <w:r>
        <w:t>C] urea Area Under the Curve (</w:t>
      </w:r>
      <w:r>
        <w:rPr>
          <w:rFonts w:eastAsia="Calibri"/>
        </w:rPr>
        <w:t>AUC)-120 min was calculated (µ</w:t>
      </w:r>
      <w:proofErr w:type="spellStart"/>
      <w:r>
        <w:rPr>
          <w:rFonts w:eastAsia="Calibri"/>
        </w:rPr>
        <w:t>mol</w:t>
      </w:r>
      <w:proofErr w:type="spellEnd"/>
      <w:r>
        <w:rPr>
          <w:rFonts w:eastAsia="Calibri"/>
        </w:rPr>
        <w:t xml:space="preserve">*min/L). </w:t>
      </w:r>
      <w:r>
        <w:t>Some measurements were missing due to tests not performed at a given visit or missing blood samplings during a test.</w:t>
      </w:r>
    </w:p>
    <w:p w:rsidR="000C6613" w:rsidRDefault="000C6613" w:rsidP="000C6613">
      <w:pPr>
        <w:pStyle w:val="KBPSynopsis"/>
      </w:pPr>
      <w:r>
        <w:t>At baseline, 9 out of 12 patients had [</w:t>
      </w:r>
      <w:r>
        <w:rPr>
          <w:vertAlign w:val="superscript"/>
        </w:rPr>
        <w:t>13</w:t>
      </w:r>
      <w:r>
        <w:t>C] urea AUC-120 values between 4 and 51 µ</w:t>
      </w:r>
      <w:proofErr w:type="spellStart"/>
      <w:r>
        <w:t>mol</w:t>
      </w:r>
      <w:proofErr w:type="spellEnd"/>
      <w:r>
        <w:t xml:space="preserve">*min/L, clearly below healthy subjects evaluated outside of this study (mean 256 </w:t>
      </w:r>
      <w:r>
        <w:rPr>
          <w:rFonts w:eastAsia="Calibri"/>
        </w:rPr>
        <w:t>µ</w:t>
      </w:r>
      <w:proofErr w:type="spellStart"/>
      <w:r>
        <w:rPr>
          <w:rFonts w:eastAsia="Calibri"/>
        </w:rPr>
        <w:t>mol</w:t>
      </w:r>
      <w:proofErr w:type="spellEnd"/>
      <w:r>
        <w:rPr>
          <w:rFonts w:eastAsia="Calibri"/>
        </w:rPr>
        <w:t>*min/L</w:t>
      </w:r>
      <w:r>
        <w:t>). This confirmed that they had severe enzymatic deficiencies with low ureagenesis levels. Starting from their specific baseline, most of the patients showed an increase of plasma [</w:t>
      </w:r>
      <w:r>
        <w:rPr>
          <w:vertAlign w:val="superscript"/>
        </w:rPr>
        <w:t>13</w:t>
      </w:r>
      <w:r>
        <w:t>C] urea and [</w:t>
      </w:r>
      <w:r>
        <w:rPr>
          <w:vertAlign w:val="superscript"/>
        </w:rPr>
        <w:t>13</w:t>
      </w:r>
      <w:r>
        <w:t>C] urea AUC-120 at 3-month and 6-month FU versus baseline. At the 12-month FU, about half the patients still had increased values. Unexpectedly, 3 patients had high baseline values ([</w:t>
      </w:r>
      <w:r>
        <w:rPr>
          <w:vertAlign w:val="superscript"/>
        </w:rPr>
        <w:t>13</w:t>
      </w:r>
      <w:r>
        <w:t xml:space="preserve">C] urea AUC-120 from 156 to 301 </w:t>
      </w:r>
      <w:r>
        <w:rPr>
          <w:rFonts w:eastAsia="Calibri"/>
        </w:rPr>
        <w:t>µ</w:t>
      </w:r>
      <w:proofErr w:type="spellStart"/>
      <w:r>
        <w:rPr>
          <w:rFonts w:eastAsia="Calibri"/>
        </w:rPr>
        <w:t>mol</w:t>
      </w:r>
      <w:proofErr w:type="spellEnd"/>
      <w:r>
        <w:rPr>
          <w:rFonts w:eastAsia="Calibri"/>
        </w:rPr>
        <w:t>*min/L</w:t>
      </w:r>
      <w:r>
        <w:t xml:space="preserve">) and lower values at some FU visits. The potential influencing role of external factors on the test such as metabolic status, time of last medication or meal should be further evaluated. </w:t>
      </w:r>
    </w:p>
    <w:p w:rsidR="000C6613" w:rsidRDefault="000C6613" w:rsidP="000C6613">
      <w:pPr>
        <w:pStyle w:val="KBPSynopsis"/>
      </w:pPr>
      <w:r>
        <w:t>The strongest increase in [</w:t>
      </w:r>
      <w:r>
        <w:rPr>
          <w:vertAlign w:val="superscript"/>
        </w:rPr>
        <w:t>13</w:t>
      </w:r>
      <w:r>
        <w:t>C] urea AUC-120 values was observed in young patients. Positive results were observed in CPSID, OTCD and ASLD patients and, in patients from the 3 dose levels.</w:t>
      </w:r>
    </w:p>
    <w:p w:rsidR="000C6613" w:rsidRDefault="000C6613" w:rsidP="000C6613">
      <w:pPr>
        <w:pStyle w:val="KBPSynopsis"/>
      </w:pPr>
    </w:p>
    <w:p w:rsidR="000C6613" w:rsidRDefault="000C6613" w:rsidP="000C6613">
      <w:pPr>
        <w:pStyle w:val="KBPSynopsis"/>
        <w:rPr>
          <w:b/>
        </w:rPr>
      </w:pPr>
      <w:r>
        <w:rPr>
          <w:b/>
        </w:rPr>
        <w:t>Table 1 [13C] urea AUC-120 individual data at baseline, 3, 6 and 12 months and ratio versus baseline</w:t>
      </w:r>
    </w:p>
    <w:tbl>
      <w:tblPr>
        <w:tblW w:w="5000" w:type="pct"/>
        <w:tblLook w:val="04A0" w:firstRow="1" w:lastRow="0" w:firstColumn="1" w:lastColumn="0" w:noHBand="0" w:noVBand="1"/>
      </w:tblPr>
      <w:tblGrid>
        <w:gridCol w:w="1019"/>
        <w:gridCol w:w="728"/>
        <w:gridCol w:w="54"/>
        <w:gridCol w:w="819"/>
        <w:gridCol w:w="873"/>
        <w:gridCol w:w="1163"/>
        <w:gridCol w:w="851"/>
        <w:gridCol w:w="914"/>
        <w:gridCol w:w="892"/>
        <w:gridCol w:w="890"/>
        <w:gridCol w:w="1085"/>
      </w:tblGrid>
      <w:tr w:rsidR="000C6613" w:rsidTr="00C52B09">
        <w:tc>
          <w:tcPr>
            <w:tcW w:w="548" w:type="pct"/>
            <w:tcBorders>
              <w:top w:val="single" w:sz="4" w:space="0" w:color="auto"/>
              <w:left w:val="nil"/>
              <w:bottom w:val="nil"/>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b/>
                <w:sz w:val="18"/>
                <w:szCs w:val="18"/>
                <w:lang w:eastAsia="en-GB"/>
              </w:rPr>
            </w:pPr>
            <w:r>
              <w:rPr>
                <w:rFonts w:eastAsia="Times New Roman"/>
                <w:b/>
                <w:sz w:val="18"/>
                <w:szCs w:val="18"/>
                <w:lang w:eastAsia="en-GB"/>
              </w:rPr>
              <w:t>Disease/</w:t>
            </w:r>
          </w:p>
        </w:tc>
        <w:tc>
          <w:tcPr>
            <w:tcW w:w="392" w:type="pct"/>
            <w:tcBorders>
              <w:top w:val="single" w:sz="4" w:space="0" w:color="auto"/>
              <w:left w:val="nil"/>
              <w:bottom w:val="nil"/>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b/>
                <w:sz w:val="18"/>
                <w:szCs w:val="18"/>
                <w:lang w:eastAsia="en-GB"/>
              </w:rPr>
            </w:pPr>
            <w:r>
              <w:rPr>
                <w:rFonts w:eastAsia="Times New Roman"/>
                <w:b/>
                <w:sz w:val="18"/>
                <w:szCs w:val="18"/>
                <w:lang w:eastAsia="en-GB"/>
              </w:rPr>
              <w:t>Dose</w:t>
            </w:r>
          </w:p>
        </w:tc>
        <w:tc>
          <w:tcPr>
            <w:tcW w:w="470" w:type="pct"/>
            <w:gridSpan w:val="2"/>
            <w:tcBorders>
              <w:top w:val="single" w:sz="4" w:space="0" w:color="auto"/>
              <w:left w:val="nil"/>
              <w:bottom w:val="nil"/>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b/>
                <w:sz w:val="18"/>
                <w:szCs w:val="18"/>
                <w:lang w:eastAsia="en-GB"/>
              </w:rPr>
            </w:pPr>
            <w:r>
              <w:rPr>
                <w:rFonts w:eastAsia="Times New Roman"/>
                <w:b/>
                <w:sz w:val="18"/>
                <w:szCs w:val="18"/>
                <w:lang w:eastAsia="en-GB"/>
              </w:rPr>
              <w:t>Cohort</w:t>
            </w:r>
          </w:p>
        </w:tc>
        <w:tc>
          <w:tcPr>
            <w:tcW w:w="470" w:type="pct"/>
            <w:tcBorders>
              <w:top w:val="single" w:sz="4" w:space="0" w:color="auto"/>
              <w:left w:val="nil"/>
              <w:bottom w:val="nil"/>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b/>
                <w:sz w:val="18"/>
                <w:szCs w:val="18"/>
                <w:lang w:eastAsia="en-GB"/>
              </w:rPr>
            </w:pPr>
            <w:r>
              <w:rPr>
                <w:rFonts w:eastAsia="Times New Roman"/>
                <w:b/>
                <w:sz w:val="18"/>
                <w:szCs w:val="18"/>
                <w:lang w:eastAsia="en-GB"/>
              </w:rPr>
              <w:t>BL</w:t>
            </w:r>
          </w:p>
        </w:tc>
        <w:tc>
          <w:tcPr>
            <w:tcW w:w="1084" w:type="pct"/>
            <w:gridSpan w:val="2"/>
            <w:tcBorders>
              <w:top w:val="single" w:sz="4" w:space="0" w:color="auto"/>
              <w:left w:val="nil"/>
              <w:bottom w:val="nil"/>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b/>
                <w:sz w:val="18"/>
                <w:szCs w:val="18"/>
                <w:lang w:eastAsia="en-GB"/>
              </w:rPr>
            </w:pPr>
            <w:r>
              <w:rPr>
                <w:rFonts w:eastAsia="Times New Roman"/>
                <w:b/>
                <w:sz w:val="18"/>
                <w:szCs w:val="18"/>
                <w:lang w:eastAsia="en-GB"/>
              </w:rPr>
              <w:t xml:space="preserve">3 months </w:t>
            </w:r>
          </w:p>
        </w:tc>
        <w:tc>
          <w:tcPr>
            <w:tcW w:w="972" w:type="pct"/>
            <w:gridSpan w:val="2"/>
            <w:tcBorders>
              <w:top w:val="single" w:sz="4" w:space="0" w:color="auto"/>
              <w:left w:val="nil"/>
              <w:bottom w:val="nil"/>
              <w:right w:val="nil"/>
            </w:tcBorders>
            <w:vAlign w:val="bottom"/>
            <w:hideMark/>
          </w:tcPr>
          <w:p w:rsidR="000C6613" w:rsidRDefault="000C6613" w:rsidP="00C52B09">
            <w:pPr>
              <w:pStyle w:val="KBPSynopsis"/>
              <w:spacing w:before="100" w:beforeAutospacing="1" w:after="100" w:afterAutospacing="1" w:line="276" w:lineRule="auto"/>
              <w:rPr>
                <w:rFonts w:eastAsia="Times New Roman"/>
                <w:b/>
                <w:sz w:val="18"/>
                <w:szCs w:val="18"/>
                <w:lang w:eastAsia="en-GB"/>
              </w:rPr>
            </w:pPr>
            <w:r>
              <w:rPr>
                <w:rFonts w:eastAsia="Times New Roman"/>
                <w:b/>
                <w:sz w:val="18"/>
                <w:szCs w:val="18"/>
                <w:lang w:eastAsia="en-GB"/>
              </w:rPr>
              <w:t xml:space="preserve">6 months </w:t>
            </w:r>
          </w:p>
        </w:tc>
        <w:tc>
          <w:tcPr>
            <w:tcW w:w="1063" w:type="pct"/>
            <w:gridSpan w:val="2"/>
            <w:tcBorders>
              <w:top w:val="single" w:sz="4" w:space="0" w:color="auto"/>
              <w:left w:val="nil"/>
              <w:bottom w:val="nil"/>
              <w:right w:val="nil"/>
            </w:tcBorders>
            <w:vAlign w:val="bottom"/>
            <w:hideMark/>
          </w:tcPr>
          <w:p w:rsidR="000C6613" w:rsidRDefault="000C6613" w:rsidP="00C52B09">
            <w:pPr>
              <w:pStyle w:val="KBPSynopsis"/>
              <w:spacing w:before="100" w:beforeAutospacing="1" w:after="100" w:afterAutospacing="1" w:line="276" w:lineRule="auto"/>
              <w:rPr>
                <w:rFonts w:eastAsia="Times New Roman"/>
                <w:b/>
                <w:sz w:val="18"/>
                <w:szCs w:val="18"/>
                <w:lang w:eastAsia="en-GB"/>
              </w:rPr>
            </w:pPr>
            <w:r>
              <w:rPr>
                <w:rFonts w:eastAsia="Times New Roman"/>
                <w:b/>
                <w:sz w:val="18"/>
                <w:szCs w:val="18"/>
                <w:lang w:eastAsia="en-GB"/>
              </w:rPr>
              <w:t xml:space="preserve">12 months </w:t>
            </w:r>
          </w:p>
        </w:tc>
      </w:tr>
      <w:tr w:rsidR="000C6613" w:rsidTr="00C52B09">
        <w:trPr>
          <w:trHeight w:val="441"/>
        </w:trPr>
        <w:tc>
          <w:tcPr>
            <w:tcW w:w="548" w:type="pct"/>
            <w:tcBorders>
              <w:top w:val="nil"/>
              <w:left w:val="nil"/>
              <w:bottom w:val="single" w:sz="4" w:space="0" w:color="auto"/>
              <w:right w:val="nil"/>
            </w:tcBorders>
            <w:noWrap/>
            <w:vAlign w:val="bottom"/>
          </w:tcPr>
          <w:p w:rsidR="000C6613" w:rsidRDefault="000C6613" w:rsidP="00C52B09">
            <w:pPr>
              <w:pStyle w:val="KBPSynopsis"/>
              <w:spacing w:before="100" w:beforeAutospacing="1" w:after="100" w:afterAutospacing="1" w:line="276" w:lineRule="auto"/>
              <w:rPr>
                <w:b/>
                <w:sz w:val="18"/>
                <w:szCs w:val="18"/>
              </w:rPr>
            </w:pPr>
          </w:p>
        </w:tc>
        <w:tc>
          <w:tcPr>
            <w:tcW w:w="392" w:type="pct"/>
            <w:tcBorders>
              <w:top w:val="nil"/>
              <w:left w:val="nil"/>
              <w:bottom w:val="single" w:sz="4" w:space="0" w:color="auto"/>
              <w:right w:val="nil"/>
            </w:tcBorders>
            <w:noWrap/>
            <w:vAlign w:val="bottom"/>
          </w:tcPr>
          <w:p w:rsidR="000C6613" w:rsidRDefault="000C6613" w:rsidP="00C52B09">
            <w:pPr>
              <w:pStyle w:val="KBPSynopsis"/>
              <w:spacing w:before="100" w:beforeAutospacing="1" w:after="100" w:afterAutospacing="1" w:line="276" w:lineRule="auto"/>
              <w:rPr>
                <w:b/>
                <w:sz w:val="18"/>
                <w:szCs w:val="18"/>
              </w:rPr>
            </w:pPr>
          </w:p>
        </w:tc>
        <w:tc>
          <w:tcPr>
            <w:tcW w:w="470" w:type="pct"/>
            <w:gridSpan w:val="2"/>
            <w:tcBorders>
              <w:top w:val="nil"/>
              <w:left w:val="nil"/>
              <w:bottom w:val="single" w:sz="4" w:space="0" w:color="auto"/>
              <w:right w:val="nil"/>
            </w:tcBorders>
            <w:noWrap/>
            <w:vAlign w:val="bottom"/>
          </w:tcPr>
          <w:p w:rsidR="000C6613" w:rsidRDefault="000C6613" w:rsidP="00C52B09">
            <w:pPr>
              <w:pStyle w:val="KBPSynopsis"/>
              <w:spacing w:before="100" w:beforeAutospacing="1" w:after="100" w:afterAutospacing="1" w:line="276" w:lineRule="auto"/>
              <w:rPr>
                <w:b/>
                <w:sz w:val="18"/>
                <w:szCs w:val="18"/>
              </w:rPr>
            </w:pPr>
          </w:p>
        </w:tc>
        <w:tc>
          <w:tcPr>
            <w:tcW w:w="470" w:type="pct"/>
            <w:tcBorders>
              <w:top w:val="nil"/>
              <w:left w:val="nil"/>
              <w:bottom w:val="single" w:sz="4" w:space="0" w:color="auto"/>
              <w:right w:val="nil"/>
            </w:tcBorders>
            <w:noWrap/>
            <w:vAlign w:val="bottom"/>
            <w:hideMark/>
          </w:tcPr>
          <w:p w:rsidR="000C6613" w:rsidRDefault="000C6613" w:rsidP="00C52B09">
            <w:pPr>
              <w:pStyle w:val="KBPSynopsis"/>
              <w:spacing w:before="100" w:beforeAutospacing="1" w:after="100" w:afterAutospacing="1" w:line="276" w:lineRule="auto"/>
              <w:rPr>
                <w:b/>
                <w:sz w:val="18"/>
                <w:szCs w:val="18"/>
              </w:rPr>
            </w:pPr>
            <w:r>
              <w:rPr>
                <w:b/>
                <w:sz w:val="18"/>
                <w:szCs w:val="18"/>
              </w:rPr>
              <w:t>AUC</w:t>
            </w:r>
          </w:p>
        </w:tc>
        <w:tc>
          <w:tcPr>
            <w:tcW w:w="626" w:type="pct"/>
            <w:tcBorders>
              <w:top w:val="nil"/>
              <w:left w:val="nil"/>
              <w:bottom w:val="single" w:sz="4" w:space="0" w:color="auto"/>
              <w:right w:val="nil"/>
            </w:tcBorders>
            <w:noWrap/>
            <w:vAlign w:val="bottom"/>
            <w:hideMark/>
          </w:tcPr>
          <w:p w:rsidR="000C6613" w:rsidRDefault="000C6613" w:rsidP="00C52B09">
            <w:pPr>
              <w:pStyle w:val="KBPSynopsis"/>
              <w:spacing w:before="100" w:beforeAutospacing="1" w:after="100" w:afterAutospacing="1" w:line="276" w:lineRule="auto"/>
              <w:rPr>
                <w:b/>
                <w:sz w:val="18"/>
                <w:szCs w:val="18"/>
              </w:rPr>
            </w:pPr>
            <w:r>
              <w:rPr>
                <w:b/>
                <w:sz w:val="18"/>
                <w:szCs w:val="18"/>
              </w:rPr>
              <w:t>AUC</w:t>
            </w:r>
          </w:p>
        </w:tc>
        <w:tc>
          <w:tcPr>
            <w:tcW w:w="458" w:type="pct"/>
            <w:tcBorders>
              <w:top w:val="nil"/>
              <w:left w:val="nil"/>
              <w:bottom w:val="single" w:sz="4" w:space="0" w:color="auto"/>
              <w:right w:val="nil"/>
            </w:tcBorders>
            <w:hideMark/>
          </w:tcPr>
          <w:p w:rsidR="000C6613" w:rsidRDefault="000C6613" w:rsidP="00C52B09">
            <w:pPr>
              <w:pStyle w:val="KBPSynopsis"/>
              <w:spacing w:before="100" w:beforeAutospacing="1" w:after="100" w:afterAutospacing="1" w:line="276" w:lineRule="auto"/>
              <w:rPr>
                <w:b/>
                <w:sz w:val="18"/>
                <w:szCs w:val="18"/>
              </w:rPr>
            </w:pPr>
            <w:r>
              <w:rPr>
                <w:b/>
                <w:sz w:val="18"/>
                <w:szCs w:val="18"/>
              </w:rPr>
              <w:t>Ratio</w:t>
            </w:r>
            <w:r>
              <w:rPr>
                <w:b/>
                <w:sz w:val="18"/>
                <w:szCs w:val="18"/>
              </w:rPr>
              <w:br/>
              <w:t>3m/BL</w:t>
            </w:r>
          </w:p>
        </w:tc>
        <w:tc>
          <w:tcPr>
            <w:tcW w:w="492" w:type="pct"/>
            <w:tcBorders>
              <w:top w:val="nil"/>
              <w:left w:val="nil"/>
              <w:bottom w:val="single" w:sz="4" w:space="0" w:color="auto"/>
              <w:right w:val="nil"/>
            </w:tcBorders>
            <w:vAlign w:val="bottom"/>
            <w:hideMark/>
          </w:tcPr>
          <w:p w:rsidR="000C6613" w:rsidRDefault="000C6613" w:rsidP="00C52B09">
            <w:pPr>
              <w:pStyle w:val="KBPSynopsis"/>
              <w:spacing w:before="100" w:beforeAutospacing="1" w:after="100" w:afterAutospacing="1" w:line="276" w:lineRule="auto"/>
              <w:rPr>
                <w:b/>
                <w:sz w:val="18"/>
                <w:szCs w:val="18"/>
              </w:rPr>
            </w:pPr>
            <w:r>
              <w:rPr>
                <w:b/>
                <w:sz w:val="18"/>
                <w:szCs w:val="18"/>
              </w:rPr>
              <w:t>AUC</w:t>
            </w:r>
          </w:p>
        </w:tc>
        <w:tc>
          <w:tcPr>
            <w:tcW w:w="480" w:type="pct"/>
            <w:tcBorders>
              <w:top w:val="nil"/>
              <w:left w:val="nil"/>
              <w:bottom w:val="single" w:sz="4" w:space="0" w:color="auto"/>
              <w:right w:val="nil"/>
            </w:tcBorders>
            <w:hideMark/>
          </w:tcPr>
          <w:p w:rsidR="000C6613" w:rsidRDefault="000C6613" w:rsidP="00C52B09">
            <w:pPr>
              <w:pStyle w:val="KBPSynopsis"/>
              <w:spacing w:before="100" w:beforeAutospacing="1" w:after="100" w:afterAutospacing="1" w:line="276" w:lineRule="auto"/>
              <w:rPr>
                <w:b/>
                <w:sz w:val="18"/>
                <w:szCs w:val="18"/>
              </w:rPr>
            </w:pPr>
            <w:r>
              <w:rPr>
                <w:b/>
                <w:sz w:val="18"/>
                <w:szCs w:val="18"/>
              </w:rPr>
              <w:t>Ratio</w:t>
            </w:r>
            <w:r>
              <w:rPr>
                <w:b/>
                <w:sz w:val="18"/>
                <w:szCs w:val="18"/>
              </w:rPr>
              <w:br/>
              <w:t>6m/BL</w:t>
            </w:r>
          </w:p>
        </w:tc>
        <w:tc>
          <w:tcPr>
            <w:tcW w:w="479" w:type="pct"/>
            <w:tcBorders>
              <w:top w:val="nil"/>
              <w:left w:val="nil"/>
              <w:bottom w:val="single" w:sz="4" w:space="0" w:color="auto"/>
              <w:right w:val="nil"/>
            </w:tcBorders>
            <w:vAlign w:val="bottom"/>
            <w:hideMark/>
          </w:tcPr>
          <w:p w:rsidR="000C6613" w:rsidRDefault="000C6613" w:rsidP="00C52B09">
            <w:pPr>
              <w:pStyle w:val="KBPSynopsis"/>
              <w:spacing w:before="100" w:beforeAutospacing="1" w:after="100" w:afterAutospacing="1" w:line="276" w:lineRule="auto"/>
              <w:rPr>
                <w:b/>
                <w:sz w:val="18"/>
                <w:szCs w:val="18"/>
              </w:rPr>
            </w:pPr>
            <w:r>
              <w:rPr>
                <w:b/>
                <w:sz w:val="18"/>
                <w:szCs w:val="18"/>
              </w:rPr>
              <w:t>AUC</w:t>
            </w:r>
          </w:p>
        </w:tc>
        <w:tc>
          <w:tcPr>
            <w:tcW w:w="584" w:type="pct"/>
            <w:tcBorders>
              <w:top w:val="nil"/>
              <w:left w:val="nil"/>
              <w:bottom w:val="single" w:sz="4" w:space="0" w:color="auto"/>
              <w:right w:val="nil"/>
            </w:tcBorders>
            <w:hideMark/>
          </w:tcPr>
          <w:p w:rsidR="000C6613" w:rsidRDefault="000C6613" w:rsidP="00C52B09">
            <w:pPr>
              <w:pStyle w:val="KBPSynopsis"/>
              <w:spacing w:before="100" w:beforeAutospacing="1" w:after="100" w:afterAutospacing="1" w:line="276" w:lineRule="auto"/>
              <w:rPr>
                <w:b/>
                <w:sz w:val="18"/>
                <w:szCs w:val="18"/>
              </w:rPr>
            </w:pPr>
            <w:r>
              <w:rPr>
                <w:b/>
                <w:sz w:val="18"/>
                <w:szCs w:val="18"/>
              </w:rPr>
              <w:t>Ratio</w:t>
            </w:r>
            <w:r>
              <w:rPr>
                <w:b/>
                <w:sz w:val="18"/>
                <w:szCs w:val="18"/>
              </w:rPr>
              <w:br/>
              <w:t>12m/BL</w:t>
            </w:r>
          </w:p>
        </w:tc>
      </w:tr>
      <w:tr w:rsidR="000C6613" w:rsidTr="00C52B09">
        <w:tc>
          <w:tcPr>
            <w:tcW w:w="548" w:type="pct"/>
            <w:tcBorders>
              <w:top w:val="single" w:sz="4" w:space="0" w:color="auto"/>
              <w:left w:val="nil"/>
              <w:bottom w:val="nil"/>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b/>
                <w:sz w:val="18"/>
                <w:szCs w:val="18"/>
                <w:lang w:eastAsia="en-GB"/>
              </w:rPr>
            </w:pPr>
            <w:r>
              <w:rPr>
                <w:rFonts w:eastAsia="Times New Roman"/>
                <w:b/>
                <w:sz w:val="18"/>
                <w:szCs w:val="18"/>
                <w:lang w:eastAsia="en-GB"/>
              </w:rPr>
              <w:t>SID</w:t>
            </w:r>
          </w:p>
        </w:tc>
        <w:tc>
          <w:tcPr>
            <w:tcW w:w="421" w:type="pct"/>
            <w:gridSpan w:val="2"/>
            <w:tcBorders>
              <w:top w:val="single" w:sz="4" w:space="0" w:color="auto"/>
              <w:left w:val="nil"/>
              <w:bottom w:val="nil"/>
              <w:right w:val="nil"/>
            </w:tcBorders>
            <w:noWrap/>
            <w:vAlign w:val="bottom"/>
          </w:tcPr>
          <w:p w:rsidR="000C6613" w:rsidRDefault="000C6613" w:rsidP="00C52B09">
            <w:pPr>
              <w:pStyle w:val="KBPSynopsis"/>
              <w:spacing w:before="100" w:beforeAutospacing="1" w:after="100" w:afterAutospacing="1" w:line="276" w:lineRule="auto"/>
              <w:rPr>
                <w:rFonts w:eastAsia="Times New Roman"/>
                <w:sz w:val="18"/>
                <w:szCs w:val="18"/>
                <w:lang w:eastAsia="en-GB"/>
              </w:rPr>
            </w:pPr>
          </w:p>
        </w:tc>
        <w:tc>
          <w:tcPr>
            <w:tcW w:w="441" w:type="pct"/>
            <w:tcBorders>
              <w:top w:val="single" w:sz="4" w:space="0" w:color="auto"/>
              <w:left w:val="nil"/>
              <w:bottom w:val="nil"/>
              <w:right w:val="single" w:sz="4" w:space="0" w:color="auto"/>
            </w:tcBorders>
            <w:noWrap/>
            <w:vAlign w:val="bottom"/>
          </w:tcPr>
          <w:p w:rsidR="000C6613" w:rsidRDefault="000C6613" w:rsidP="00C52B09">
            <w:pPr>
              <w:pStyle w:val="KBPSynopsis"/>
              <w:spacing w:before="100" w:beforeAutospacing="1" w:after="100" w:afterAutospacing="1" w:line="276" w:lineRule="auto"/>
              <w:rPr>
                <w:rFonts w:eastAsia="Times New Roman"/>
                <w:sz w:val="18"/>
                <w:szCs w:val="18"/>
                <w:lang w:eastAsia="en-GB"/>
              </w:rPr>
            </w:pPr>
          </w:p>
        </w:tc>
        <w:tc>
          <w:tcPr>
            <w:tcW w:w="470" w:type="pct"/>
            <w:tcBorders>
              <w:top w:val="single" w:sz="4" w:space="0" w:color="auto"/>
              <w:left w:val="single" w:sz="4" w:space="0" w:color="auto"/>
              <w:bottom w:val="nil"/>
              <w:right w:val="single" w:sz="4" w:space="0" w:color="auto"/>
            </w:tcBorders>
            <w:noWrap/>
            <w:vAlign w:val="bottom"/>
          </w:tcPr>
          <w:p w:rsidR="000C6613" w:rsidRDefault="000C6613" w:rsidP="00C52B09">
            <w:pPr>
              <w:pStyle w:val="KBPSynopsis"/>
              <w:spacing w:before="100" w:beforeAutospacing="1" w:after="100" w:afterAutospacing="1" w:line="276" w:lineRule="auto"/>
              <w:rPr>
                <w:rFonts w:eastAsia="Times New Roman"/>
                <w:sz w:val="18"/>
                <w:szCs w:val="18"/>
                <w:lang w:eastAsia="en-GB"/>
              </w:rPr>
            </w:pPr>
          </w:p>
        </w:tc>
        <w:tc>
          <w:tcPr>
            <w:tcW w:w="626" w:type="pct"/>
            <w:tcBorders>
              <w:top w:val="single" w:sz="4" w:space="0" w:color="auto"/>
              <w:left w:val="single" w:sz="4" w:space="0" w:color="auto"/>
              <w:bottom w:val="nil"/>
              <w:right w:val="nil"/>
            </w:tcBorders>
            <w:noWrap/>
            <w:vAlign w:val="bottom"/>
          </w:tcPr>
          <w:p w:rsidR="000C6613" w:rsidRDefault="000C6613" w:rsidP="00C52B09">
            <w:pPr>
              <w:pStyle w:val="KBPSynopsis"/>
              <w:spacing w:before="100" w:beforeAutospacing="1" w:after="100" w:afterAutospacing="1" w:line="276" w:lineRule="auto"/>
              <w:rPr>
                <w:rFonts w:eastAsia="Times New Roman"/>
                <w:sz w:val="18"/>
                <w:szCs w:val="18"/>
                <w:lang w:eastAsia="en-GB"/>
              </w:rPr>
            </w:pPr>
          </w:p>
        </w:tc>
        <w:tc>
          <w:tcPr>
            <w:tcW w:w="458" w:type="pct"/>
            <w:tcBorders>
              <w:top w:val="single" w:sz="4" w:space="0" w:color="auto"/>
              <w:left w:val="nil"/>
              <w:bottom w:val="nil"/>
              <w:right w:val="single" w:sz="4" w:space="0" w:color="auto"/>
            </w:tcBorders>
            <w:vAlign w:val="bottom"/>
          </w:tcPr>
          <w:p w:rsidR="000C6613" w:rsidRDefault="000C6613" w:rsidP="00C52B09">
            <w:pPr>
              <w:pStyle w:val="KBPSynopsis"/>
              <w:spacing w:before="100" w:beforeAutospacing="1" w:after="100" w:afterAutospacing="1" w:line="276" w:lineRule="auto"/>
              <w:rPr>
                <w:rFonts w:ascii="Calibri" w:hAnsi="Calibri"/>
                <w:color w:val="000000"/>
                <w:sz w:val="18"/>
                <w:szCs w:val="18"/>
              </w:rPr>
            </w:pPr>
          </w:p>
        </w:tc>
        <w:tc>
          <w:tcPr>
            <w:tcW w:w="492" w:type="pct"/>
            <w:tcBorders>
              <w:top w:val="single" w:sz="4" w:space="0" w:color="auto"/>
              <w:left w:val="single" w:sz="4" w:space="0" w:color="auto"/>
              <w:bottom w:val="nil"/>
              <w:right w:val="nil"/>
            </w:tcBorders>
            <w:vAlign w:val="bottom"/>
          </w:tcPr>
          <w:p w:rsidR="000C6613" w:rsidRDefault="000C6613" w:rsidP="00C52B09">
            <w:pPr>
              <w:pStyle w:val="KBPSynopsis"/>
              <w:spacing w:before="100" w:beforeAutospacing="1" w:after="100" w:afterAutospacing="1" w:line="276" w:lineRule="auto"/>
              <w:rPr>
                <w:rFonts w:eastAsia="Times New Roman"/>
                <w:sz w:val="18"/>
                <w:szCs w:val="18"/>
                <w:lang w:eastAsia="en-GB"/>
              </w:rPr>
            </w:pPr>
          </w:p>
        </w:tc>
        <w:tc>
          <w:tcPr>
            <w:tcW w:w="480" w:type="pct"/>
            <w:tcBorders>
              <w:top w:val="single" w:sz="4" w:space="0" w:color="auto"/>
              <w:left w:val="nil"/>
              <w:bottom w:val="nil"/>
              <w:right w:val="single" w:sz="4" w:space="0" w:color="auto"/>
            </w:tcBorders>
            <w:vAlign w:val="bottom"/>
          </w:tcPr>
          <w:p w:rsidR="000C6613" w:rsidRDefault="000C6613" w:rsidP="00C52B09">
            <w:pPr>
              <w:pStyle w:val="KBPSynopsis"/>
              <w:spacing w:before="100" w:beforeAutospacing="1" w:after="100" w:afterAutospacing="1" w:line="276" w:lineRule="auto"/>
              <w:rPr>
                <w:rFonts w:ascii="Calibri" w:hAnsi="Calibri"/>
                <w:color w:val="000000"/>
                <w:sz w:val="18"/>
                <w:szCs w:val="18"/>
              </w:rPr>
            </w:pPr>
          </w:p>
        </w:tc>
        <w:tc>
          <w:tcPr>
            <w:tcW w:w="479" w:type="pct"/>
            <w:tcBorders>
              <w:top w:val="single" w:sz="4" w:space="0" w:color="auto"/>
              <w:left w:val="single" w:sz="4" w:space="0" w:color="auto"/>
              <w:bottom w:val="nil"/>
              <w:right w:val="nil"/>
            </w:tcBorders>
            <w:vAlign w:val="bottom"/>
          </w:tcPr>
          <w:p w:rsidR="000C6613" w:rsidRDefault="000C6613" w:rsidP="00C52B09">
            <w:pPr>
              <w:pStyle w:val="KBPSynopsis"/>
              <w:spacing w:before="100" w:beforeAutospacing="1" w:after="100" w:afterAutospacing="1" w:line="276" w:lineRule="auto"/>
              <w:rPr>
                <w:rFonts w:eastAsia="Times New Roman"/>
                <w:sz w:val="18"/>
                <w:szCs w:val="18"/>
                <w:lang w:eastAsia="en-GB"/>
              </w:rPr>
            </w:pPr>
          </w:p>
        </w:tc>
        <w:tc>
          <w:tcPr>
            <w:tcW w:w="584" w:type="pct"/>
            <w:tcBorders>
              <w:top w:val="single" w:sz="4" w:space="0" w:color="auto"/>
              <w:left w:val="nil"/>
              <w:bottom w:val="nil"/>
              <w:right w:val="nil"/>
            </w:tcBorders>
            <w:vAlign w:val="bottom"/>
          </w:tcPr>
          <w:p w:rsidR="000C6613" w:rsidRDefault="000C6613" w:rsidP="00C52B09">
            <w:pPr>
              <w:pStyle w:val="KBPSynopsis"/>
              <w:spacing w:before="100" w:beforeAutospacing="1" w:after="100" w:afterAutospacing="1" w:line="276" w:lineRule="auto"/>
              <w:rPr>
                <w:rFonts w:ascii="Calibri" w:hAnsi="Calibri"/>
                <w:color w:val="000000"/>
                <w:sz w:val="18"/>
                <w:szCs w:val="18"/>
              </w:rPr>
            </w:pPr>
          </w:p>
        </w:tc>
      </w:tr>
      <w:tr w:rsidR="000C6613" w:rsidTr="00C52B09">
        <w:tc>
          <w:tcPr>
            <w:tcW w:w="548" w:type="pct"/>
            <w:noWrap/>
            <w:vAlign w:val="bottom"/>
          </w:tcPr>
          <w:p w:rsidR="000C6613" w:rsidRDefault="000C6613" w:rsidP="00C52B09">
            <w:pPr>
              <w:pStyle w:val="KBPSynopsis"/>
              <w:spacing w:before="100" w:beforeAutospacing="1" w:after="100" w:afterAutospacing="1" w:line="276" w:lineRule="auto"/>
              <w:rPr>
                <w:rFonts w:eastAsia="Times New Roman"/>
                <w:sz w:val="18"/>
                <w:szCs w:val="18"/>
                <w:lang w:eastAsia="en-GB"/>
              </w:rPr>
            </w:pPr>
          </w:p>
        </w:tc>
        <w:tc>
          <w:tcPr>
            <w:tcW w:w="421" w:type="pct"/>
            <w:gridSpan w:val="2"/>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 xml:space="preserve">H </w:t>
            </w:r>
          </w:p>
        </w:tc>
        <w:tc>
          <w:tcPr>
            <w:tcW w:w="441" w:type="pct"/>
            <w:tcBorders>
              <w:top w:val="nil"/>
              <w:left w:val="nil"/>
              <w:bottom w:val="nil"/>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2</w:t>
            </w:r>
          </w:p>
        </w:tc>
        <w:tc>
          <w:tcPr>
            <w:tcW w:w="470" w:type="pct"/>
            <w:tcBorders>
              <w:top w:val="nil"/>
              <w:left w:val="single" w:sz="4" w:space="0" w:color="auto"/>
              <w:bottom w:val="nil"/>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50.52</w:t>
            </w:r>
          </w:p>
        </w:tc>
        <w:tc>
          <w:tcPr>
            <w:tcW w:w="626" w:type="pct"/>
            <w:tcBorders>
              <w:top w:val="nil"/>
              <w:left w:val="single" w:sz="4" w:space="0" w:color="auto"/>
              <w:bottom w:val="nil"/>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110.64</w:t>
            </w:r>
          </w:p>
        </w:tc>
        <w:tc>
          <w:tcPr>
            <w:tcW w:w="458" w:type="pct"/>
            <w:tcBorders>
              <w:top w:val="nil"/>
              <w:left w:val="nil"/>
              <w:bottom w:val="nil"/>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2.19</w:t>
            </w:r>
          </w:p>
        </w:tc>
        <w:tc>
          <w:tcPr>
            <w:tcW w:w="492" w:type="pct"/>
            <w:tcBorders>
              <w:top w:val="nil"/>
              <w:left w:val="single" w:sz="4" w:space="0" w:color="auto"/>
              <w:bottom w:val="nil"/>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68.75</w:t>
            </w:r>
          </w:p>
        </w:tc>
        <w:tc>
          <w:tcPr>
            <w:tcW w:w="480" w:type="pct"/>
            <w:tcBorders>
              <w:top w:val="nil"/>
              <w:left w:val="nil"/>
              <w:bottom w:val="nil"/>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1.36</w:t>
            </w:r>
          </w:p>
        </w:tc>
        <w:tc>
          <w:tcPr>
            <w:tcW w:w="479" w:type="pct"/>
            <w:tcBorders>
              <w:top w:val="nil"/>
              <w:left w:val="single" w:sz="4" w:space="0" w:color="auto"/>
              <w:bottom w:val="nil"/>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140.63</w:t>
            </w:r>
          </w:p>
        </w:tc>
        <w:tc>
          <w:tcPr>
            <w:tcW w:w="584" w:type="pct"/>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2.78</w:t>
            </w:r>
          </w:p>
        </w:tc>
      </w:tr>
      <w:tr w:rsidR="000C6613" w:rsidTr="00C52B09">
        <w:tc>
          <w:tcPr>
            <w:tcW w:w="548" w:type="pct"/>
            <w:tcBorders>
              <w:top w:val="nil"/>
              <w:left w:val="nil"/>
              <w:bottom w:val="single" w:sz="4" w:space="0" w:color="auto"/>
              <w:right w:val="nil"/>
            </w:tcBorders>
            <w:noWrap/>
            <w:vAlign w:val="bottom"/>
          </w:tcPr>
          <w:p w:rsidR="000C6613" w:rsidRDefault="000C6613" w:rsidP="00C52B09">
            <w:pPr>
              <w:pStyle w:val="KBPSynopsis"/>
              <w:spacing w:before="100" w:beforeAutospacing="1" w:after="100" w:afterAutospacing="1" w:line="276" w:lineRule="auto"/>
              <w:rPr>
                <w:rFonts w:eastAsia="Times New Roman"/>
                <w:sz w:val="18"/>
                <w:szCs w:val="18"/>
                <w:lang w:eastAsia="en-GB"/>
              </w:rPr>
            </w:pPr>
          </w:p>
        </w:tc>
        <w:tc>
          <w:tcPr>
            <w:tcW w:w="421" w:type="pct"/>
            <w:gridSpan w:val="2"/>
            <w:tcBorders>
              <w:top w:val="nil"/>
              <w:left w:val="nil"/>
              <w:bottom w:val="single" w:sz="4" w:space="0" w:color="auto"/>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H</w:t>
            </w:r>
          </w:p>
        </w:tc>
        <w:tc>
          <w:tcPr>
            <w:tcW w:w="441" w:type="pct"/>
            <w:tcBorders>
              <w:top w:val="nil"/>
              <w:left w:val="nil"/>
              <w:bottom w:val="single" w:sz="4" w:space="0" w:color="auto"/>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2</w:t>
            </w:r>
          </w:p>
        </w:tc>
        <w:tc>
          <w:tcPr>
            <w:tcW w:w="470" w:type="pct"/>
            <w:tcBorders>
              <w:top w:val="nil"/>
              <w:left w:val="single" w:sz="4" w:space="0" w:color="auto"/>
              <w:bottom w:val="single" w:sz="4" w:space="0" w:color="auto"/>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300.90</w:t>
            </w:r>
          </w:p>
        </w:tc>
        <w:tc>
          <w:tcPr>
            <w:tcW w:w="626" w:type="pct"/>
            <w:tcBorders>
              <w:top w:val="nil"/>
              <w:left w:val="single" w:sz="4" w:space="0" w:color="auto"/>
              <w:bottom w:val="single" w:sz="4" w:space="0" w:color="auto"/>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18.93</w:t>
            </w:r>
          </w:p>
        </w:tc>
        <w:tc>
          <w:tcPr>
            <w:tcW w:w="458" w:type="pct"/>
            <w:tcBorders>
              <w:top w:val="nil"/>
              <w:left w:val="nil"/>
              <w:bottom w:val="single" w:sz="4" w:space="0" w:color="auto"/>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0.06</w:t>
            </w:r>
          </w:p>
        </w:tc>
        <w:tc>
          <w:tcPr>
            <w:tcW w:w="492" w:type="pct"/>
            <w:tcBorders>
              <w:top w:val="nil"/>
              <w:left w:val="single" w:sz="4" w:space="0" w:color="auto"/>
              <w:bottom w:val="single" w:sz="4" w:space="0" w:color="auto"/>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127.83</w:t>
            </w:r>
          </w:p>
        </w:tc>
        <w:tc>
          <w:tcPr>
            <w:tcW w:w="480" w:type="pct"/>
            <w:tcBorders>
              <w:top w:val="nil"/>
              <w:left w:val="nil"/>
              <w:bottom w:val="single" w:sz="4" w:space="0" w:color="auto"/>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0.42</w:t>
            </w:r>
          </w:p>
        </w:tc>
        <w:tc>
          <w:tcPr>
            <w:tcW w:w="479" w:type="pct"/>
            <w:tcBorders>
              <w:top w:val="nil"/>
              <w:left w:val="single" w:sz="4" w:space="0" w:color="auto"/>
              <w:bottom w:val="single" w:sz="4" w:space="0" w:color="auto"/>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147.74</w:t>
            </w:r>
          </w:p>
        </w:tc>
        <w:tc>
          <w:tcPr>
            <w:tcW w:w="584" w:type="pct"/>
            <w:tcBorders>
              <w:top w:val="nil"/>
              <w:left w:val="nil"/>
              <w:bottom w:val="single" w:sz="4" w:space="0" w:color="auto"/>
              <w:right w:val="nil"/>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0.49</w:t>
            </w:r>
          </w:p>
        </w:tc>
      </w:tr>
      <w:tr w:rsidR="000C6613" w:rsidTr="00C52B09">
        <w:tc>
          <w:tcPr>
            <w:tcW w:w="548" w:type="pct"/>
            <w:tcBorders>
              <w:top w:val="single" w:sz="4" w:space="0" w:color="auto"/>
              <w:left w:val="nil"/>
              <w:bottom w:val="nil"/>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b/>
                <w:sz w:val="18"/>
                <w:szCs w:val="18"/>
                <w:lang w:eastAsia="en-GB"/>
              </w:rPr>
            </w:pPr>
            <w:r>
              <w:rPr>
                <w:rFonts w:eastAsia="Times New Roman"/>
                <w:b/>
                <w:sz w:val="18"/>
                <w:szCs w:val="18"/>
                <w:lang w:eastAsia="en-GB"/>
              </w:rPr>
              <w:t>OTCD</w:t>
            </w:r>
          </w:p>
        </w:tc>
        <w:tc>
          <w:tcPr>
            <w:tcW w:w="421" w:type="pct"/>
            <w:gridSpan w:val="2"/>
            <w:tcBorders>
              <w:top w:val="single" w:sz="4" w:space="0" w:color="auto"/>
              <w:left w:val="nil"/>
              <w:bottom w:val="nil"/>
              <w:right w:val="nil"/>
            </w:tcBorders>
            <w:noWrap/>
            <w:vAlign w:val="bottom"/>
          </w:tcPr>
          <w:p w:rsidR="000C6613" w:rsidRDefault="000C6613" w:rsidP="00C52B09">
            <w:pPr>
              <w:pStyle w:val="KBPSynopsis"/>
              <w:spacing w:before="100" w:beforeAutospacing="1" w:after="100" w:afterAutospacing="1" w:line="276" w:lineRule="auto"/>
              <w:rPr>
                <w:rFonts w:eastAsia="Times New Roman"/>
                <w:sz w:val="18"/>
                <w:szCs w:val="18"/>
                <w:lang w:eastAsia="en-GB"/>
              </w:rPr>
            </w:pPr>
          </w:p>
        </w:tc>
        <w:tc>
          <w:tcPr>
            <w:tcW w:w="441" w:type="pct"/>
            <w:tcBorders>
              <w:top w:val="single" w:sz="4" w:space="0" w:color="auto"/>
              <w:left w:val="nil"/>
              <w:bottom w:val="nil"/>
              <w:right w:val="single" w:sz="4" w:space="0" w:color="auto"/>
            </w:tcBorders>
            <w:noWrap/>
            <w:vAlign w:val="bottom"/>
          </w:tcPr>
          <w:p w:rsidR="000C6613" w:rsidRDefault="000C6613" w:rsidP="00C52B09">
            <w:pPr>
              <w:pStyle w:val="KBPSynopsis"/>
              <w:spacing w:before="100" w:beforeAutospacing="1" w:after="100" w:afterAutospacing="1" w:line="276" w:lineRule="auto"/>
              <w:rPr>
                <w:rFonts w:eastAsia="Times New Roman"/>
                <w:sz w:val="18"/>
                <w:szCs w:val="18"/>
                <w:lang w:eastAsia="en-GB"/>
              </w:rPr>
            </w:pPr>
          </w:p>
        </w:tc>
        <w:tc>
          <w:tcPr>
            <w:tcW w:w="470" w:type="pct"/>
            <w:tcBorders>
              <w:top w:val="single" w:sz="4" w:space="0" w:color="auto"/>
              <w:left w:val="single" w:sz="4" w:space="0" w:color="auto"/>
              <w:bottom w:val="nil"/>
              <w:right w:val="single" w:sz="4" w:space="0" w:color="auto"/>
            </w:tcBorders>
            <w:noWrap/>
            <w:vAlign w:val="bottom"/>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p>
        </w:tc>
        <w:tc>
          <w:tcPr>
            <w:tcW w:w="626" w:type="pct"/>
            <w:tcBorders>
              <w:top w:val="single" w:sz="4" w:space="0" w:color="auto"/>
              <w:left w:val="single" w:sz="4" w:space="0" w:color="auto"/>
              <w:bottom w:val="nil"/>
              <w:right w:val="nil"/>
            </w:tcBorders>
            <w:noWrap/>
            <w:vAlign w:val="bottom"/>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p>
        </w:tc>
        <w:tc>
          <w:tcPr>
            <w:tcW w:w="458" w:type="pct"/>
            <w:tcBorders>
              <w:top w:val="single" w:sz="4" w:space="0" w:color="auto"/>
              <w:left w:val="nil"/>
              <w:bottom w:val="nil"/>
              <w:right w:val="single" w:sz="4" w:space="0" w:color="auto"/>
            </w:tcBorders>
            <w:vAlign w:val="bottom"/>
          </w:tcPr>
          <w:p w:rsidR="000C6613" w:rsidRDefault="000C6613" w:rsidP="00C52B09">
            <w:pPr>
              <w:pStyle w:val="KBPSynopsis"/>
              <w:spacing w:before="100" w:beforeAutospacing="1" w:after="100" w:afterAutospacing="1" w:line="276" w:lineRule="auto"/>
              <w:rPr>
                <w:rFonts w:cs="Times New Roman"/>
                <w:color w:val="000000"/>
                <w:sz w:val="18"/>
                <w:szCs w:val="18"/>
              </w:rPr>
            </w:pPr>
          </w:p>
        </w:tc>
        <w:tc>
          <w:tcPr>
            <w:tcW w:w="492" w:type="pct"/>
            <w:tcBorders>
              <w:top w:val="single" w:sz="4" w:space="0" w:color="auto"/>
              <w:left w:val="single" w:sz="4" w:space="0" w:color="auto"/>
              <w:bottom w:val="nil"/>
              <w:right w:val="nil"/>
            </w:tcBorders>
            <w:vAlign w:val="bottom"/>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p>
        </w:tc>
        <w:tc>
          <w:tcPr>
            <w:tcW w:w="480" w:type="pct"/>
            <w:tcBorders>
              <w:top w:val="single" w:sz="4" w:space="0" w:color="auto"/>
              <w:left w:val="nil"/>
              <w:bottom w:val="nil"/>
              <w:right w:val="single" w:sz="4" w:space="0" w:color="auto"/>
            </w:tcBorders>
            <w:vAlign w:val="bottom"/>
          </w:tcPr>
          <w:p w:rsidR="000C6613" w:rsidRDefault="000C6613" w:rsidP="00C52B09">
            <w:pPr>
              <w:pStyle w:val="KBPSynopsis"/>
              <w:spacing w:before="100" w:beforeAutospacing="1" w:after="100" w:afterAutospacing="1" w:line="276" w:lineRule="auto"/>
              <w:rPr>
                <w:rFonts w:cs="Times New Roman"/>
                <w:color w:val="000000"/>
                <w:sz w:val="18"/>
                <w:szCs w:val="18"/>
              </w:rPr>
            </w:pPr>
          </w:p>
        </w:tc>
        <w:tc>
          <w:tcPr>
            <w:tcW w:w="479" w:type="pct"/>
            <w:tcBorders>
              <w:top w:val="single" w:sz="4" w:space="0" w:color="auto"/>
              <w:left w:val="single" w:sz="4" w:space="0" w:color="auto"/>
              <w:bottom w:val="nil"/>
              <w:right w:val="nil"/>
            </w:tcBorders>
            <w:vAlign w:val="bottom"/>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p>
        </w:tc>
        <w:tc>
          <w:tcPr>
            <w:tcW w:w="584" w:type="pct"/>
            <w:tcBorders>
              <w:top w:val="single" w:sz="4" w:space="0" w:color="auto"/>
              <w:left w:val="nil"/>
              <w:bottom w:val="nil"/>
              <w:right w:val="nil"/>
            </w:tcBorders>
            <w:vAlign w:val="bottom"/>
          </w:tcPr>
          <w:p w:rsidR="000C6613" w:rsidRDefault="000C6613" w:rsidP="00C52B09">
            <w:pPr>
              <w:pStyle w:val="KBPSynopsis"/>
              <w:spacing w:before="100" w:beforeAutospacing="1" w:after="100" w:afterAutospacing="1" w:line="276" w:lineRule="auto"/>
              <w:rPr>
                <w:rFonts w:cs="Times New Roman"/>
                <w:color w:val="000000"/>
                <w:sz w:val="18"/>
                <w:szCs w:val="18"/>
              </w:rPr>
            </w:pPr>
          </w:p>
        </w:tc>
      </w:tr>
      <w:tr w:rsidR="000C6613" w:rsidTr="00C52B09">
        <w:tc>
          <w:tcPr>
            <w:tcW w:w="548" w:type="pct"/>
            <w:noWrap/>
            <w:vAlign w:val="bottom"/>
          </w:tcPr>
          <w:p w:rsidR="000C6613" w:rsidRDefault="000C6613" w:rsidP="00C52B09">
            <w:pPr>
              <w:pStyle w:val="KBPSynopsis"/>
              <w:spacing w:before="100" w:beforeAutospacing="1" w:after="100" w:afterAutospacing="1" w:line="276" w:lineRule="auto"/>
              <w:rPr>
                <w:rFonts w:eastAsia="Times New Roman"/>
                <w:sz w:val="18"/>
                <w:szCs w:val="18"/>
                <w:lang w:eastAsia="en-GB"/>
              </w:rPr>
            </w:pPr>
          </w:p>
        </w:tc>
        <w:tc>
          <w:tcPr>
            <w:tcW w:w="421" w:type="pct"/>
            <w:gridSpan w:val="2"/>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 xml:space="preserve">L </w:t>
            </w:r>
          </w:p>
        </w:tc>
        <w:tc>
          <w:tcPr>
            <w:tcW w:w="441" w:type="pct"/>
            <w:tcBorders>
              <w:top w:val="nil"/>
              <w:left w:val="nil"/>
              <w:bottom w:val="nil"/>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1</w:t>
            </w:r>
          </w:p>
        </w:tc>
        <w:tc>
          <w:tcPr>
            <w:tcW w:w="470" w:type="pct"/>
            <w:tcBorders>
              <w:top w:val="nil"/>
              <w:left w:val="single" w:sz="4" w:space="0" w:color="auto"/>
              <w:bottom w:val="nil"/>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39.81</w:t>
            </w:r>
          </w:p>
        </w:tc>
        <w:tc>
          <w:tcPr>
            <w:tcW w:w="626" w:type="pct"/>
            <w:tcBorders>
              <w:top w:val="nil"/>
              <w:left w:val="single" w:sz="4" w:space="0" w:color="auto"/>
              <w:bottom w:val="nil"/>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41.01</w:t>
            </w:r>
          </w:p>
        </w:tc>
        <w:tc>
          <w:tcPr>
            <w:tcW w:w="458" w:type="pct"/>
            <w:tcBorders>
              <w:top w:val="nil"/>
              <w:left w:val="nil"/>
              <w:bottom w:val="nil"/>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1.3</w:t>
            </w:r>
          </w:p>
        </w:tc>
        <w:tc>
          <w:tcPr>
            <w:tcW w:w="492" w:type="pct"/>
            <w:tcBorders>
              <w:top w:val="nil"/>
              <w:left w:val="single" w:sz="4" w:space="0" w:color="auto"/>
              <w:bottom w:val="nil"/>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81.05</w:t>
            </w:r>
          </w:p>
        </w:tc>
        <w:tc>
          <w:tcPr>
            <w:tcW w:w="480" w:type="pct"/>
            <w:tcBorders>
              <w:top w:val="nil"/>
              <w:left w:val="nil"/>
              <w:bottom w:val="nil"/>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2.04</w:t>
            </w:r>
          </w:p>
        </w:tc>
        <w:tc>
          <w:tcPr>
            <w:tcW w:w="479" w:type="pct"/>
            <w:tcBorders>
              <w:top w:val="nil"/>
              <w:left w:val="single" w:sz="4" w:space="0" w:color="auto"/>
              <w:bottom w:val="nil"/>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30.51</w:t>
            </w:r>
          </w:p>
        </w:tc>
        <w:tc>
          <w:tcPr>
            <w:tcW w:w="584" w:type="pct"/>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0.77</w:t>
            </w:r>
          </w:p>
        </w:tc>
      </w:tr>
      <w:tr w:rsidR="000C6613" w:rsidTr="00C52B09">
        <w:tc>
          <w:tcPr>
            <w:tcW w:w="548" w:type="pct"/>
            <w:noWrap/>
            <w:vAlign w:val="bottom"/>
          </w:tcPr>
          <w:p w:rsidR="000C6613" w:rsidRDefault="000C6613" w:rsidP="00C52B09">
            <w:pPr>
              <w:pStyle w:val="KBPSynopsis"/>
              <w:spacing w:before="100" w:beforeAutospacing="1" w:after="100" w:afterAutospacing="1" w:line="276" w:lineRule="auto"/>
              <w:rPr>
                <w:rFonts w:eastAsia="Times New Roman"/>
                <w:sz w:val="18"/>
                <w:szCs w:val="18"/>
                <w:lang w:eastAsia="en-GB"/>
              </w:rPr>
            </w:pPr>
          </w:p>
        </w:tc>
        <w:tc>
          <w:tcPr>
            <w:tcW w:w="421" w:type="pct"/>
            <w:gridSpan w:val="2"/>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 xml:space="preserve">I. </w:t>
            </w:r>
          </w:p>
        </w:tc>
        <w:tc>
          <w:tcPr>
            <w:tcW w:w="441" w:type="pct"/>
            <w:tcBorders>
              <w:top w:val="nil"/>
              <w:left w:val="nil"/>
              <w:bottom w:val="nil"/>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1</w:t>
            </w:r>
          </w:p>
        </w:tc>
        <w:tc>
          <w:tcPr>
            <w:tcW w:w="470" w:type="pct"/>
            <w:tcBorders>
              <w:top w:val="nil"/>
              <w:left w:val="single" w:sz="4" w:space="0" w:color="auto"/>
              <w:bottom w:val="nil"/>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156.02</w:t>
            </w:r>
          </w:p>
        </w:tc>
        <w:tc>
          <w:tcPr>
            <w:tcW w:w="626" w:type="pct"/>
            <w:tcBorders>
              <w:top w:val="nil"/>
              <w:left w:val="single" w:sz="4" w:space="0" w:color="auto"/>
              <w:bottom w:val="nil"/>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ND</w:t>
            </w:r>
          </w:p>
        </w:tc>
        <w:tc>
          <w:tcPr>
            <w:tcW w:w="458" w:type="pct"/>
            <w:tcBorders>
              <w:top w:val="nil"/>
              <w:left w:val="nil"/>
              <w:bottom w:val="nil"/>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ND</w:t>
            </w:r>
          </w:p>
        </w:tc>
        <w:tc>
          <w:tcPr>
            <w:tcW w:w="492" w:type="pct"/>
            <w:tcBorders>
              <w:top w:val="nil"/>
              <w:left w:val="single" w:sz="4" w:space="0" w:color="auto"/>
              <w:bottom w:val="nil"/>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168.27</w:t>
            </w:r>
          </w:p>
        </w:tc>
        <w:tc>
          <w:tcPr>
            <w:tcW w:w="480" w:type="pct"/>
            <w:tcBorders>
              <w:top w:val="nil"/>
              <w:left w:val="nil"/>
              <w:bottom w:val="nil"/>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1.08</w:t>
            </w:r>
          </w:p>
        </w:tc>
        <w:tc>
          <w:tcPr>
            <w:tcW w:w="479" w:type="pct"/>
            <w:tcBorders>
              <w:top w:val="nil"/>
              <w:left w:val="single" w:sz="4" w:space="0" w:color="auto"/>
              <w:bottom w:val="nil"/>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62.67</w:t>
            </w:r>
          </w:p>
        </w:tc>
        <w:tc>
          <w:tcPr>
            <w:tcW w:w="584" w:type="pct"/>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0.40</w:t>
            </w:r>
          </w:p>
        </w:tc>
      </w:tr>
      <w:tr w:rsidR="000C6613" w:rsidTr="00C52B09">
        <w:tc>
          <w:tcPr>
            <w:tcW w:w="548" w:type="pct"/>
            <w:noWrap/>
            <w:vAlign w:val="bottom"/>
          </w:tcPr>
          <w:p w:rsidR="000C6613" w:rsidRDefault="000C6613" w:rsidP="00C52B09">
            <w:pPr>
              <w:pStyle w:val="KBPSynopsis"/>
              <w:spacing w:before="100" w:beforeAutospacing="1" w:after="100" w:afterAutospacing="1" w:line="276" w:lineRule="auto"/>
              <w:rPr>
                <w:rFonts w:eastAsia="Times New Roman"/>
                <w:sz w:val="18"/>
                <w:szCs w:val="18"/>
                <w:lang w:eastAsia="en-GB"/>
              </w:rPr>
            </w:pPr>
          </w:p>
        </w:tc>
        <w:tc>
          <w:tcPr>
            <w:tcW w:w="421" w:type="pct"/>
            <w:gridSpan w:val="2"/>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 xml:space="preserve">H </w:t>
            </w:r>
          </w:p>
        </w:tc>
        <w:tc>
          <w:tcPr>
            <w:tcW w:w="441" w:type="pct"/>
            <w:tcBorders>
              <w:top w:val="nil"/>
              <w:left w:val="nil"/>
              <w:bottom w:val="nil"/>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1</w:t>
            </w:r>
          </w:p>
        </w:tc>
        <w:tc>
          <w:tcPr>
            <w:tcW w:w="470" w:type="pct"/>
            <w:tcBorders>
              <w:top w:val="nil"/>
              <w:left w:val="single" w:sz="4" w:space="0" w:color="auto"/>
              <w:bottom w:val="nil"/>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5.67</w:t>
            </w:r>
          </w:p>
        </w:tc>
        <w:tc>
          <w:tcPr>
            <w:tcW w:w="626" w:type="pct"/>
            <w:tcBorders>
              <w:top w:val="nil"/>
              <w:left w:val="single" w:sz="4" w:space="0" w:color="auto"/>
              <w:bottom w:val="nil"/>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18.99</w:t>
            </w:r>
          </w:p>
        </w:tc>
        <w:tc>
          <w:tcPr>
            <w:tcW w:w="458" w:type="pct"/>
            <w:tcBorders>
              <w:top w:val="nil"/>
              <w:left w:val="nil"/>
              <w:bottom w:val="nil"/>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3.35</w:t>
            </w:r>
          </w:p>
        </w:tc>
        <w:tc>
          <w:tcPr>
            <w:tcW w:w="492" w:type="pct"/>
            <w:tcBorders>
              <w:top w:val="nil"/>
              <w:left w:val="single" w:sz="4" w:space="0" w:color="auto"/>
              <w:bottom w:val="nil"/>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21.63</w:t>
            </w:r>
          </w:p>
        </w:tc>
        <w:tc>
          <w:tcPr>
            <w:tcW w:w="480" w:type="pct"/>
            <w:tcBorders>
              <w:top w:val="nil"/>
              <w:left w:val="nil"/>
              <w:bottom w:val="nil"/>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3.81</w:t>
            </w:r>
          </w:p>
        </w:tc>
        <w:tc>
          <w:tcPr>
            <w:tcW w:w="479" w:type="pct"/>
            <w:tcBorders>
              <w:top w:val="nil"/>
              <w:left w:val="single" w:sz="4" w:space="0" w:color="auto"/>
              <w:bottom w:val="nil"/>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13.01</w:t>
            </w:r>
          </w:p>
        </w:tc>
        <w:tc>
          <w:tcPr>
            <w:tcW w:w="584" w:type="pct"/>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2.29</w:t>
            </w:r>
          </w:p>
        </w:tc>
      </w:tr>
      <w:tr w:rsidR="000C6613" w:rsidTr="00C52B09">
        <w:tc>
          <w:tcPr>
            <w:tcW w:w="548" w:type="pct"/>
            <w:noWrap/>
            <w:vAlign w:val="bottom"/>
          </w:tcPr>
          <w:p w:rsidR="000C6613" w:rsidRDefault="000C6613" w:rsidP="00C52B09">
            <w:pPr>
              <w:pStyle w:val="KBPSynopsis"/>
              <w:spacing w:before="100" w:beforeAutospacing="1" w:after="100" w:afterAutospacing="1" w:line="276" w:lineRule="auto"/>
              <w:rPr>
                <w:rFonts w:eastAsia="Times New Roman"/>
                <w:sz w:val="18"/>
                <w:szCs w:val="18"/>
                <w:lang w:eastAsia="en-GB"/>
              </w:rPr>
            </w:pPr>
          </w:p>
        </w:tc>
        <w:tc>
          <w:tcPr>
            <w:tcW w:w="421" w:type="pct"/>
            <w:gridSpan w:val="2"/>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I.</w:t>
            </w:r>
          </w:p>
        </w:tc>
        <w:tc>
          <w:tcPr>
            <w:tcW w:w="441" w:type="pct"/>
            <w:tcBorders>
              <w:top w:val="nil"/>
              <w:left w:val="nil"/>
              <w:bottom w:val="nil"/>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1</w:t>
            </w:r>
          </w:p>
        </w:tc>
        <w:tc>
          <w:tcPr>
            <w:tcW w:w="470" w:type="pct"/>
            <w:tcBorders>
              <w:top w:val="nil"/>
              <w:left w:val="single" w:sz="4" w:space="0" w:color="auto"/>
              <w:bottom w:val="nil"/>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4.25</w:t>
            </w:r>
          </w:p>
        </w:tc>
        <w:tc>
          <w:tcPr>
            <w:tcW w:w="626" w:type="pct"/>
            <w:tcBorders>
              <w:top w:val="nil"/>
              <w:left w:val="single" w:sz="4" w:space="0" w:color="auto"/>
              <w:bottom w:val="nil"/>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7.88</w:t>
            </w:r>
          </w:p>
        </w:tc>
        <w:tc>
          <w:tcPr>
            <w:tcW w:w="458" w:type="pct"/>
            <w:tcBorders>
              <w:top w:val="nil"/>
              <w:left w:val="nil"/>
              <w:bottom w:val="nil"/>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1.86</w:t>
            </w:r>
          </w:p>
        </w:tc>
        <w:tc>
          <w:tcPr>
            <w:tcW w:w="492" w:type="pct"/>
            <w:tcBorders>
              <w:top w:val="nil"/>
              <w:left w:val="single" w:sz="4" w:space="0" w:color="auto"/>
              <w:bottom w:val="nil"/>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7.79</w:t>
            </w:r>
          </w:p>
        </w:tc>
        <w:tc>
          <w:tcPr>
            <w:tcW w:w="480" w:type="pct"/>
            <w:tcBorders>
              <w:top w:val="nil"/>
              <w:left w:val="nil"/>
              <w:bottom w:val="nil"/>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1.83</w:t>
            </w:r>
          </w:p>
        </w:tc>
        <w:tc>
          <w:tcPr>
            <w:tcW w:w="479" w:type="pct"/>
            <w:tcBorders>
              <w:top w:val="nil"/>
              <w:left w:val="single" w:sz="4" w:space="0" w:color="auto"/>
              <w:bottom w:val="nil"/>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3.48</w:t>
            </w:r>
          </w:p>
        </w:tc>
        <w:tc>
          <w:tcPr>
            <w:tcW w:w="584" w:type="pct"/>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0.82</w:t>
            </w:r>
          </w:p>
        </w:tc>
      </w:tr>
      <w:tr w:rsidR="000C6613" w:rsidTr="00C52B09">
        <w:tc>
          <w:tcPr>
            <w:tcW w:w="548" w:type="pct"/>
            <w:noWrap/>
            <w:vAlign w:val="bottom"/>
          </w:tcPr>
          <w:p w:rsidR="000C6613" w:rsidRDefault="000C6613" w:rsidP="00C52B09">
            <w:pPr>
              <w:pStyle w:val="KBPSynopsis"/>
              <w:spacing w:before="100" w:beforeAutospacing="1" w:after="100" w:afterAutospacing="1" w:line="276" w:lineRule="auto"/>
              <w:rPr>
                <w:rFonts w:eastAsia="Times New Roman"/>
                <w:sz w:val="18"/>
                <w:szCs w:val="18"/>
                <w:lang w:eastAsia="en-GB"/>
              </w:rPr>
            </w:pPr>
          </w:p>
        </w:tc>
        <w:tc>
          <w:tcPr>
            <w:tcW w:w="421" w:type="pct"/>
            <w:gridSpan w:val="2"/>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H</w:t>
            </w:r>
          </w:p>
        </w:tc>
        <w:tc>
          <w:tcPr>
            <w:tcW w:w="441" w:type="pct"/>
            <w:tcBorders>
              <w:top w:val="nil"/>
              <w:left w:val="nil"/>
              <w:bottom w:val="nil"/>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1</w:t>
            </w:r>
          </w:p>
        </w:tc>
        <w:tc>
          <w:tcPr>
            <w:tcW w:w="470" w:type="pct"/>
            <w:tcBorders>
              <w:top w:val="nil"/>
              <w:left w:val="single" w:sz="4" w:space="0" w:color="auto"/>
              <w:bottom w:val="nil"/>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25.70</w:t>
            </w:r>
          </w:p>
        </w:tc>
        <w:tc>
          <w:tcPr>
            <w:tcW w:w="626" w:type="pct"/>
            <w:tcBorders>
              <w:top w:val="nil"/>
              <w:left w:val="single" w:sz="4" w:space="0" w:color="auto"/>
              <w:bottom w:val="nil"/>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41.79</w:t>
            </w:r>
          </w:p>
        </w:tc>
        <w:tc>
          <w:tcPr>
            <w:tcW w:w="458" w:type="pct"/>
            <w:tcBorders>
              <w:top w:val="nil"/>
              <w:left w:val="nil"/>
              <w:bottom w:val="nil"/>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1.63</w:t>
            </w:r>
          </w:p>
        </w:tc>
        <w:tc>
          <w:tcPr>
            <w:tcW w:w="492" w:type="pct"/>
            <w:tcBorders>
              <w:top w:val="nil"/>
              <w:left w:val="single" w:sz="4" w:space="0" w:color="auto"/>
              <w:bottom w:val="nil"/>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ND</w:t>
            </w:r>
          </w:p>
        </w:tc>
        <w:tc>
          <w:tcPr>
            <w:tcW w:w="480" w:type="pct"/>
            <w:tcBorders>
              <w:top w:val="nil"/>
              <w:left w:val="nil"/>
              <w:bottom w:val="nil"/>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ND</w:t>
            </w:r>
          </w:p>
        </w:tc>
        <w:tc>
          <w:tcPr>
            <w:tcW w:w="479" w:type="pct"/>
            <w:tcBorders>
              <w:top w:val="nil"/>
              <w:left w:val="single" w:sz="4" w:space="0" w:color="auto"/>
              <w:bottom w:val="nil"/>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54.38</w:t>
            </w:r>
          </w:p>
        </w:tc>
        <w:tc>
          <w:tcPr>
            <w:tcW w:w="584" w:type="pct"/>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2.12</w:t>
            </w:r>
          </w:p>
        </w:tc>
      </w:tr>
      <w:tr w:rsidR="000C6613" w:rsidTr="00C52B09">
        <w:tc>
          <w:tcPr>
            <w:tcW w:w="548" w:type="pct"/>
            <w:noWrap/>
            <w:vAlign w:val="bottom"/>
          </w:tcPr>
          <w:p w:rsidR="000C6613" w:rsidRDefault="000C6613" w:rsidP="00C52B09">
            <w:pPr>
              <w:pStyle w:val="KBPSynopsis"/>
              <w:spacing w:before="100" w:beforeAutospacing="1" w:after="100" w:afterAutospacing="1" w:line="276" w:lineRule="auto"/>
              <w:rPr>
                <w:rFonts w:eastAsia="Times New Roman"/>
                <w:sz w:val="18"/>
                <w:szCs w:val="18"/>
                <w:lang w:eastAsia="en-GB"/>
              </w:rPr>
            </w:pPr>
          </w:p>
        </w:tc>
        <w:tc>
          <w:tcPr>
            <w:tcW w:w="421" w:type="pct"/>
            <w:gridSpan w:val="2"/>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H</w:t>
            </w:r>
          </w:p>
        </w:tc>
        <w:tc>
          <w:tcPr>
            <w:tcW w:w="441" w:type="pct"/>
            <w:tcBorders>
              <w:top w:val="nil"/>
              <w:left w:val="nil"/>
              <w:bottom w:val="nil"/>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1</w:t>
            </w:r>
          </w:p>
        </w:tc>
        <w:tc>
          <w:tcPr>
            <w:tcW w:w="470" w:type="pct"/>
            <w:tcBorders>
              <w:top w:val="nil"/>
              <w:left w:val="single" w:sz="4" w:space="0" w:color="auto"/>
              <w:bottom w:val="nil"/>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36.83</w:t>
            </w:r>
          </w:p>
        </w:tc>
        <w:tc>
          <w:tcPr>
            <w:tcW w:w="626" w:type="pct"/>
            <w:tcBorders>
              <w:top w:val="nil"/>
              <w:left w:val="single" w:sz="4" w:space="0" w:color="auto"/>
              <w:bottom w:val="nil"/>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44.84</w:t>
            </w:r>
          </w:p>
        </w:tc>
        <w:tc>
          <w:tcPr>
            <w:tcW w:w="458" w:type="pct"/>
            <w:tcBorders>
              <w:top w:val="nil"/>
              <w:left w:val="nil"/>
              <w:bottom w:val="nil"/>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1.22</w:t>
            </w:r>
          </w:p>
        </w:tc>
        <w:tc>
          <w:tcPr>
            <w:tcW w:w="492" w:type="pct"/>
            <w:tcBorders>
              <w:top w:val="nil"/>
              <w:left w:val="single" w:sz="4" w:space="0" w:color="auto"/>
              <w:bottom w:val="nil"/>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33.17</w:t>
            </w:r>
          </w:p>
        </w:tc>
        <w:tc>
          <w:tcPr>
            <w:tcW w:w="480" w:type="pct"/>
            <w:tcBorders>
              <w:top w:val="nil"/>
              <w:left w:val="nil"/>
              <w:bottom w:val="nil"/>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0.90</w:t>
            </w:r>
          </w:p>
        </w:tc>
        <w:tc>
          <w:tcPr>
            <w:tcW w:w="479" w:type="pct"/>
            <w:tcBorders>
              <w:top w:val="nil"/>
              <w:left w:val="single" w:sz="4" w:space="0" w:color="auto"/>
              <w:bottom w:val="nil"/>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31.41</w:t>
            </w:r>
          </w:p>
        </w:tc>
        <w:tc>
          <w:tcPr>
            <w:tcW w:w="584" w:type="pct"/>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0.85</w:t>
            </w:r>
          </w:p>
        </w:tc>
      </w:tr>
      <w:tr w:rsidR="000C6613" w:rsidTr="00C52B09">
        <w:tc>
          <w:tcPr>
            <w:tcW w:w="548" w:type="pct"/>
            <w:noWrap/>
            <w:vAlign w:val="bottom"/>
          </w:tcPr>
          <w:p w:rsidR="000C6613" w:rsidRDefault="000C6613" w:rsidP="00C52B09">
            <w:pPr>
              <w:pStyle w:val="KBPSynopsis"/>
              <w:spacing w:before="100" w:beforeAutospacing="1" w:after="100" w:afterAutospacing="1" w:line="276" w:lineRule="auto"/>
              <w:rPr>
                <w:rFonts w:eastAsia="Times New Roman"/>
                <w:sz w:val="18"/>
                <w:szCs w:val="18"/>
                <w:lang w:eastAsia="en-GB"/>
              </w:rPr>
            </w:pPr>
          </w:p>
        </w:tc>
        <w:tc>
          <w:tcPr>
            <w:tcW w:w="421" w:type="pct"/>
            <w:gridSpan w:val="2"/>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I.</w:t>
            </w:r>
          </w:p>
        </w:tc>
        <w:tc>
          <w:tcPr>
            <w:tcW w:w="441" w:type="pct"/>
            <w:tcBorders>
              <w:top w:val="nil"/>
              <w:left w:val="nil"/>
              <w:bottom w:val="nil"/>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2</w:t>
            </w:r>
          </w:p>
        </w:tc>
        <w:tc>
          <w:tcPr>
            <w:tcW w:w="470" w:type="pct"/>
            <w:tcBorders>
              <w:top w:val="nil"/>
              <w:left w:val="single" w:sz="4" w:space="0" w:color="auto"/>
              <w:bottom w:val="nil"/>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U</w:t>
            </w:r>
          </w:p>
        </w:tc>
        <w:tc>
          <w:tcPr>
            <w:tcW w:w="626" w:type="pct"/>
            <w:tcBorders>
              <w:top w:val="nil"/>
              <w:left w:val="single" w:sz="4" w:space="0" w:color="auto"/>
              <w:bottom w:val="nil"/>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282.06</w:t>
            </w:r>
          </w:p>
        </w:tc>
        <w:tc>
          <w:tcPr>
            <w:tcW w:w="458" w:type="pct"/>
            <w:tcBorders>
              <w:top w:val="nil"/>
              <w:left w:val="nil"/>
              <w:bottom w:val="nil"/>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U</w:t>
            </w:r>
          </w:p>
        </w:tc>
        <w:tc>
          <w:tcPr>
            <w:tcW w:w="492" w:type="pct"/>
            <w:tcBorders>
              <w:top w:val="nil"/>
              <w:left w:val="single" w:sz="4" w:space="0" w:color="auto"/>
              <w:bottom w:val="nil"/>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DO</w:t>
            </w:r>
          </w:p>
        </w:tc>
        <w:tc>
          <w:tcPr>
            <w:tcW w:w="480" w:type="pct"/>
            <w:tcBorders>
              <w:top w:val="nil"/>
              <w:left w:val="nil"/>
              <w:bottom w:val="nil"/>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DO</w:t>
            </w:r>
          </w:p>
        </w:tc>
        <w:tc>
          <w:tcPr>
            <w:tcW w:w="479" w:type="pct"/>
            <w:tcBorders>
              <w:top w:val="nil"/>
              <w:left w:val="single" w:sz="4" w:space="0" w:color="auto"/>
              <w:bottom w:val="nil"/>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DO</w:t>
            </w:r>
          </w:p>
        </w:tc>
        <w:tc>
          <w:tcPr>
            <w:tcW w:w="584" w:type="pct"/>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DO</w:t>
            </w:r>
          </w:p>
        </w:tc>
      </w:tr>
      <w:tr w:rsidR="000C6613" w:rsidTr="00C52B09">
        <w:tc>
          <w:tcPr>
            <w:tcW w:w="548" w:type="pct"/>
            <w:noWrap/>
            <w:vAlign w:val="bottom"/>
          </w:tcPr>
          <w:p w:rsidR="000C6613" w:rsidRDefault="000C6613" w:rsidP="00C52B09">
            <w:pPr>
              <w:pStyle w:val="KBPSynopsis"/>
              <w:spacing w:before="100" w:beforeAutospacing="1" w:after="100" w:afterAutospacing="1" w:line="276" w:lineRule="auto"/>
              <w:rPr>
                <w:rFonts w:eastAsia="Times New Roman"/>
                <w:sz w:val="18"/>
                <w:szCs w:val="18"/>
                <w:lang w:eastAsia="en-GB"/>
              </w:rPr>
            </w:pPr>
          </w:p>
        </w:tc>
        <w:tc>
          <w:tcPr>
            <w:tcW w:w="421" w:type="pct"/>
            <w:gridSpan w:val="2"/>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 xml:space="preserve">L </w:t>
            </w:r>
          </w:p>
        </w:tc>
        <w:tc>
          <w:tcPr>
            <w:tcW w:w="441" w:type="pct"/>
            <w:tcBorders>
              <w:top w:val="nil"/>
              <w:left w:val="nil"/>
              <w:bottom w:val="nil"/>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3</w:t>
            </w:r>
          </w:p>
        </w:tc>
        <w:tc>
          <w:tcPr>
            <w:tcW w:w="470" w:type="pct"/>
            <w:tcBorders>
              <w:top w:val="nil"/>
              <w:left w:val="single" w:sz="4" w:space="0" w:color="auto"/>
              <w:bottom w:val="nil"/>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26.66</w:t>
            </w:r>
          </w:p>
        </w:tc>
        <w:tc>
          <w:tcPr>
            <w:tcW w:w="626" w:type="pct"/>
            <w:tcBorders>
              <w:top w:val="nil"/>
              <w:left w:val="single" w:sz="4" w:space="0" w:color="auto"/>
              <w:bottom w:val="nil"/>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66.57</w:t>
            </w:r>
          </w:p>
        </w:tc>
        <w:tc>
          <w:tcPr>
            <w:tcW w:w="458" w:type="pct"/>
            <w:tcBorders>
              <w:top w:val="nil"/>
              <w:left w:val="nil"/>
              <w:bottom w:val="nil"/>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2.50</w:t>
            </w:r>
          </w:p>
        </w:tc>
        <w:tc>
          <w:tcPr>
            <w:tcW w:w="492" w:type="pct"/>
            <w:tcBorders>
              <w:top w:val="nil"/>
              <w:left w:val="single" w:sz="4" w:space="0" w:color="auto"/>
              <w:bottom w:val="nil"/>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189.68</w:t>
            </w:r>
          </w:p>
        </w:tc>
        <w:tc>
          <w:tcPr>
            <w:tcW w:w="480" w:type="pct"/>
            <w:tcBorders>
              <w:top w:val="nil"/>
              <w:left w:val="nil"/>
              <w:bottom w:val="nil"/>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7.12</w:t>
            </w:r>
          </w:p>
        </w:tc>
        <w:tc>
          <w:tcPr>
            <w:tcW w:w="479" w:type="pct"/>
            <w:tcBorders>
              <w:top w:val="nil"/>
              <w:left w:val="single" w:sz="4" w:space="0" w:color="auto"/>
              <w:bottom w:val="nil"/>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37.83</w:t>
            </w:r>
          </w:p>
        </w:tc>
        <w:tc>
          <w:tcPr>
            <w:tcW w:w="584" w:type="pct"/>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1.38</w:t>
            </w:r>
          </w:p>
        </w:tc>
      </w:tr>
      <w:tr w:rsidR="000C6613" w:rsidTr="00C52B09">
        <w:tc>
          <w:tcPr>
            <w:tcW w:w="548" w:type="pct"/>
            <w:tcBorders>
              <w:top w:val="nil"/>
              <w:left w:val="nil"/>
              <w:bottom w:val="single" w:sz="4" w:space="0" w:color="auto"/>
              <w:right w:val="nil"/>
            </w:tcBorders>
            <w:noWrap/>
            <w:vAlign w:val="bottom"/>
          </w:tcPr>
          <w:p w:rsidR="000C6613" w:rsidRDefault="000C6613" w:rsidP="00C52B09">
            <w:pPr>
              <w:pStyle w:val="KBPSynopsis"/>
              <w:spacing w:before="100" w:beforeAutospacing="1" w:after="100" w:afterAutospacing="1" w:line="276" w:lineRule="auto"/>
              <w:rPr>
                <w:rFonts w:eastAsia="Times New Roman"/>
                <w:sz w:val="18"/>
                <w:szCs w:val="18"/>
                <w:lang w:eastAsia="en-GB"/>
              </w:rPr>
            </w:pPr>
          </w:p>
        </w:tc>
        <w:tc>
          <w:tcPr>
            <w:tcW w:w="421" w:type="pct"/>
            <w:gridSpan w:val="2"/>
            <w:tcBorders>
              <w:top w:val="nil"/>
              <w:left w:val="nil"/>
              <w:bottom w:val="single" w:sz="4" w:space="0" w:color="auto"/>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H</w:t>
            </w:r>
          </w:p>
        </w:tc>
        <w:tc>
          <w:tcPr>
            <w:tcW w:w="441" w:type="pct"/>
            <w:tcBorders>
              <w:top w:val="nil"/>
              <w:left w:val="nil"/>
              <w:bottom w:val="single" w:sz="4" w:space="0" w:color="auto"/>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3</w:t>
            </w:r>
          </w:p>
        </w:tc>
        <w:tc>
          <w:tcPr>
            <w:tcW w:w="470" w:type="pct"/>
            <w:tcBorders>
              <w:top w:val="nil"/>
              <w:left w:val="single" w:sz="4" w:space="0" w:color="auto"/>
              <w:bottom w:val="single" w:sz="4" w:space="0" w:color="auto"/>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ND</w:t>
            </w:r>
          </w:p>
        </w:tc>
        <w:tc>
          <w:tcPr>
            <w:tcW w:w="626" w:type="pct"/>
            <w:tcBorders>
              <w:top w:val="nil"/>
              <w:left w:val="single" w:sz="4" w:space="0" w:color="auto"/>
              <w:bottom w:val="single" w:sz="4" w:space="0" w:color="auto"/>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7.56</w:t>
            </w:r>
          </w:p>
        </w:tc>
        <w:tc>
          <w:tcPr>
            <w:tcW w:w="458" w:type="pct"/>
            <w:tcBorders>
              <w:top w:val="nil"/>
              <w:left w:val="nil"/>
              <w:bottom w:val="single" w:sz="4" w:space="0" w:color="auto"/>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U</w:t>
            </w:r>
          </w:p>
        </w:tc>
        <w:tc>
          <w:tcPr>
            <w:tcW w:w="492" w:type="pct"/>
            <w:tcBorders>
              <w:top w:val="nil"/>
              <w:left w:val="single" w:sz="4" w:space="0" w:color="auto"/>
              <w:bottom w:val="single" w:sz="4" w:space="0" w:color="auto"/>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19.35</w:t>
            </w:r>
          </w:p>
        </w:tc>
        <w:tc>
          <w:tcPr>
            <w:tcW w:w="480" w:type="pct"/>
            <w:tcBorders>
              <w:top w:val="nil"/>
              <w:left w:val="nil"/>
              <w:bottom w:val="single" w:sz="4" w:space="0" w:color="auto"/>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U</w:t>
            </w:r>
          </w:p>
        </w:tc>
        <w:tc>
          <w:tcPr>
            <w:tcW w:w="479" w:type="pct"/>
            <w:tcBorders>
              <w:top w:val="nil"/>
              <w:left w:val="single" w:sz="4" w:space="0" w:color="auto"/>
              <w:bottom w:val="single" w:sz="4" w:space="0" w:color="auto"/>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U</w:t>
            </w:r>
          </w:p>
        </w:tc>
        <w:tc>
          <w:tcPr>
            <w:tcW w:w="584" w:type="pct"/>
            <w:tcBorders>
              <w:top w:val="nil"/>
              <w:left w:val="nil"/>
              <w:bottom w:val="single" w:sz="4" w:space="0" w:color="auto"/>
              <w:right w:val="nil"/>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U</w:t>
            </w:r>
          </w:p>
        </w:tc>
      </w:tr>
      <w:tr w:rsidR="000C6613" w:rsidTr="00C52B09">
        <w:tc>
          <w:tcPr>
            <w:tcW w:w="548" w:type="pct"/>
            <w:tcBorders>
              <w:top w:val="single" w:sz="4" w:space="0" w:color="auto"/>
              <w:left w:val="nil"/>
              <w:bottom w:val="nil"/>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b/>
                <w:sz w:val="18"/>
                <w:szCs w:val="18"/>
                <w:lang w:eastAsia="en-GB"/>
              </w:rPr>
            </w:pPr>
            <w:r>
              <w:rPr>
                <w:rFonts w:eastAsia="Times New Roman"/>
                <w:b/>
                <w:sz w:val="18"/>
                <w:szCs w:val="18"/>
                <w:lang w:eastAsia="en-GB"/>
              </w:rPr>
              <w:t>ASLD</w:t>
            </w:r>
          </w:p>
        </w:tc>
        <w:tc>
          <w:tcPr>
            <w:tcW w:w="421" w:type="pct"/>
            <w:gridSpan w:val="2"/>
            <w:tcBorders>
              <w:top w:val="single" w:sz="4" w:space="0" w:color="auto"/>
              <w:left w:val="nil"/>
              <w:bottom w:val="nil"/>
              <w:right w:val="nil"/>
            </w:tcBorders>
            <w:noWrap/>
            <w:vAlign w:val="bottom"/>
          </w:tcPr>
          <w:p w:rsidR="000C6613" w:rsidRDefault="000C6613" w:rsidP="00C52B09">
            <w:pPr>
              <w:pStyle w:val="KBPSynopsis"/>
              <w:spacing w:before="100" w:beforeAutospacing="1" w:after="100" w:afterAutospacing="1" w:line="276" w:lineRule="auto"/>
              <w:rPr>
                <w:rFonts w:eastAsia="Times New Roman"/>
                <w:sz w:val="18"/>
                <w:szCs w:val="18"/>
                <w:lang w:eastAsia="en-GB"/>
              </w:rPr>
            </w:pPr>
          </w:p>
        </w:tc>
        <w:tc>
          <w:tcPr>
            <w:tcW w:w="441" w:type="pct"/>
            <w:tcBorders>
              <w:top w:val="single" w:sz="4" w:space="0" w:color="auto"/>
              <w:left w:val="nil"/>
              <w:bottom w:val="nil"/>
              <w:right w:val="single" w:sz="4" w:space="0" w:color="auto"/>
            </w:tcBorders>
            <w:noWrap/>
            <w:vAlign w:val="bottom"/>
          </w:tcPr>
          <w:p w:rsidR="000C6613" w:rsidRDefault="000C6613" w:rsidP="00C52B09">
            <w:pPr>
              <w:pStyle w:val="KBPSynopsis"/>
              <w:spacing w:before="100" w:beforeAutospacing="1" w:after="100" w:afterAutospacing="1" w:line="276" w:lineRule="auto"/>
              <w:rPr>
                <w:rFonts w:eastAsia="Times New Roman"/>
                <w:sz w:val="18"/>
                <w:szCs w:val="18"/>
                <w:lang w:eastAsia="en-GB"/>
              </w:rPr>
            </w:pPr>
          </w:p>
        </w:tc>
        <w:tc>
          <w:tcPr>
            <w:tcW w:w="470" w:type="pct"/>
            <w:tcBorders>
              <w:top w:val="single" w:sz="4" w:space="0" w:color="auto"/>
              <w:left w:val="single" w:sz="4" w:space="0" w:color="auto"/>
              <w:bottom w:val="nil"/>
              <w:right w:val="single" w:sz="4" w:space="0" w:color="auto"/>
            </w:tcBorders>
            <w:noWrap/>
            <w:vAlign w:val="bottom"/>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p>
        </w:tc>
        <w:tc>
          <w:tcPr>
            <w:tcW w:w="626" w:type="pct"/>
            <w:tcBorders>
              <w:top w:val="single" w:sz="4" w:space="0" w:color="auto"/>
              <w:left w:val="single" w:sz="4" w:space="0" w:color="auto"/>
              <w:bottom w:val="nil"/>
              <w:right w:val="nil"/>
            </w:tcBorders>
            <w:noWrap/>
            <w:vAlign w:val="bottom"/>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p>
        </w:tc>
        <w:tc>
          <w:tcPr>
            <w:tcW w:w="458" w:type="pct"/>
            <w:tcBorders>
              <w:top w:val="single" w:sz="4" w:space="0" w:color="auto"/>
              <w:left w:val="nil"/>
              <w:bottom w:val="nil"/>
              <w:right w:val="single" w:sz="4" w:space="0" w:color="auto"/>
            </w:tcBorders>
            <w:vAlign w:val="bottom"/>
          </w:tcPr>
          <w:p w:rsidR="000C6613" w:rsidRDefault="000C6613" w:rsidP="00C52B09">
            <w:pPr>
              <w:pStyle w:val="KBPSynopsis"/>
              <w:spacing w:before="100" w:beforeAutospacing="1" w:after="100" w:afterAutospacing="1" w:line="276" w:lineRule="auto"/>
              <w:rPr>
                <w:rFonts w:cs="Times New Roman"/>
                <w:color w:val="000000"/>
                <w:sz w:val="18"/>
                <w:szCs w:val="18"/>
              </w:rPr>
            </w:pPr>
          </w:p>
        </w:tc>
        <w:tc>
          <w:tcPr>
            <w:tcW w:w="492" w:type="pct"/>
            <w:tcBorders>
              <w:top w:val="single" w:sz="4" w:space="0" w:color="auto"/>
              <w:left w:val="single" w:sz="4" w:space="0" w:color="auto"/>
              <w:bottom w:val="nil"/>
              <w:right w:val="nil"/>
            </w:tcBorders>
            <w:vAlign w:val="bottom"/>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p>
        </w:tc>
        <w:tc>
          <w:tcPr>
            <w:tcW w:w="480" w:type="pct"/>
            <w:tcBorders>
              <w:top w:val="single" w:sz="4" w:space="0" w:color="auto"/>
              <w:left w:val="nil"/>
              <w:bottom w:val="nil"/>
              <w:right w:val="single" w:sz="4" w:space="0" w:color="auto"/>
            </w:tcBorders>
            <w:vAlign w:val="bottom"/>
          </w:tcPr>
          <w:p w:rsidR="000C6613" w:rsidRDefault="000C6613" w:rsidP="00C52B09">
            <w:pPr>
              <w:pStyle w:val="KBPSynopsis"/>
              <w:spacing w:before="100" w:beforeAutospacing="1" w:after="100" w:afterAutospacing="1" w:line="276" w:lineRule="auto"/>
              <w:rPr>
                <w:rFonts w:cs="Times New Roman"/>
                <w:color w:val="000000"/>
                <w:sz w:val="18"/>
                <w:szCs w:val="18"/>
              </w:rPr>
            </w:pPr>
          </w:p>
        </w:tc>
        <w:tc>
          <w:tcPr>
            <w:tcW w:w="479" w:type="pct"/>
            <w:tcBorders>
              <w:top w:val="single" w:sz="4" w:space="0" w:color="auto"/>
              <w:left w:val="single" w:sz="4" w:space="0" w:color="auto"/>
              <w:bottom w:val="nil"/>
              <w:right w:val="nil"/>
            </w:tcBorders>
            <w:vAlign w:val="bottom"/>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p>
        </w:tc>
        <w:tc>
          <w:tcPr>
            <w:tcW w:w="584" w:type="pct"/>
            <w:tcBorders>
              <w:top w:val="single" w:sz="4" w:space="0" w:color="auto"/>
              <w:left w:val="nil"/>
              <w:bottom w:val="nil"/>
              <w:right w:val="nil"/>
            </w:tcBorders>
            <w:vAlign w:val="bottom"/>
          </w:tcPr>
          <w:p w:rsidR="000C6613" w:rsidRDefault="000C6613" w:rsidP="00C52B09">
            <w:pPr>
              <w:pStyle w:val="KBPSynopsis"/>
              <w:spacing w:before="100" w:beforeAutospacing="1" w:after="100" w:afterAutospacing="1" w:line="276" w:lineRule="auto"/>
              <w:rPr>
                <w:rFonts w:cs="Times New Roman"/>
                <w:color w:val="000000"/>
                <w:sz w:val="18"/>
                <w:szCs w:val="18"/>
              </w:rPr>
            </w:pPr>
          </w:p>
        </w:tc>
      </w:tr>
      <w:tr w:rsidR="000C6613" w:rsidTr="00C52B09">
        <w:tc>
          <w:tcPr>
            <w:tcW w:w="548" w:type="pct"/>
            <w:noWrap/>
            <w:vAlign w:val="bottom"/>
          </w:tcPr>
          <w:p w:rsidR="000C6613" w:rsidRDefault="000C6613" w:rsidP="00C52B09">
            <w:pPr>
              <w:pStyle w:val="KBPSynopsis"/>
              <w:spacing w:before="100" w:beforeAutospacing="1" w:after="100" w:afterAutospacing="1" w:line="276" w:lineRule="auto"/>
              <w:rPr>
                <w:rFonts w:eastAsia="Times New Roman"/>
                <w:sz w:val="18"/>
                <w:szCs w:val="18"/>
                <w:lang w:eastAsia="en-GB"/>
              </w:rPr>
            </w:pPr>
          </w:p>
        </w:tc>
        <w:tc>
          <w:tcPr>
            <w:tcW w:w="421" w:type="pct"/>
            <w:gridSpan w:val="2"/>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 xml:space="preserve">I. </w:t>
            </w:r>
          </w:p>
        </w:tc>
        <w:tc>
          <w:tcPr>
            <w:tcW w:w="441" w:type="pct"/>
            <w:tcBorders>
              <w:top w:val="nil"/>
              <w:left w:val="nil"/>
              <w:bottom w:val="nil"/>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1</w:t>
            </w:r>
          </w:p>
        </w:tc>
        <w:tc>
          <w:tcPr>
            <w:tcW w:w="470" w:type="pct"/>
            <w:tcBorders>
              <w:top w:val="nil"/>
              <w:left w:val="single" w:sz="4" w:space="0" w:color="auto"/>
              <w:bottom w:val="nil"/>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14.56</w:t>
            </w:r>
          </w:p>
        </w:tc>
        <w:tc>
          <w:tcPr>
            <w:tcW w:w="626" w:type="pct"/>
            <w:tcBorders>
              <w:top w:val="nil"/>
              <w:left w:val="single" w:sz="4" w:space="0" w:color="auto"/>
              <w:bottom w:val="nil"/>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20.87</w:t>
            </w:r>
          </w:p>
        </w:tc>
        <w:tc>
          <w:tcPr>
            <w:tcW w:w="458" w:type="pct"/>
            <w:tcBorders>
              <w:top w:val="nil"/>
              <w:left w:val="nil"/>
              <w:bottom w:val="nil"/>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1.43</w:t>
            </w:r>
          </w:p>
        </w:tc>
        <w:tc>
          <w:tcPr>
            <w:tcW w:w="492" w:type="pct"/>
            <w:tcBorders>
              <w:top w:val="nil"/>
              <w:left w:val="single" w:sz="4" w:space="0" w:color="auto"/>
              <w:bottom w:val="nil"/>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35.31</w:t>
            </w:r>
          </w:p>
        </w:tc>
        <w:tc>
          <w:tcPr>
            <w:tcW w:w="480" w:type="pct"/>
            <w:tcBorders>
              <w:top w:val="nil"/>
              <w:left w:val="nil"/>
              <w:bottom w:val="nil"/>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2.42</w:t>
            </w:r>
          </w:p>
        </w:tc>
        <w:tc>
          <w:tcPr>
            <w:tcW w:w="479" w:type="pct"/>
            <w:tcBorders>
              <w:top w:val="nil"/>
              <w:left w:val="single" w:sz="4" w:space="0" w:color="auto"/>
              <w:bottom w:val="nil"/>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34.35</w:t>
            </w:r>
          </w:p>
        </w:tc>
        <w:tc>
          <w:tcPr>
            <w:tcW w:w="584" w:type="pct"/>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2.36</w:t>
            </w:r>
          </w:p>
        </w:tc>
      </w:tr>
      <w:tr w:rsidR="000C6613" w:rsidTr="00C52B09">
        <w:tc>
          <w:tcPr>
            <w:tcW w:w="548" w:type="pct"/>
            <w:tcBorders>
              <w:top w:val="nil"/>
              <w:left w:val="nil"/>
              <w:bottom w:val="single" w:sz="4" w:space="0" w:color="auto"/>
              <w:right w:val="nil"/>
            </w:tcBorders>
            <w:noWrap/>
            <w:vAlign w:val="bottom"/>
          </w:tcPr>
          <w:p w:rsidR="000C6613" w:rsidRDefault="000C6613" w:rsidP="00C52B09">
            <w:pPr>
              <w:pStyle w:val="KBPSynopsis"/>
              <w:spacing w:before="100" w:beforeAutospacing="1" w:after="100" w:afterAutospacing="1" w:line="276" w:lineRule="auto"/>
              <w:rPr>
                <w:rFonts w:eastAsia="Times New Roman"/>
                <w:sz w:val="18"/>
                <w:szCs w:val="18"/>
                <w:lang w:eastAsia="en-GB"/>
              </w:rPr>
            </w:pPr>
          </w:p>
        </w:tc>
        <w:tc>
          <w:tcPr>
            <w:tcW w:w="421" w:type="pct"/>
            <w:gridSpan w:val="2"/>
            <w:tcBorders>
              <w:top w:val="nil"/>
              <w:left w:val="nil"/>
              <w:bottom w:val="single" w:sz="4" w:space="0" w:color="auto"/>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 xml:space="preserve">I </w:t>
            </w:r>
          </w:p>
        </w:tc>
        <w:tc>
          <w:tcPr>
            <w:tcW w:w="441" w:type="pct"/>
            <w:tcBorders>
              <w:top w:val="nil"/>
              <w:left w:val="nil"/>
              <w:bottom w:val="single" w:sz="4" w:space="0" w:color="auto"/>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3</w:t>
            </w:r>
          </w:p>
        </w:tc>
        <w:tc>
          <w:tcPr>
            <w:tcW w:w="470" w:type="pct"/>
            <w:tcBorders>
              <w:top w:val="nil"/>
              <w:left w:val="single" w:sz="4" w:space="0" w:color="auto"/>
              <w:bottom w:val="single" w:sz="4" w:space="0" w:color="auto"/>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5.15</w:t>
            </w:r>
          </w:p>
        </w:tc>
        <w:tc>
          <w:tcPr>
            <w:tcW w:w="626" w:type="pct"/>
            <w:tcBorders>
              <w:top w:val="nil"/>
              <w:left w:val="single" w:sz="4" w:space="0" w:color="auto"/>
              <w:bottom w:val="single" w:sz="4" w:space="0" w:color="auto"/>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59.76</w:t>
            </w:r>
          </w:p>
        </w:tc>
        <w:tc>
          <w:tcPr>
            <w:tcW w:w="458" w:type="pct"/>
            <w:tcBorders>
              <w:top w:val="nil"/>
              <w:left w:val="nil"/>
              <w:bottom w:val="single" w:sz="4" w:space="0" w:color="auto"/>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11.62</w:t>
            </w:r>
          </w:p>
        </w:tc>
        <w:tc>
          <w:tcPr>
            <w:tcW w:w="492" w:type="pct"/>
            <w:tcBorders>
              <w:top w:val="nil"/>
              <w:left w:val="single" w:sz="4" w:space="0" w:color="auto"/>
              <w:bottom w:val="single" w:sz="4" w:space="0" w:color="auto"/>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25.76</w:t>
            </w:r>
          </w:p>
        </w:tc>
        <w:tc>
          <w:tcPr>
            <w:tcW w:w="480" w:type="pct"/>
            <w:tcBorders>
              <w:top w:val="nil"/>
              <w:left w:val="nil"/>
              <w:bottom w:val="single" w:sz="4" w:space="0" w:color="auto"/>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5.01</w:t>
            </w:r>
          </w:p>
        </w:tc>
        <w:tc>
          <w:tcPr>
            <w:tcW w:w="479" w:type="pct"/>
            <w:tcBorders>
              <w:top w:val="nil"/>
              <w:left w:val="single" w:sz="4" w:space="0" w:color="auto"/>
              <w:bottom w:val="single" w:sz="4" w:space="0" w:color="auto"/>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57.14</w:t>
            </w:r>
          </w:p>
        </w:tc>
        <w:tc>
          <w:tcPr>
            <w:tcW w:w="584" w:type="pct"/>
            <w:tcBorders>
              <w:top w:val="nil"/>
              <w:left w:val="nil"/>
              <w:bottom w:val="single" w:sz="4" w:space="0" w:color="auto"/>
              <w:right w:val="nil"/>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11.10</w:t>
            </w:r>
          </w:p>
        </w:tc>
      </w:tr>
      <w:tr w:rsidR="000C6613" w:rsidTr="00C52B09">
        <w:tc>
          <w:tcPr>
            <w:tcW w:w="548" w:type="pct"/>
            <w:tcBorders>
              <w:top w:val="single" w:sz="4" w:space="0" w:color="auto"/>
              <w:left w:val="nil"/>
              <w:bottom w:val="nil"/>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b/>
                <w:sz w:val="18"/>
                <w:szCs w:val="18"/>
                <w:lang w:eastAsia="en-GB"/>
              </w:rPr>
            </w:pPr>
            <w:r>
              <w:rPr>
                <w:rFonts w:eastAsia="Times New Roman"/>
                <w:b/>
                <w:sz w:val="18"/>
                <w:szCs w:val="18"/>
                <w:lang w:eastAsia="en-GB"/>
              </w:rPr>
              <w:t>ARGD</w:t>
            </w:r>
          </w:p>
        </w:tc>
        <w:tc>
          <w:tcPr>
            <w:tcW w:w="421" w:type="pct"/>
            <w:gridSpan w:val="2"/>
            <w:tcBorders>
              <w:top w:val="single" w:sz="4" w:space="0" w:color="auto"/>
              <w:left w:val="nil"/>
              <w:bottom w:val="nil"/>
              <w:right w:val="nil"/>
            </w:tcBorders>
            <w:noWrap/>
            <w:vAlign w:val="bottom"/>
          </w:tcPr>
          <w:p w:rsidR="000C6613" w:rsidRDefault="000C6613" w:rsidP="00C52B09">
            <w:pPr>
              <w:pStyle w:val="KBPSynopsis"/>
              <w:spacing w:before="100" w:beforeAutospacing="1" w:after="100" w:afterAutospacing="1" w:line="276" w:lineRule="auto"/>
              <w:rPr>
                <w:rFonts w:eastAsia="Times New Roman"/>
                <w:sz w:val="18"/>
                <w:szCs w:val="18"/>
                <w:lang w:eastAsia="en-GB"/>
              </w:rPr>
            </w:pPr>
          </w:p>
        </w:tc>
        <w:tc>
          <w:tcPr>
            <w:tcW w:w="441" w:type="pct"/>
            <w:tcBorders>
              <w:top w:val="single" w:sz="4" w:space="0" w:color="auto"/>
              <w:left w:val="nil"/>
              <w:bottom w:val="nil"/>
              <w:right w:val="single" w:sz="4" w:space="0" w:color="auto"/>
            </w:tcBorders>
            <w:noWrap/>
            <w:vAlign w:val="bottom"/>
          </w:tcPr>
          <w:p w:rsidR="000C6613" w:rsidRDefault="000C6613" w:rsidP="00C52B09">
            <w:pPr>
              <w:pStyle w:val="KBPSynopsis"/>
              <w:spacing w:before="100" w:beforeAutospacing="1" w:after="100" w:afterAutospacing="1" w:line="276" w:lineRule="auto"/>
              <w:rPr>
                <w:rFonts w:eastAsia="Times New Roman"/>
                <w:sz w:val="18"/>
                <w:szCs w:val="18"/>
                <w:lang w:eastAsia="en-GB"/>
              </w:rPr>
            </w:pPr>
          </w:p>
        </w:tc>
        <w:tc>
          <w:tcPr>
            <w:tcW w:w="470" w:type="pct"/>
            <w:tcBorders>
              <w:top w:val="single" w:sz="4" w:space="0" w:color="auto"/>
              <w:left w:val="single" w:sz="4" w:space="0" w:color="auto"/>
              <w:bottom w:val="nil"/>
              <w:right w:val="single" w:sz="4" w:space="0" w:color="auto"/>
            </w:tcBorders>
            <w:noWrap/>
            <w:vAlign w:val="bottom"/>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p>
        </w:tc>
        <w:tc>
          <w:tcPr>
            <w:tcW w:w="626" w:type="pct"/>
            <w:tcBorders>
              <w:top w:val="single" w:sz="4" w:space="0" w:color="auto"/>
              <w:left w:val="single" w:sz="4" w:space="0" w:color="auto"/>
              <w:bottom w:val="nil"/>
              <w:right w:val="nil"/>
            </w:tcBorders>
            <w:noWrap/>
            <w:vAlign w:val="bottom"/>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p>
        </w:tc>
        <w:tc>
          <w:tcPr>
            <w:tcW w:w="458" w:type="pct"/>
            <w:tcBorders>
              <w:top w:val="single" w:sz="4" w:space="0" w:color="auto"/>
              <w:left w:val="nil"/>
              <w:bottom w:val="nil"/>
              <w:right w:val="single" w:sz="4" w:space="0" w:color="auto"/>
            </w:tcBorders>
            <w:vAlign w:val="bottom"/>
          </w:tcPr>
          <w:p w:rsidR="000C6613" w:rsidRDefault="000C6613" w:rsidP="00C52B09">
            <w:pPr>
              <w:pStyle w:val="KBPSynopsis"/>
              <w:spacing w:before="100" w:beforeAutospacing="1" w:after="100" w:afterAutospacing="1" w:line="276" w:lineRule="auto"/>
              <w:rPr>
                <w:rFonts w:cs="Times New Roman"/>
                <w:color w:val="000000"/>
                <w:sz w:val="18"/>
                <w:szCs w:val="18"/>
              </w:rPr>
            </w:pPr>
          </w:p>
        </w:tc>
        <w:tc>
          <w:tcPr>
            <w:tcW w:w="492" w:type="pct"/>
            <w:tcBorders>
              <w:top w:val="single" w:sz="4" w:space="0" w:color="auto"/>
              <w:left w:val="single" w:sz="4" w:space="0" w:color="auto"/>
              <w:bottom w:val="nil"/>
              <w:right w:val="nil"/>
            </w:tcBorders>
            <w:vAlign w:val="bottom"/>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p>
        </w:tc>
        <w:tc>
          <w:tcPr>
            <w:tcW w:w="480" w:type="pct"/>
            <w:tcBorders>
              <w:top w:val="single" w:sz="4" w:space="0" w:color="auto"/>
              <w:left w:val="nil"/>
              <w:bottom w:val="nil"/>
              <w:right w:val="single" w:sz="4" w:space="0" w:color="auto"/>
            </w:tcBorders>
            <w:vAlign w:val="bottom"/>
          </w:tcPr>
          <w:p w:rsidR="000C6613" w:rsidRDefault="000C6613" w:rsidP="00C52B09">
            <w:pPr>
              <w:pStyle w:val="KBPSynopsis"/>
              <w:spacing w:before="100" w:beforeAutospacing="1" w:after="100" w:afterAutospacing="1" w:line="276" w:lineRule="auto"/>
              <w:rPr>
                <w:rFonts w:cs="Times New Roman"/>
                <w:color w:val="000000"/>
                <w:sz w:val="18"/>
                <w:szCs w:val="18"/>
              </w:rPr>
            </w:pPr>
          </w:p>
        </w:tc>
        <w:tc>
          <w:tcPr>
            <w:tcW w:w="479" w:type="pct"/>
            <w:tcBorders>
              <w:top w:val="single" w:sz="4" w:space="0" w:color="auto"/>
              <w:left w:val="single" w:sz="4" w:space="0" w:color="auto"/>
              <w:bottom w:val="nil"/>
              <w:right w:val="nil"/>
            </w:tcBorders>
            <w:vAlign w:val="bottom"/>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p>
        </w:tc>
        <w:tc>
          <w:tcPr>
            <w:tcW w:w="584" w:type="pct"/>
            <w:tcBorders>
              <w:top w:val="single" w:sz="4" w:space="0" w:color="auto"/>
              <w:left w:val="nil"/>
              <w:bottom w:val="nil"/>
              <w:right w:val="nil"/>
            </w:tcBorders>
            <w:vAlign w:val="bottom"/>
          </w:tcPr>
          <w:p w:rsidR="000C6613" w:rsidRDefault="000C6613" w:rsidP="00C52B09">
            <w:pPr>
              <w:pStyle w:val="KBPSynopsis"/>
              <w:spacing w:before="100" w:beforeAutospacing="1" w:after="100" w:afterAutospacing="1" w:line="276" w:lineRule="auto"/>
              <w:rPr>
                <w:rFonts w:cs="Times New Roman"/>
                <w:color w:val="000000"/>
                <w:sz w:val="18"/>
                <w:szCs w:val="18"/>
              </w:rPr>
            </w:pPr>
          </w:p>
        </w:tc>
      </w:tr>
      <w:tr w:rsidR="000C6613" w:rsidTr="00C52B09">
        <w:tc>
          <w:tcPr>
            <w:tcW w:w="548" w:type="pct"/>
            <w:tcBorders>
              <w:top w:val="nil"/>
              <w:left w:val="nil"/>
              <w:bottom w:val="single" w:sz="4" w:space="0" w:color="auto"/>
              <w:right w:val="nil"/>
            </w:tcBorders>
            <w:noWrap/>
            <w:vAlign w:val="bottom"/>
            <w:hideMark/>
          </w:tcPr>
          <w:p w:rsidR="000C6613" w:rsidRDefault="000C6613" w:rsidP="00C52B09">
            <w:pPr>
              <w:spacing w:line="276" w:lineRule="auto"/>
              <w:rPr>
                <w:rFonts w:asciiTheme="minorHAnsi" w:hAnsiTheme="minorHAnsi" w:cs="Times New Roman"/>
              </w:rPr>
            </w:pPr>
          </w:p>
        </w:tc>
        <w:tc>
          <w:tcPr>
            <w:tcW w:w="421" w:type="pct"/>
            <w:gridSpan w:val="2"/>
            <w:tcBorders>
              <w:top w:val="nil"/>
              <w:left w:val="nil"/>
              <w:bottom w:val="single" w:sz="4" w:space="0" w:color="auto"/>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H</w:t>
            </w:r>
          </w:p>
        </w:tc>
        <w:tc>
          <w:tcPr>
            <w:tcW w:w="441" w:type="pct"/>
            <w:tcBorders>
              <w:top w:val="nil"/>
              <w:left w:val="nil"/>
              <w:bottom w:val="single" w:sz="4" w:space="0" w:color="auto"/>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sz w:val="18"/>
                <w:szCs w:val="18"/>
                <w:lang w:eastAsia="en-GB"/>
              </w:rPr>
            </w:pPr>
            <w:r>
              <w:rPr>
                <w:rFonts w:eastAsia="Times New Roman"/>
                <w:sz w:val="18"/>
                <w:szCs w:val="18"/>
                <w:lang w:eastAsia="en-GB"/>
              </w:rPr>
              <w:t>1</w:t>
            </w:r>
          </w:p>
        </w:tc>
        <w:tc>
          <w:tcPr>
            <w:tcW w:w="470" w:type="pct"/>
            <w:tcBorders>
              <w:top w:val="nil"/>
              <w:left w:val="single" w:sz="4" w:space="0" w:color="auto"/>
              <w:bottom w:val="single" w:sz="4" w:space="0" w:color="auto"/>
              <w:right w:val="single" w:sz="4" w:space="0" w:color="auto"/>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180.54</w:t>
            </w:r>
          </w:p>
        </w:tc>
        <w:tc>
          <w:tcPr>
            <w:tcW w:w="626" w:type="pct"/>
            <w:tcBorders>
              <w:top w:val="nil"/>
              <w:left w:val="single" w:sz="4" w:space="0" w:color="auto"/>
              <w:bottom w:val="single" w:sz="4" w:space="0" w:color="auto"/>
              <w:right w:val="nil"/>
            </w:tcBorders>
            <w:noWrap/>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ND</w:t>
            </w:r>
          </w:p>
        </w:tc>
        <w:tc>
          <w:tcPr>
            <w:tcW w:w="458" w:type="pct"/>
            <w:tcBorders>
              <w:top w:val="nil"/>
              <w:left w:val="nil"/>
              <w:bottom w:val="single" w:sz="4" w:space="0" w:color="auto"/>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ND</w:t>
            </w:r>
          </w:p>
        </w:tc>
        <w:tc>
          <w:tcPr>
            <w:tcW w:w="492" w:type="pct"/>
            <w:tcBorders>
              <w:top w:val="nil"/>
              <w:left w:val="single" w:sz="4" w:space="0" w:color="auto"/>
              <w:bottom w:val="single" w:sz="4" w:space="0" w:color="auto"/>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146.61</w:t>
            </w:r>
          </w:p>
        </w:tc>
        <w:tc>
          <w:tcPr>
            <w:tcW w:w="480" w:type="pct"/>
            <w:tcBorders>
              <w:top w:val="nil"/>
              <w:left w:val="nil"/>
              <w:bottom w:val="single" w:sz="4" w:space="0" w:color="auto"/>
              <w:right w:val="single" w:sz="4" w:space="0" w:color="auto"/>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0.81</w:t>
            </w:r>
          </w:p>
        </w:tc>
        <w:tc>
          <w:tcPr>
            <w:tcW w:w="479" w:type="pct"/>
            <w:tcBorders>
              <w:top w:val="nil"/>
              <w:left w:val="single" w:sz="4" w:space="0" w:color="auto"/>
              <w:bottom w:val="single" w:sz="4" w:space="0" w:color="auto"/>
              <w:right w:val="nil"/>
            </w:tcBorders>
            <w:vAlign w:val="bottom"/>
            <w:hideMark/>
          </w:tcPr>
          <w:p w:rsidR="000C6613" w:rsidRDefault="000C6613" w:rsidP="00C52B09">
            <w:pPr>
              <w:pStyle w:val="KBPSynopsis"/>
              <w:spacing w:before="100" w:beforeAutospacing="1" w:after="100" w:afterAutospacing="1" w:line="276" w:lineRule="auto"/>
              <w:rPr>
                <w:rFonts w:eastAsia="Times New Roman" w:cs="Times New Roman"/>
                <w:sz w:val="18"/>
                <w:szCs w:val="18"/>
                <w:lang w:eastAsia="en-GB"/>
              </w:rPr>
            </w:pPr>
            <w:r>
              <w:rPr>
                <w:rFonts w:eastAsia="Times New Roman" w:cs="Times New Roman"/>
                <w:sz w:val="18"/>
                <w:szCs w:val="18"/>
                <w:lang w:eastAsia="en-GB"/>
              </w:rPr>
              <w:t>46.34</w:t>
            </w:r>
          </w:p>
        </w:tc>
        <w:tc>
          <w:tcPr>
            <w:tcW w:w="584" w:type="pct"/>
            <w:tcBorders>
              <w:top w:val="nil"/>
              <w:left w:val="nil"/>
              <w:bottom w:val="single" w:sz="4" w:space="0" w:color="auto"/>
              <w:right w:val="nil"/>
            </w:tcBorders>
            <w:vAlign w:val="bottom"/>
            <w:hideMark/>
          </w:tcPr>
          <w:p w:rsidR="000C6613" w:rsidRDefault="000C6613" w:rsidP="00C52B09">
            <w:pPr>
              <w:pStyle w:val="KBPSynopsis"/>
              <w:spacing w:before="100" w:beforeAutospacing="1" w:after="100" w:afterAutospacing="1" w:line="276" w:lineRule="auto"/>
              <w:rPr>
                <w:rFonts w:cs="Times New Roman"/>
                <w:color w:val="000000"/>
                <w:sz w:val="18"/>
                <w:szCs w:val="18"/>
              </w:rPr>
            </w:pPr>
            <w:r>
              <w:rPr>
                <w:rFonts w:cs="Times New Roman"/>
                <w:color w:val="000000"/>
                <w:sz w:val="18"/>
                <w:szCs w:val="18"/>
              </w:rPr>
              <w:t>0.26</w:t>
            </w:r>
          </w:p>
        </w:tc>
      </w:tr>
    </w:tbl>
    <w:p w:rsidR="000C6613" w:rsidRDefault="000C6613" w:rsidP="000C6613">
      <w:pPr>
        <w:pStyle w:val="KBPTablefootnote"/>
        <w:spacing w:before="40"/>
        <w:rPr>
          <w:lang w:val="en-US"/>
        </w:rPr>
      </w:pPr>
      <w:r>
        <w:rPr>
          <w:lang w:val="en-US"/>
        </w:rPr>
        <w:t xml:space="preserve">ARGD: </w:t>
      </w:r>
      <w:r>
        <w:rPr>
          <w:szCs w:val="20"/>
          <w:lang w:val="en-US"/>
        </w:rPr>
        <w:t>Arginase deficiency</w:t>
      </w:r>
      <w:r>
        <w:rPr>
          <w:lang w:val="en-US"/>
        </w:rPr>
        <w:t xml:space="preserve">; ASLD: </w:t>
      </w:r>
      <w:proofErr w:type="spellStart"/>
      <w:r>
        <w:rPr>
          <w:lang w:val="en-US"/>
        </w:rPr>
        <w:t>Argininosuccinate</w:t>
      </w:r>
      <w:proofErr w:type="spellEnd"/>
      <w:r>
        <w:rPr>
          <w:lang w:val="en-US"/>
        </w:rPr>
        <w:t xml:space="preserve"> </w:t>
      </w:r>
      <w:proofErr w:type="spellStart"/>
      <w:r>
        <w:rPr>
          <w:lang w:val="en-US"/>
        </w:rPr>
        <w:t>lyase</w:t>
      </w:r>
      <w:proofErr w:type="spellEnd"/>
      <w:r>
        <w:rPr>
          <w:lang w:val="en-US"/>
        </w:rPr>
        <w:t xml:space="preserve"> deficiency; AUC: Area Under the Curve; BL: Baseline; CPSID: Carbamoyl Phosphate Synthase I deficiency; DO: Drop-out; L: low; I: Intermediate; H: High; ND: test not done; OTCD: Ornithine </w:t>
      </w:r>
      <w:proofErr w:type="spellStart"/>
      <w:r>
        <w:rPr>
          <w:lang w:val="en-US"/>
        </w:rPr>
        <w:t>carbamoyltransferase</w:t>
      </w:r>
      <w:proofErr w:type="spellEnd"/>
      <w:r>
        <w:rPr>
          <w:lang w:val="en-US"/>
        </w:rPr>
        <w:t xml:space="preserve"> deficiency; U: Unknown (not calculated because one time-point is missing)</w:t>
      </w:r>
    </w:p>
    <w:p w:rsidR="000C6613" w:rsidRDefault="000C6613" w:rsidP="000C6613">
      <w:pPr>
        <w:pStyle w:val="KBPSynopsis"/>
      </w:pPr>
    </w:p>
    <w:p w:rsidR="000C6613" w:rsidRPr="00E04448" w:rsidRDefault="000C6613" w:rsidP="000C6613">
      <w:pPr>
        <w:pStyle w:val="KBPSynopsis"/>
      </w:pPr>
      <w:r w:rsidRPr="00E04448">
        <w:t>Because patients started with a different baseline, an ANCOVA with baseline [13C] urea AUC-120 as covariate was performed</w:t>
      </w:r>
      <w:r w:rsidRPr="00422892">
        <w:t xml:space="preserve"> (Figure 1)</w:t>
      </w:r>
      <w:r w:rsidRPr="001D1D1A">
        <w:t>. For the UCD group, this analysis showed a statistically significant increase of the [13C] urea AUC-120 GM at the 6-month visit versus baseline (GMR 1.90, 95% CI, LL 1.22, UL 2.97, p-val</w:t>
      </w:r>
      <w:r w:rsidRPr="00E04448">
        <w:t>ue 0.007). At the 3-month visit, all the patients except one had a positive ratio. This resulted in a non-statistically significant change from baseline because of the very low ratio of this one patient (related to an unexpected and unexplained high baseline value). At the 12-month visit, no significant change from baseline was observed.</w:t>
      </w:r>
    </w:p>
    <w:p w:rsidR="000C6613" w:rsidRPr="00E04448" w:rsidRDefault="000C6613" w:rsidP="000C6613">
      <w:pPr>
        <w:pStyle w:val="KBPSynopsis"/>
      </w:pPr>
      <w:r w:rsidRPr="00E04448">
        <w:lastRenderedPageBreak/>
        <w:t>Overall, the results showed an increase of ureagenesis activity in patients after HepaStem treatment, independently of the dose received, supporting an effect of HepaStem. Yet, ureagenesis remained low compared to normal subjects.</w:t>
      </w:r>
    </w:p>
    <w:p w:rsidR="000C6613" w:rsidRDefault="000C6613" w:rsidP="000C6613">
      <w:pPr>
        <w:pStyle w:val="KBPSynopsis"/>
      </w:pPr>
    </w:p>
    <w:p w:rsidR="000C6613" w:rsidRDefault="000C6613" w:rsidP="000C6613">
      <w:pPr>
        <w:pStyle w:val="KBPSynopsis"/>
      </w:pPr>
    </w:p>
    <w:p w:rsidR="000C6613" w:rsidRDefault="000C6613" w:rsidP="000C6613">
      <w:pPr>
        <w:pStyle w:val="KBPSynopsis"/>
      </w:pPr>
    </w:p>
    <w:p w:rsidR="000C6613" w:rsidRDefault="000C6613" w:rsidP="000C6613">
      <w:pPr>
        <w:pStyle w:val="KBPSynopsis"/>
        <w:rPr>
          <w:b/>
        </w:rPr>
      </w:pPr>
      <w:r>
        <w:rPr>
          <w:b/>
        </w:rPr>
        <w:t>Figure 1 Mixed effect ANCOVA of plasma [13C] urea AUC-120 change from baseline</w:t>
      </w:r>
    </w:p>
    <w:p w:rsidR="000C6613" w:rsidRDefault="000C6613" w:rsidP="000C6613">
      <w:pPr>
        <w:pStyle w:val="KBPSynopsis"/>
      </w:pPr>
      <w:r>
        <w:rPr>
          <w:noProof/>
          <w:lang w:val="fr-BE" w:eastAsia="fr-BE"/>
        </w:rPr>
        <w:drawing>
          <wp:inline distT="0" distB="0" distL="0" distR="0" wp14:anchorId="34F0F873" wp14:editId="1B7832A4">
            <wp:extent cx="4133215" cy="25749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33215" cy="2574925"/>
                    </a:xfrm>
                    <a:prstGeom prst="rect">
                      <a:avLst/>
                    </a:prstGeom>
                    <a:noFill/>
                    <a:ln>
                      <a:noFill/>
                    </a:ln>
                  </pic:spPr>
                </pic:pic>
              </a:graphicData>
            </a:graphic>
          </wp:inline>
        </w:drawing>
      </w:r>
    </w:p>
    <w:p w:rsidR="003453E7" w:rsidRPr="000C6613" w:rsidRDefault="003453E7" w:rsidP="000C6613"/>
    <w:sectPr w:rsidR="003453E7" w:rsidRPr="000C6613">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36B" w:rsidRDefault="0006736B" w:rsidP="0006736B">
      <w:r>
        <w:separator/>
      </w:r>
    </w:p>
  </w:endnote>
  <w:endnote w:type="continuationSeparator" w:id="0">
    <w:p w:rsidR="0006736B" w:rsidRDefault="0006736B" w:rsidP="00067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36B" w:rsidRDefault="0006736B" w:rsidP="0006736B">
      <w:r>
        <w:separator/>
      </w:r>
    </w:p>
  </w:footnote>
  <w:footnote w:type="continuationSeparator" w:id="0">
    <w:p w:rsidR="0006736B" w:rsidRDefault="0006736B" w:rsidP="000673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36B" w:rsidRPr="0006736B" w:rsidRDefault="0006736B" w:rsidP="0006736B">
    <w:pPr>
      <w:pStyle w:val="Header"/>
      <w:pBdr>
        <w:bottom w:val="thickThinSmallGap" w:sz="24" w:space="1" w:color="622423" w:themeColor="accent2" w:themeShade="7F"/>
      </w:pBdr>
      <w:rPr>
        <w:rFonts w:asciiTheme="majorHAnsi" w:eastAsiaTheme="majorEastAsia" w:hAnsiTheme="majorHAnsi" w:cstheme="majorBidi"/>
        <w:sz w:val="32"/>
        <w:szCs w:val="32"/>
        <w:lang w:val="en-US"/>
      </w:rPr>
    </w:pPr>
    <w:r>
      <w:rPr>
        <w:rFonts w:cs="Times New Roman"/>
        <w:noProof/>
        <w:sz w:val="20"/>
        <w:szCs w:val="20"/>
        <w:lang w:val="en-US" w:eastAsia="fr-BE"/>
      </w:rPr>
      <w:tab/>
    </w:r>
    <w:sdt>
      <w:sdtPr>
        <w:rPr>
          <w:rFonts w:eastAsiaTheme="minorHAnsi" w:cs="Times New Roman"/>
          <w:noProof/>
          <w:sz w:val="20"/>
          <w:szCs w:val="20"/>
          <w:lang w:val="en-US" w:eastAsia="fr-BE"/>
        </w:rPr>
        <w:alias w:val="Title"/>
        <w:id w:val="77738743"/>
        <w:placeholder>
          <w:docPart w:val="4D0B66F8651840CCB7E773128DBB4727"/>
        </w:placeholder>
        <w:dataBinding w:prefixMappings="xmlns:ns0='http://schemas.openxmlformats.org/package/2006/metadata/core-properties' xmlns:ns1='http://purl.org/dc/elements/1.1/'" w:xpath="/ns0:coreProperties[1]/ns1:title[1]" w:storeItemID="{6C3C8BC8-F283-45AE-878A-BAB7291924A1}"/>
        <w:text/>
      </w:sdtPr>
      <w:sdtContent>
        <w:r w:rsidR="00FB67A0" w:rsidRPr="00FB67A0">
          <w:rPr>
            <w:rFonts w:eastAsiaTheme="minorHAnsi" w:cs="Times New Roman"/>
            <w:noProof/>
            <w:sz w:val="20"/>
            <w:szCs w:val="20"/>
            <w:lang w:val="en-US" w:eastAsia="fr-BE"/>
          </w:rPr>
          <w:t>HEP001 Ureagenesis efficacy  Conclusion  -  CONFIDENTIAL</w:t>
        </w:r>
      </w:sdtContent>
    </w:sdt>
    <w:r>
      <w:rPr>
        <w:rFonts w:cs="Times New Roman"/>
        <w:noProof/>
        <w:sz w:val="20"/>
        <w:szCs w:val="20"/>
        <w:lang w:val="en-US" w:eastAsia="fr-BE"/>
      </w:rPr>
      <w:tab/>
    </w:r>
    <w:r w:rsidRPr="0083113F">
      <w:rPr>
        <w:noProof/>
        <w:lang w:val="fr-BE" w:eastAsia="fr-BE"/>
      </w:rPr>
      <w:drawing>
        <wp:inline distT="0" distB="0" distL="0" distR="0" wp14:anchorId="012E9413" wp14:editId="72F34942">
          <wp:extent cx="1381125" cy="360096"/>
          <wp:effectExtent l="0" t="0" r="0" b="0"/>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1457" cy="360183"/>
                  </a:xfrm>
                  <a:prstGeom prst="rect">
                    <a:avLst/>
                  </a:prstGeom>
                  <a:noFill/>
                  <a:ln>
                    <a:noFill/>
                  </a:ln>
                </pic:spPr>
              </pic:pic>
            </a:graphicData>
          </a:graphic>
        </wp:inline>
      </w:drawing>
    </w:r>
  </w:p>
  <w:p w:rsidR="0006736B" w:rsidRPr="0006736B" w:rsidRDefault="0006736B">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C65F02"/>
    <w:multiLevelType w:val="multilevel"/>
    <w:tmpl w:val="644085A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lang w:val="en-G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39A2"/>
    <w:rsid w:val="0006736B"/>
    <w:rsid w:val="000C6613"/>
    <w:rsid w:val="003453E7"/>
    <w:rsid w:val="005639A2"/>
    <w:rsid w:val="00AD33BE"/>
    <w:rsid w:val="00FB67A0"/>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6613"/>
    <w:pPr>
      <w:spacing w:after="0" w:line="240" w:lineRule="auto"/>
    </w:pPr>
    <w:rPr>
      <w:rFonts w:ascii="Times New Roman" w:eastAsiaTheme="minorEastAsia" w:hAnsi="Times New Roman"/>
      <w:sz w:val="24"/>
      <w:lang w:val="en-GB"/>
    </w:rPr>
  </w:style>
  <w:style w:type="paragraph" w:styleId="Heading1">
    <w:name w:val="heading 1"/>
    <w:basedOn w:val="Normal"/>
    <w:next w:val="KBPBodytext"/>
    <w:link w:val="Heading1Char"/>
    <w:uiPriority w:val="9"/>
    <w:qFormat/>
    <w:rsid w:val="000C6613"/>
    <w:pPr>
      <w:pageBreakBefore/>
      <w:numPr>
        <w:numId w:val="1"/>
      </w:numPr>
      <w:spacing w:before="240" w:after="240"/>
      <w:outlineLvl w:val="0"/>
    </w:pPr>
    <w:rPr>
      <w:rFonts w:eastAsiaTheme="majorEastAsia" w:cstheme="majorBidi"/>
      <w:b/>
      <w:bCs/>
      <w:caps/>
      <w:sz w:val="32"/>
      <w:szCs w:val="28"/>
    </w:rPr>
  </w:style>
  <w:style w:type="paragraph" w:styleId="Heading2">
    <w:name w:val="heading 2"/>
    <w:basedOn w:val="Heading1"/>
    <w:next w:val="KBPBodytext"/>
    <w:link w:val="Heading2Char"/>
    <w:uiPriority w:val="9"/>
    <w:unhideWhenUsed/>
    <w:qFormat/>
    <w:rsid w:val="000C6613"/>
    <w:pPr>
      <w:keepNext/>
      <w:pageBreakBefore w:val="0"/>
      <w:numPr>
        <w:ilvl w:val="1"/>
      </w:numPr>
      <w:spacing w:after="120"/>
      <w:ind w:left="851" w:hanging="851"/>
      <w:outlineLvl w:val="1"/>
    </w:pPr>
    <w:rPr>
      <w:bCs w:val="0"/>
      <w:caps w:val="0"/>
      <w:smallCaps/>
      <w:sz w:val="28"/>
      <w:szCs w:val="26"/>
    </w:rPr>
  </w:style>
  <w:style w:type="paragraph" w:styleId="Heading3">
    <w:name w:val="heading 3"/>
    <w:basedOn w:val="Heading2"/>
    <w:next w:val="KBPBodytext"/>
    <w:link w:val="Heading3Char"/>
    <w:uiPriority w:val="9"/>
    <w:unhideWhenUsed/>
    <w:qFormat/>
    <w:rsid w:val="000C6613"/>
    <w:pPr>
      <w:numPr>
        <w:ilvl w:val="2"/>
      </w:numPr>
      <w:outlineLvl w:val="2"/>
    </w:pPr>
    <w:rPr>
      <w:bCs/>
      <w:smallCaps w:val="0"/>
      <w:sz w:val="24"/>
    </w:rPr>
  </w:style>
  <w:style w:type="paragraph" w:styleId="Heading4">
    <w:name w:val="heading 4"/>
    <w:basedOn w:val="Heading3"/>
    <w:next w:val="KBPBodytext"/>
    <w:link w:val="Heading4Char"/>
    <w:uiPriority w:val="9"/>
    <w:unhideWhenUsed/>
    <w:qFormat/>
    <w:rsid w:val="000C6613"/>
    <w:pPr>
      <w:keepLines/>
      <w:numPr>
        <w:ilvl w:val="3"/>
      </w:numPr>
      <w:spacing w:before="120"/>
      <w:outlineLvl w:val="3"/>
    </w:pPr>
    <w:rPr>
      <w:b w:val="0"/>
      <w:bCs w:val="0"/>
      <w:i/>
      <w:iCs/>
    </w:rPr>
  </w:style>
  <w:style w:type="paragraph" w:styleId="Heading5">
    <w:name w:val="heading 5"/>
    <w:basedOn w:val="Normal"/>
    <w:next w:val="Normal"/>
    <w:link w:val="Heading5Char"/>
    <w:uiPriority w:val="9"/>
    <w:unhideWhenUsed/>
    <w:qFormat/>
    <w:rsid w:val="000C6613"/>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0C6613"/>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0C661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C661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C661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KBPBodytext">
    <w:name w:val="KBP_Body text"/>
    <w:basedOn w:val="Normal"/>
    <w:link w:val="KBPBodytextChar"/>
    <w:qFormat/>
    <w:rsid w:val="005639A2"/>
    <w:pPr>
      <w:spacing w:after="120"/>
      <w:jc w:val="both"/>
    </w:pPr>
    <w:rPr>
      <w:rFonts w:eastAsiaTheme="majorEastAsia" w:cs="Times New Roman"/>
      <w:szCs w:val="24"/>
    </w:rPr>
  </w:style>
  <w:style w:type="character" w:customStyle="1" w:styleId="KBPBodytextChar">
    <w:name w:val="KBP_Body text Char"/>
    <w:basedOn w:val="DefaultParagraphFont"/>
    <w:link w:val="KBPBodytext"/>
    <w:rsid w:val="005639A2"/>
    <w:rPr>
      <w:rFonts w:ascii="Times New Roman" w:eastAsiaTheme="majorEastAsia" w:hAnsi="Times New Roman" w:cs="Times New Roman"/>
      <w:sz w:val="24"/>
      <w:szCs w:val="24"/>
      <w:lang w:val="en-GB"/>
    </w:rPr>
  </w:style>
  <w:style w:type="paragraph" w:styleId="Header">
    <w:name w:val="header"/>
    <w:basedOn w:val="Normal"/>
    <w:link w:val="HeaderChar"/>
    <w:uiPriority w:val="99"/>
    <w:unhideWhenUsed/>
    <w:rsid w:val="0006736B"/>
    <w:pPr>
      <w:tabs>
        <w:tab w:val="center" w:pos="4536"/>
        <w:tab w:val="right" w:pos="9072"/>
      </w:tabs>
    </w:pPr>
  </w:style>
  <w:style w:type="character" w:customStyle="1" w:styleId="HeaderChar">
    <w:name w:val="Header Char"/>
    <w:basedOn w:val="DefaultParagraphFont"/>
    <w:link w:val="Header"/>
    <w:uiPriority w:val="99"/>
    <w:rsid w:val="0006736B"/>
  </w:style>
  <w:style w:type="paragraph" w:styleId="Footer">
    <w:name w:val="footer"/>
    <w:basedOn w:val="Normal"/>
    <w:link w:val="FooterChar"/>
    <w:uiPriority w:val="99"/>
    <w:unhideWhenUsed/>
    <w:rsid w:val="0006736B"/>
    <w:pPr>
      <w:tabs>
        <w:tab w:val="center" w:pos="4536"/>
        <w:tab w:val="right" w:pos="9072"/>
      </w:tabs>
    </w:pPr>
  </w:style>
  <w:style w:type="character" w:customStyle="1" w:styleId="FooterChar">
    <w:name w:val="Footer Char"/>
    <w:basedOn w:val="DefaultParagraphFont"/>
    <w:link w:val="Footer"/>
    <w:uiPriority w:val="99"/>
    <w:rsid w:val="0006736B"/>
  </w:style>
  <w:style w:type="paragraph" w:styleId="BalloonText">
    <w:name w:val="Balloon Text"/>
    <w:basedOn w:val="Normal"/>
    <w:link w:val="BalloonTextChar"/>
    <w:uiPriority w:val="99"/>
    <w:semiHidden/>
    <w:unhideWhenUsed/>
    <w:rsid w:val="0006736B"/>
    <w:rPr>
      <w:rFonts w:ascii="Tahoma" w:hAnsi="Tahoma" w:cs="Tahoma"/>
      <w:sz w:val="16"/>
      <w:szCs w:val="16"/>
    </w:rPr>
  </w:style>
  <w:style w:type="character" w:customStyle="1" w:styleId="BalloonTextChar">
    <w:name w:val="Balloon Text Char"/>
    <w:basedOn w:val="DefaultParagraphFont"/>
    <w:link w:val="BalloonText"/>
    <w:uiPriority w:val="99"/>
    <w:semiHidden/>
    <w:rsid w:val="0006736B"/>
    <w:rPr>
      <w:rFonts w:ascii="Tahoma" w:hAnsi="Tahoma" w:cs="Tahoma"/>
      <w:sz w:val="16"/>
      <w:szCs w:val="16"/>
    </w:rPr>
  </w:style>
  <w:style w:type="character" w:customStyle="1" w:styleId="Heading1Char">
    <w:name w:val="Heading 1 Char"/>
    <w:basedOn w:val="DefaultParagraphFont"/>
    <w:link w:val="Heading1"/>
    <w:uiPriority w:val="9"/>
    <w:rsid w:val="000C6613"/>
    <w:rPr>
      <w:rFonts w:ascii="Times New Roman" w:eastAsiaTheme="majorEastAsia" w:hAnsi="Times New Roman" w:cstheme="majorBidi"/>
      <w:b/>
      <w:bCs/>
      <w:caps/>
      <w:sz w:val="32"/>
      <w:szCs w:val="28"/>
      <w:lang w:val="en-GB"/>
    </w:rPr>
  </w:style>
  <w:style w:type="character" w:customStyle="1" w:styleId="Heading2Char">
    <w:name w:val="Heading 2 Char"/>
    <w:basedOn w:val="DefaultParagraphFont"/>
    <w:link w:val="Heading2"/>
    <w:uiPriority w:val="9"/>
    <w:rsid w:val="000C6613"/>
    <w:rPr>
      <w:rFonts w:ascii="Times New Roman" w:eastAsiaTheme="majorEastAsia" w:hAnsi="Times New Roman" w:cstheme="majorBidi"/>
      <w:b/>
      <w:smallCaps/>
      <w:sz w:val="28"/>
      <w:szCs w:val="26"/>
      <w:lang w:val="en-GB"/>
    </w:rPr>
  </w:style>
  <w:style w:type="character" w:customStyle="1" w:styleId="Heading3Char">
    <w:name w:val="Heading 3 Char"/>
    <w:basedOn w:val="DefaultParagraphFont"/>
    <w:link w:val="Heading3"/>
    <w:uiPriority w:val="9"/>
    <w:rsid w:val="000C6613"/>
    <w:rPr>
      <w:rFonts w:ascii="Times New Roman" w:eastAsiaTheme="majorEastAsia" w:hAnsi="Times New Roman" w:cstheme="majorBidi"/>
      <w:b/>
      <w:bCs/>
      <w:sz w:val="24"/>
      <w:szCs w:val="26"/>
      <w:lang w:val="en-GB"/>
    </w:rPr>
  </w:style>
  <w:style w:type="character" w:customStyle="1" w:styleId="Heading4Char">
    <w:name w:val="Heading 4 Char"/>
    <w:basedOn w:val="DefaultParagraphFont"/>
    <w:link w:val="Heading4"/>
    <w:uiPriority w:val="9"/>
    <w:rsid w:val="000C6613"/>
    <w:rPr>
      <w:rFonts w:ascii="Times New Roman" w:eastAsiaTheme="majorEastAsia" w:hAnsi="Times New Roman" w:cstheme="majorBidi"/>
      <w:i/>
      <w:iCs/>
      <w:sz w:val="24"/>
      <w:szCs w:val="26"/>
      <w:lang w:val="en-GB"/>
    </w:rPr>
  </w:style>
  <w:style w:type="character" w:customStyle="1" w:styleId="Heading5Char">
    <w:name w:val="Heading 5 Char"/>
    <w:basedOn w:val="DefaultParagraphFont"/>
    <w:link w:val="Heading5"/>
    <w:uiPriority w:val="9"/>
    <w:rsid w:val="000C6613"/>
    <w:rPr>
      <w:rFonts w:asciiTheme="majorHAnsi" w:eastAsiaTheme="majorEastAsia" w:hAnsiTheme="majorHAnsi" w:cstheme="majorBidi"/>
      <w:color w:val="243F60" w:themeColor="accent1" w:themeShade="7F"/>
      <w:sz w:val="24"/>
      <w:lang w:val="en-GB"/>
    </w:rPr>
  </w:style>
  <w:style w:type="character" w:customStyle="1" w:styleId="Heading6Char">
    <w:name w:val="Heading 6 Char"/>
    <w:basedOn w:val="DefaultParagraphFont"/>
    <w:link w:val="Heading6"/>
    <w:uiPriority w:val="9"/>
    <w:semiHidden/>
    <w:rsid w:val="000C6613"/>
    <w:rPr>
      <w:rFonts w:asciiTheme="majorHAnsi" w:eastAsiaTheme="majorEastAsia" w:hAnsiTheme="majorHAnsi" w:cstheme="majorBidi"/>
      <w:i/>
      <w:iCs/>
      <w:color w:val="243F60" w:themeColor="accent1" w:themeShade="7F"/>
      <w:sz w:val="24"/>
      <w:lang w:val="en-GB"/>
    </w:rPr>
  </w:style>
  <w:style w:type="character" w:customStyle="1" w:styleId="Heading7Char">
    <w:name w:val="Heading 7 Char"/>
    <w:basedOn w:val="DefaultParagraphFont"/>
    <w:link w:val="Heading7"/>
    <w:uiPriority w:val="9"/>
    <w:semiHidden/>
    <w:rsid w:val="000C6613"/>
    <w:rPr>
      <w:rFonts w:asciiTheme="majorHAnsi" w:eastAsiaTheme="majorEastAsia" w:hAnsiTheme="majorHAnsi" w:cstheme="majorBidi"/>
      <w:i/>
      <w:iCs/>
      <w:color w:val="404040" w:themeColor="text1" w:themeTint="BF"/>
      <w:sz w:val="24"/>
      <w:lang w:val="en-GB"/>
    </w:rPr>
  </w:style>
  <w:style w:type="character" w:customStyle="1" w:styleId="Heading8Char">
    <w:name w:val="Heading 8 Char"/>
    <w:basedOn w:val="DefaultParagraphFont"/>
    <w:link w:val="Heading8"/>
    <w:uiPriority w:val="9"/>
    <w:semiHidden/>
    <w:rsid w:val="000C6613"/>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uiPriority w:val="9"/>
    <w:semiHidden/>
    <w:rsid w:val="000C6613"/>
    <w:rPr>
      <w:rFonts w:asciiTheme="majorHAnsi" w:eastAsiaTheme="majorEastAsia" w:hAnsiTheme="majorHAnsi" w:cstheme="majorBidi"/>
      <w:i/>
      <w:iCs/>
      <w:color w:val="404040" w:themeColor="text1" w:themeTint="BF"/>
      <w:sz w:val="20"/>
      <w:szCs w:val="20"/>
      <w:lang w:val="en-GB"/>
    </w:rPr>
  </w:style>
  <w:style w:type="paragraph" w:customStyle="1" w:styleId="KBPSynopsis">
    <w:name w:val="KBP_Synopsis"/>
    <w:basedOn w:val="Normal"/>
    <w:qFormat/>
    <w:rsid w:val="000C6613"/>
    <w:pPr>
      <w:spacing w:before="60" w:after="60"/>
      <w:ind w:right="57"/>
    </w:pPr>
    <w:rPr>
      <w:sz w:val="20"/>
      <w:lang w:val="en-US"/>
    </w:rPr>
  </w:style>
  <w:style w:type="paragraph" w:customStyle="1" w:styleId="KBPTablefootnote">
    <w:name w:val="KBP_Table footnote"/>
    <w:basedOn w:val="Normal"/>
    <w:next w:val="KBPBodytext"/>
    <w:qFormat/>
    <w:rsid w:val="000C6613"/>
    <w:pPr>
      <w:keepNext/>
      <w:keepLines/>
    </w:pPr>
    <w:rPr>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6613"/>
    <w:pPr>
      <w:spacing w:after="0" w:line="240" w:lineRule="auto"/>
    </w:pPr>
    <w:rPr>
      <w:rFonts w:ascii="Times New Roman" w:eastAsiaTheme="minorEastAsia" w:hAnsi="Times New Roman"/>
      <w:sz w:val="24"/>
      <w:lang w:val="en-GB"/>
    </w:rPr>
  </w:style>
  <w:style w:type="paragraph" w:styleId="Heading1">
    <w:name w:val="heading 1"/>
    <w:basedOn w:val="Normal"/>
    <w:next w:val="KBPBodytext"/>
    <w:link w:val="Heading1Char"/>
    <w:uiPriority w:val="9"/>
    <w:qFormat/>
    <w:rsid w:val="000C6613"/>
    <w:pPr>
      <w:pageBreakBefore/>
      <w:numPr>
        <w:numId w:val="1"/>
      </w:numPr>
      <w:spacing w:before="240" w:after="240"/>
      <w:outlineLvl w:val="0"/>
    </w:pPr>
    <w:rPr>
      <w:rFonts w:eastAsiaTheme="majorEastAsia" w:cstheme="majorBidi"/>
      <w:b/>
      <w:bCs/>
      <w:caps/>
      <w:sz w:val="32"/>
      <w:szCs w:val="28"/>
    </w:rPr>
  </w:style>
  <w:style w:type="paragraph" w:styleId="Heading2">
    <w:name w:val="heading 2"/>
    <w:basedOn w:val="Heading1"/>
    <w:next w:val="KBPBodytext"/>
    <w:link w:val="Heading2Char"/>
    <w:uiPriority w:val="9"/>
    <w:unhideWhenUsed/>
    <w:qFormat/>
    <w:rsid w:val="000C6613"/>
    <w:pPr>
      <w:keepNext/>
      <w:pageBreakBefore w:val="0"/>
      <w:numPr>
        <w:ilvl w:val="1"/>
      </w:numPr>
      <w:spacing w:after="120"/>
      <w:ind w:left="851" w:hanging="851"/>
      <w:outlineLvl w:val="1"/>
    </w:pPr>
    <w:rPr>
      <w:bCs w:val="0"/>
      <w:caps w:val="0"/>
      <w:smallCaps/>
      <w:sz w:val="28"/>
      <w:szCs w:val="26"/>
    </w:rPr>
  </w:style>
  <w:style w:type="paragraph" w:styleId="Heading3">
    <w:name w:val="heading 3"/>
    <w:basedOn w:val="Heading2"/>
    <w:next w:val="KBPBodytext"/>
    <w:link w:val="Heading3Char"/>
    <w:uiPriority w:val="9"/>
    <w:unhideWhenUsed/>
    <w:qFormat/>
    <w:rsid w:val="000C6613"/>
    <w:pPr>
      <w:numPr>
        <w:ilvl w:val="2"/>
      </w:numPr>
      <w:outlineLvl w:val="2"/>
    </w:pPr>
    <w:rPr>
      <w:bCs/>
      <w:smallCaps w:val="0"/>
      <w:sz w:val="24"/>
    </w:rPr>
  </w:style>
  <w:style w:type="paragraph" w:styleId="Heading4">
    <w:name w:val="heading 4"/>
    <w:basedOn w:val="Heading3"/>
    <w:next w:val="KBPBodytext"/>
    <w:link w:val="Heading4Char"/>
    <w:uiPriority w:val="9"/>
    <w:unhideWhenUsed/>
    <w:qFormat/>
    <w:rsid w:val="000C6613"/>
    <w:pPr>
      <w:keepLines/>
      <w:numPr>
        <w:ilvl w:val="3"/>
      </w:numPr>
      <w:spacing w:before="120"/>
      <w:outlineLvl w:val="3"/>
    </w:pPr>
    <w:rPr>
      <w:b w:val="0"/>
      <w:bCs w:val="0"/>
      <w:i/>
      <w:iCs/>
    </w:rPr>
  </w:style>
  <w:style w:type="paragraph" w:styleId="Heading5">
    <w:name w:val="heading 5"/>
    <w:basedOn w:val="Normal"/>
    <w:next w:val="Normal"/>
    <w:link w:val="Heading5Char"/>
    <w:uiPriority w:val="9"/>
    <w:unhideWhenUsed/>
    <w:qFormat/>
    <w:rsid w:val="000C6613"/>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0C6613"/>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0C661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C661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C661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KBPBodytext">
    <w:name w:val="KBP_Body text"/>
    <w:basedOn w:val="Normal"/>
    <w:link w:val="KBPBodytextChar"/>
    <w:qFormat/>
    <w:rsid w:val="005639A2"/>
    <w:pPr>
      <w:spacing w:after="120"/>
      <w:jc w:val="both"/>
    </w:pPr>
    <w:rPr>
      <w:rFonts w:eastAsiaTheme="majorEastAsia" w:cs="Times New Roman"/>
      <w:szCs w:val="24"/>
    </w:rPr>
  </w:style>
  <w:style w:type="character" w:customStyle="1" w:styleId="KBPBodytextChar">
    <w:name w:val="KBP_Body text Char"/>
    <w:basedOn w:val="DefaultParagraphFont"/>
    <w:link w:val="KBPBodytext"/>
    <w:rsid w:val="005639A2"/>
    <w:rPr>
      <w:rFonts w:ascii="Times New Roman" w:eastAsiaTheme="majorEastAsia" w:hAnsi="Times New Roman" w:cs="Times New Roman"/>
      <w:sz w:val="24"/>
      <w:szCs w:val="24"/>
      <w:lang w:val="en-GB"/>
    </w:rPr>
  </w:style>
  <w:style w:type="paragraph" w:styleId="Header">
    <w:name w:val="header"/>
    <w:basedOn w:val="Normal"/>
    <w:link w:val="HeaderChar"/>
    <w:uiPriority w:val="99"/>
    <w:unhideWhenUsed/>
    <w:rsid w:val="0006736B"/>
    <w:pPr>
      <w:tabs>
        <w:tab w:val="center" w:pos="4536"/>
        <w:tab w:val="right" w:pos="9072"/>
      </w:tabs>
    </w:pPr>
  </w:style>
  <w:style w:type="character" w:customStyle="1" w:styleId="HeaderChar">
    <w:name w:val="Header Char"/>
    <w:basedOn w:val="DefaultParagraphFont"/>
    <w:link w:val="Header"/>
    <w:uiPriority w:val="99"/>
    <w:rsid w:val="0006736B"/>
  </w:style>
  <w:style w:type="paragraph" w:styleId="Footer">
    <w:name w:val="footer"/>
    <w:basedOn w:val="Normal"/>
    <w:link w:val="FooterChar"/>
    <w:uiPriority w:val="99"/>
    <w:unhideWhenUsed/>
    <w:rsid w:val="0006736B"/>
    <w:pPr>
      <w:tabs>
        <w:tab w:val="center" w:pos="4536"/>
        <w:tab w:val="right" w:pos="9072"/>
      </w:tabs>
    </w:pPr>
  </w:style>
  <w:style w:type="character" w:customStyle="1" w:styleId="FooterChar">
    <w:name w:val="Footer Char"/>
    <w:basedOn w:val="DefaultParagraphFont"/>
    <w:link w:val="Footer"/>
    <w:uiPriority w:val="99"/>
    <w:rsid w:val="0006736B"/>
  </w:style>
  <w:style w:type="paragraph" w:styleId="BalloonText">
    <w:name w:val="Balloon Text"/>
    <w:basedOn w:val="Normal"/>
    <w:link w:val="BalloonTextChar"/>
    <w:uiPriority w:val="99"/>
    <w:semiHidden/>
    <w:unhideWhenUsed/>
    <w:rsid w:val="0006736B"/>
    <w:rPr>
      <w:rFonts w:ascii="Tahoma" w:hAnsi="Tahoma" w:cs="Tahoma"/>
      <w:sz w:val="16"/>
      <w:szCs w:val="16"/>
    </w:rPr>
  </w:style>
  <w:style w:type="character" w:customStyle="1" w:styleId="BalloonTextChar">
    <w:name w:val="Balloon Text Char"/>
    <w:basedOn w:val="DefaultParagraphFont"/>
    <w:link w:val="BalloonText"/>
    <w:uiPriority w:val="99"/>
    <w:semiHidden/>
    <w:rsid w:val="0006736B"/>
    <w:rPr>
      <w:rFonts w:ascii="Tahoma" w:hAnsi="Tahoma" w:cs="Tahoma"/>
      <w:sz w:val="16"/>
      <w:szCs w:val="16"/>
    </w:rPr>
  </w:style>
  <w:style w:type="character" w:customStyle="1" w:styleId="Heading1Char">
    <w:name w:val="Heading 1 Char"/>
    <w:basedOn w:val="DefaultParagraphFont"/>
    <w:link w:val="Heading1"/>
    <w:uiPriority w:val="9"/>
    <w:rsid w:val="000C6613"/>
    <w:rPr>
      <w:rFonts w:ascii="Times New Roman" w:eastAsiaTheme="majorEastAsia" w:hAnsi="Times New Roman" w:cstheme="majorBidi"/>
      <w:b/>
      <w:bCs/>
      <w:caps/>
      <w:sz w:val="32"/>
      <w:szCs w:val="28"/>
      <w:lang w:val="en-GB"/>
    </w:rPr>
  </w:style>
  <w:style w:type="character" w:customStyle="1" w:styleId="Heading2Char">
    <w:name w:val="Heading 2 Char"/>
    <w:basedOn w:val="DefaultParagraphFont"/>
    <w:link w:val="Heading2"/>
    <w:uiPriority w:val="9"/>
    <w:rsid w:val="000C6613"/>
    <w:rPr>
      <w:rFonts w:ascii="Times New Roman" w:eastAsiaTheme="majorEastAsia" w:hAnsi="Times New Roman" w:cstheme="majorBidi"/>
      <w:b/>
      <w:smallCaps/>
      <w:sz w:val="28"/>
      <w:szCs w:val="26"/>
      <w:lang w:val="en-GB"/>
    </w:rPr>
  </w:style>
  <w:style w:type="character" w:customStyle="1" w:styleId="Heading3Char">
    <w:name w:val="Heading 3 Char"/>
    <w:basedOn w:val="DefaultParagraphFont"/>
    <w:link w:val="Heading3"/>
    <w:uiPriority w:val="9"/>
    <w:rsid w:val="000C6613"/>
    <w:rPr>
      <w:rFonts w:ascii="Times New Roman" w:eastAsiaTheme="majorEastAsia" w:hAnsi="Times New Roman" w:cstheme="majorBidi"/>
      <w:b/>
      <w:bCs/>
      <w:sz w:val="24"/>
      <w:szCs w:val="26"/>
      <w:lang w:val="en-GB"/>
    </w:rPr>
  </w:style>
  <w:style w:type="character" w:customStyle="1" w:styleId="Heading4Char">
    <w:name w:val="Heading 4 Char"/>
    <w:basedOn w:val="DefaultParagraphFont"/>
    <w:link w:val="Heading4"/>
    <w:uiPriority w:val="9"/>
    <w:rsid w:val="000C6613"/>
    <w:rPr>
      <w:rFonts w:ascii="Times New Roman" w:eastAsiaTheme="majorEastAsia" w:hAnsi="Times New Roman" w:cstheme="majorBidi"/>
      <w:i/>
      <w:iCs/>
      <w:sz w:val="24"/>
      <w:szCs w:val="26"/>
      <w:lang w:val="en-GB"/>
    </w:rPr>
  </w:style>
  <w:style w:type="character" w:customStyle="1" w:styleId="Heading5Char">
    <w:name w:val="Heading 5 Char"/>
    <w:basedOn w:val="DefaultParagraphFont"/>
    <w:link w:val="Heading5"/>
    <w:uiPriority w:val="9"/>
    <w:rsid w:val="000C6613"/>
    <w:rPr>
      <w:rFonts w:asciiTheme="majorHAnsi" w:eastAsiaTheme="majorEastAsia" w:hAnsiTheme="majorHAnsi" w:cstheme="majorBidi"/>
      <w:color w:val="243F60" w:themeColor="accent1" w:themeShade="7F"/>
      <w:sz w:val="24"/>
      <w:lang w:val="en-GB"/>
    </w:rPr>
  </w:style>
  <w:style w:type="character" w:customStyle="1" w:styleId="Heading6Char">
    <w:name w:val="Heading 6 Char"/>
    <w:basedOn w:val="DefaultParagraphFont"/>
    <w:link w:val="Heading6"/>
    <w:uiPriority w:val="9"/>
    <w:semiHidden/>
    <w:rsid w:val="000C6613"/>
    <w:rPr>
      <w:rFonts w:asciiTheme="majorHAnsi" w:eastAsiaTheme="majorEastAsia" w:hAnsiTheme="majorHAnsi" w:cstheme="majorBidi"/>
      <w:i/>
      <w:iCs/>
      <w:color w:val="243F60" w:themeColor="accent1" w:themeShade="7F"/>
      <w:sz w:val="24"/>
      <w:lang w:val="en-GB"/>
    </w:rPr>
  </w:style>
  <w:style w:type="character" w:customStyle="1" w:styleId="Heading7Char">
    <w:name w:val="Heading 7 Char"/>
    <w:basedOn w:val="DefaultParagraphFont"/>
    <w:link w:val="Heading7"/>
    <w:uiPriority w:val="9"/>
    <w:semiHidden/>
    <w:rsid w:val="000C6613"/>
    <w:rPr>
      <w:rFonts w:asciiTheme="majorHAnsi" w:eastAsiaTheme="majorEastAsia" w:hAnsiTheme="majorHAnsi" w:cstheme="majorBidi"/>
      <w:i/>
      <w:iCs/>
      <w:color w:val="404040" w:themeColor="text1" w:themeTint="BF"/>
      <w:sz w:val="24"/>
      <w:lang w:val="en-GB"/>
    </w:rPr>
  </w:style>
  <w:style w:type="character" w:customStyle="1" w:styleId="Heading8Char">
    <w:name w:val="Heading 8 Char"/>
    <w:basedOn w:val="DefaultParagraphFont"/>
    <w:link w:val="Heading8"/>
    <w:uiPriority w:val="9"/>
    <w:semiHidden/>
    <w:rsid w:val="000C6613"/>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uiPriority w:val="9"/>
    <w:semiHidden/>
    <w:rsid w:val="000C6613"/>
    <w:rPr>
      <w:rFonts w:asciiTheme="majorHAnsi" w:eastAsiaTheme="majorEastAsia" w:hAnsiTheme="majorHAnsi" w:cstheme="majorBidi"/>
      <w:i/>
      <w:iCs/>
      <w:color w:val="404040" w:themeColor="text1" w:themeTint="BF"/>
      <w:sz w:val="20"/>
      <w:szCs w:val="20"/>
      <w:lang w:val="en-GB"/>
    </w:rPr>
  </w:style>
  <w:style w:type="paragraph" w:customStyle="1" w:styleId="KBPSynopsis">
    <w:name w:val="KBP_Synopsis"/>
    <w:basedOn w:val="Normal"/>
    <w:qFormat/>
    <w:rsid w:val="000C6613"/>
    <w:pPr>
      <w:spacing w:before="60" w:after="60"/>
      <w:ind w:right="57"/>
    </w:pPr>
    <w:rPr>
      <w:sz w:val="20"/>
      <w:lang w:val="en-US"/>
    </w:rPr>
  </w:style>
  <w:style w:type="paragraph" w:customStyle="1" w:styleId="KBPTablefootnote">
    <w:name w:val="KBP_Table footnote"/>
    <w:basedOn w:val="Normal"/>
    <w:next w:val="KBPBodytext"/>
    <w:qFormat/>
    <w:rsid w:val="000C6613"/>
    <w:pPr>
      <w:keepNext/>
      <w:keepLines/>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D0B66F8651840CCB7E773128DBB4727"/>
        <w:category>
          <w:name w:val="General"/>
          <w:gallery w:val="placeholder"/>
        </w:category>
        <w:types>
          <w:type w:val="bbPlcHdr"/>
        </w:types>
        <w:behaviors>
          <w:behavior w:val="content"/>
        </w:behaviors>
        <w:guid w:val="{C3FE8BA4-1F50-4B67-ABBC-745274A4186E}"/>
      </w:docPartPr>
      <w:docPartBody>
        <w:p w:rsidR="00000000" w:rsidRDefault="009A327D" w:rsidP="009A327D">
          <w:pPr>
            <w:pStyle w:val="4D0B66F8651840CCB7E773128DBB4727"/>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27D"/>
    <w:rsid w:val="009A327D"/>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BE" w:eastAsia="fr-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0B66F8651840CCB7E773128DBB4727">
    <w:name w:val="4D0B66F8651840CCB7E773128DBB4727"/>
    <w:rsid w:val="009A327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BE" w:eastAsia="fr-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0B66F8651840CCB7E773128DBB4727">
    <w:name w:val="4D0B66F8651840CCB7E773128DBB4727"/>
    <w:rsid w:val="009A32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592</Words>
  <Characters>3256</Characters>
  <Application>Microsoft Office Word</Application>
  <DocSecurity>0</DocSecurity>
  <Lines>27</Lines>
  <Paragraphs>7</Paragraphs>
  <ScaleCrop>false</ScaleCrop>
  <Company>HP</Company>
  <LinksUpToDate>false</LinksUpToDate>
  <CharactersWithSpaces>3841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HEP001 Ureagenesis efficacy  Conclusion  -  CONFIDENTIAL</dc:title>
  <dc:creator>Kris Gellynck</dc:creator>
  <cp:lastModifiedBy>Kris Gellynck</cp:lastModifiedBy>
  <cp:revision>3</cp:revision>
  <dcterms:created xsi:type="dcterms:W3CDTF">2016-11-10T09:19:00Z</dcterms:created>
  <dcterms:modified xsi:type="dcterms:W3CDTF">2016-11-10T09:20:00Z</dcterms:modified>
</cp:coreProperties>
</file>