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9A2" w:rsidRPr="00DC7ED8" w:rsidRDefault="00381A83" w:rsidP="005639A2">
      <w:pPr>
        <w:pStyle w:val="KBPBodytext"/>
        <w:rPr>
          <w:b/>
          <w:sz w:val="32"/>
        </w:rPr>
      </w:pPr>
      <w:r>
        <w:rPr>
          <w:b/>
          <w:sz w:val="32"/>
        </w:rPr>
        <w:t>SAFETY EVALUATION</w:t>
      </w:r>
    </w:p>
    <w:p w:rsidR="00CB72FF" w:rsidRDefault="00CB72FF" w:rsidP="00AD33BE">
      <w:pPr>
        <w:pStyle w:val="KBPBodytext"/>
      </w:pPr>
      <w:r>
        <w:t xml:space="preserve">The data support the safety of HepaStem if precautions are taken for its administration. </w:t>
      </w:r>
    </w:p>
    <w:p w:rsidR="002B3C68" w:rsidRDefault="002B3C68" w:rsidP="00AD33BE">
      <w:pPr>
        <w:pStyle w:val="KBPBodytext"/>
      </w:pPr>
      <w:r>
        <w:t>Four</w:t>
      </w:r>
      <w:r w:rsidRPr="00500F65">
        <w:t xml:space="preserve"> patients were assigned </w:t>
      </w:r>
      <w:r>
        <w:t xml:space="preserve">to </w:t>
      </w:r>
      <w:r w:rsidRPr="00500F65">
        <w:t>low dose (12.5x10</w:t>
      </w:r>
      <w:r w:rsidRPr="00500F65">
        <w:rPr>
          <w:vertAlign w:val="superscript"/>
        </w:rPr>
        <w:t>6</w:t>
      </w:r>
      <w:r w:rsidRPr="00500F65">
        <w:t> cells/</w:t>
      </w:r>
      <w:r>
        <w:t>K</w:t>
      </w:r>
      <w:r w:rsidRPr="00500F65">
        <w:t xml:space="preserve">g), </w:t>
      </w:r>
      <w:r>
        <w:t xml:space="preserve">six to </w:t>
      </w:r>
      <w:r w:rsidRPr="00500F65">
        <w:t>medium dose (50x10</w:t>
      </w:r>
      <w:r w:rsidRPr="00500F65">
        <w:rPr>
          <w:vertAlign w:val="superscript"/>
        </w:rPr>
        <w:t>6</w:t>
      </w:r>
      <w:r w:rsidRPr="00500F65">
        <w:t> cells/</w:t>
      </w:r>
      <w:r>
        <w:t>K</w:t>
      </w:r>
      <w:r w:rsidRPr="00500F65">
        <w:t xml:space="preserve">g), and </w:t>
      </w:r>
      <w:r>
        <w:t>ten</w:t>
      </w:r>
      <w:r w:rsidRPr="00500F65">
        <w:t xml:space="preserve"> </w:t>
      </w:r>
      <w:r>
        <w:t xml:space="preserve">to </w:t>
      </w:r>
      <w:r w:rsidRPr="00500F65">
        <w:t>high dose (200x10</w:t>
      </w:r>
      <w:r w:rsidRPr="00500F65">
        <w:rPr>
          <w:vertAlign w:val="superscript"/>
        </w:rPr>
        <w:t>6</w:t>
      </w:r>
      <w:r w:rsidRPr="00500F65">
        <w:t> cells/</w:t>
      </w:r>
      <w:r>
        <w:t>K</w:t>
      </w:r>
      <w:r w:rsidRPr="00715DC9">
        <w:t>g)</w:t>
      </w:r>
      <w:r>
        <w:t xml:space="preserve"> with a limitation at 4 billion cells</w:t>
      </w:r>
      <w:r w:rsidRPr="00500F65">
        <w:t>.</w:t>
      </w:r>
      <w:r>
        <w:t xml:space="preserve"> Infusions were administered over 1-4 days.</w:t>
      </w:r>
      <w:r w:rsidR="00CB72FF">
        <w:t xml:space="preserve"> Due to age and weight differences this led to different total doses in the three dose groups.</w:t>
      </w:r>
    </w:p>
    <w:p w:rsidR="00B9112E" w:rsidRDefault="00CB72FF" w:rsidP="00AD33BE">
      <w:pPr>
        <w:pStyle w:val="KBPBodytext"/>
      </w:pPr>
      <w:r>
        <w:t xml:space="preserve">The highest reporting rate of AEs was observed during the hospitalisation period for HepaStem administration and during the first few days following hospitalisation. </w:t>
      </w:r>
      <w:r w:rsidR="00AD33BE">
        <w:t>The close monitoring of the patients implemented in the study allowed a rapid detection and treatment of AEs</w:t>
      </w:r>
      <w:r>
        <w:t xml:space="preserve">, mainly non-serious and mild or moderate. </w:t>
      </w:r>
      <w:r w:rsidR="002B3C68">
        <w:t xml:space="preserve">Two patients developed SAEs with thrombotic events. </w:t>
      </w:r>
      <w:r w:rsidR="00C10646">
        <w:t xml:space="preserve">One patient </w:t>
      </w:r>
      <w:r>
        <w:t xml:space="preserve">&gt;60 kg assigned to the medium dose </w:t>
      </w:r>
      <w:r w:rsidR="00F31325">
        <w:t xml:space="preserve">(total of 3.5 billion cells) </w:t>
      </w:r>
      <w:r w:rsidR="00CE25AF" w:rsidRPr="00500F65">
        <w:t xml:space="preserve">developed left </w:t>
      </w:r>
      <w:r w:rsidR="00CE25AF" w:rsidRPr="0061392A">
        <w:t>portal vein</w:t>
      </w:r>
      <w:r w:rsidR="00CE25AF">
        <w:t xml:space="preserve"> thrombosis after </w:t>
      </w:r>
      <w:r w:rsidR="00CE25AF" w:rsidRPr="00823C86">
        <w:t>receiv</w:t>
      </w:r>
      <w:r w:rsidR="00CE25AF">
        <w:t>ing</w:t>
      </w:r>
      <w:r w:rsidR="00CE25AF" w:rsidRPr="00823C86">
        <w:t xml:space="preserve"> the</w:t>
      </w:r>
      <w:r w:rsidR="00CE25AF">
        <w:t xml:space="preserve"> highest number of cells per day</w:t>
      </w:r>
      <w:r w:rsidR="00CE25AF" w:rsidRPr="008D5036">
        <w:t xml:space="preserve"> </w:t>
      </w:r>
      <w:r w:rsidR="00B9112E">
        <w:t xml:space="preserve">(2 </w:t>
      </w:r>
      <w:r w:rsidR="00CE25AF">
        <w:t>billion</w:t>
      </w:r>
      <w:r w:rsidR="00B9112E">
        <w:t xml:space="preserve"> </w:t>
      </w:r>
      <w:r w:rsidR="00C10646">
        <w:t>cells</w:t>
      </w:r>
      <w:r w:rsidR="00B9112E">
        <w:t>)</w:t>
      </w:r>
      <w:r w:rsidR="00CE25AF" w:rsidRPr="00500F65">
        <w:t>.</w:t>
      </w:r>
      <w:r w:rsidR="00CE25AF">
        <w:t xml:space="preserve"> </w:t>
      </w:r>
      <w:r w:rsidR="002B3C68" w:rsidRPr="00500F65">
        <w:t xml:space="preserve">The </w:t>
      </w:r>
      <w:r w:rsidR="002B3C68">
        <w:t>event</w:t>
      </w:r>
      <w:r w:rsidR="002B3C68" w:rsidRPr="00500F65">
        <w:t xml:space="preserve"> was not resolved </w:t>
      </w:r>
      <w:r w:rsidR="002B3C68">
        <w:t>at</w:t>
      </w:r>
      <w:r w:rsidR="002B3C68" w:rsidRPr="00500F65">
        <w:t xml:space="preserve"> </w:t>
      </w:r>
      <w:r w:rsidR="002B3C68">
        <w:t>M</w:t>
      </w:r>
      <w:r w:rsidR="002B3C68" w:rsidRPr="00500F65">
        <w:t xml:space="preserve">onth </w:t>
      </w:r>
      <w:r w:rsidR="002B3C68">
        <w:t>12</w:t>
      </w:r>
      <w:r w:rsidR="002B3C68" w:rsidRPr="00500F65">
        <w:t>, with persistent left portal vein flow</w:t>
      </w:r>
      <w:r w:rsidR="002B3C68">
        <w:t xml:space="preserve"> interruption, yet normal</w:t>
      </w:r>
      <w:r w:rsidR="002B3C68" w:rsidRPr="00500F65">
        <w:t xml:space="preserve"> </w:t>
      </w:r>
      <w:r w:rsidR="002B3C68">
        <w:t>l</w:t>
      </w:r>
      <w:r w:rsidR="002B3C68" w:rsidRPr="00500F65">
        <w:t>iver functional parameters (liver echography, liver enzymes</w:t>
      </w:r>
      <w:r w:rsidR="002B3C68">
        <w:t xml:space="preserve">, and bilirubin). </w:t>
      </w:r>
      <w:r w:rsidR="00C10646">
        <w:t>One patient</w:t>
      </w:r>
      <w:r w:rsidR="00B9112E">
        <w:t xml:space="preserve"> &gt;50kg assigned to the high dose (</w:t>
      </w:r>
      <w:r w:rsidR="00F31325">
        <w:t xml:space="preserve">total of </w:t>
      </w:r>
      <w:r w:rsidR="00B9112E">
        <w:t xml:space="preserve">4 billion cells) </w:t>
      </w:r>
      <w:r w:rsidR="00CE25AF" w:rsidRPr="00500F65">
        <w:t xml:space="preserve">developed intraluminal non-occlusive parietal thrombus of the main portal vein after </w:t>
      </w:r>
      <w:r w:rsidR="00CE25AF" w:rsidRPr="00B619BA">
        <w:t xml:space="preserve">removal of the </w:t>
      </w:r>
      <w:proofErr w:type="spellStart"/>
      <w:r w:rsidR="00CE25AF" w:rsidRPr="00B619BA">
        <w:t>transhepatic</w:t>
      </w:r>
      <w:proofErr w:type="spellEnd"/>
      <w:r w:rsidR="00CE25AF" w:rsidRPr="00B619BA">
        <w:t xml:space="preserve"> catheter </w:t>
      </w:r>
      <w:r w:rsidR="00B9112E">
        <w:t>left</w:t>
      </w:r>
      <w:r w:rsidR="00CE25AF" w:rsidRPr="00B619BA">
        <w:t xml:space="preserve"> in place for five</w:t>
      </w:r>
      <w:r w:rsidR="00B9112E">
        <w:t xml:space="preserve"> days</w:t>
      </w:r>
      <w:r w:rsidR="00CE25AF" w:rsidRPr="00B619BA">
        <w:t>.</w:t>
      </w:r>
      <w:r w:rsidR="00CE25AF">
        <w:t xml:space="preserve"> </w:t>
      </w:r>
      <w:r w:rsidR="002B3C68">
        <w:t xml:space="preserve">The event </w:t>
      </w:r>
      <w:r w:rsidR="00CE25AF" w:rsidRPr="00500F65">
        <w:t xml:space="preserve">fully resolved within </w:t>
      </w:r>
      <w:r w:rsidR="00CE25AF">
        <w:t>1</w:t>
      </w:r>
      <w:r w:rsidR="00CE25AF" w:rsidRPr="00500F65">
        <w:t xml:space="preserve"> month.</w:t>
      </w:r>
      <w:r w:rsidR="00CE25AF">
        <w:t xml:space="preserve"> </w:t>
      </w:r>
    </w:p>
    <w:p w:rsidR="00AD33BE" w:rsidRDefault="00AD33BE" w:rsidP="00AD33BE">
      <w:pPr>
        <w:pStyle w:val="KBPBodytext"/>
      </w:pPr>
      <w:r>
        <w:t xml:space="preserve">During the </w:t>
      </w:r>
      <w:r w:rsidR="00B9112E">
        <w:t xml:space="preserve">study, </w:t>
      </w:r>
      <w:r>
        <w:t xml:space="preserve">several patients had metabolic decompensation/ </w:t>
      </w:r>
      <w:proofErr w:type="spellStart"/>
      <w:r>
        <w:t>hyperammonaemia</w:t>
      </w:r>
      <w:proofErr w:type="spellEnd"/>
      <w:r>
        <w:t xml:space="preserve"> episodes or episodes of infection reported as SAEs, as could be expected in this population. </w:t>
      </w:r>
      <w:r w:rsidR="00F31325">
        <w:t>Events</w:t>
      </w:r>
      <w:r w:rsidRPr="005F447A">
        <w:t xml:space="preserve"> were more frequent in UCD patients compared to CN patients</w:t>
      </w:r>
      <w:r>
        <w:t>.</w:t>
      </w:r>
      <w:r w:rsidRPr="00566925">
        <w:t xml:space="preserve"> </w:t>
      </w:r>
      <w:r>
        <w:t xml:space="preserve">A steady background rate of AEs and SAEs during this FU period confirms the intrinsic fragility of patients with a brittle medical condition at risk of developing intercurrent diseases or presenting metabolic disturbances.  </w:t>
      </w:r>
    </w:p>
    <w:p w:rsidR="00F31325" w:rsidRDefault="00F31325" w:rsidP="00F31325">
      <w:pPr>
        <w:pStyle w:val="KBPBodytext"/>
      </w:pPr>
      <w:r>
        <w:rPr>
          <w:lang w:val="en-US"/>
        </w:rPr>
        <w:t xml:space="preserve">The data </w:t>
      </w:r>
      <w:r w:rsidR="002C398D">
        <w:rPr>
          <w:lang w:val="en-US"/>
        </w:rPr>
        <w:t xml:space="preserve">of the HEP001 study </w:t>
      </w:r>
      <w:r>
        <w:rPr>
          <w:lang w:val="en-US"/>
        </w:rPr>
        <w:t>support that infusions of doses up to 500x10</w:t>
      </w:r>
      <w:r w:rsidRPr="007F0251">
        <w:rPr>
          <w:vertAlign w:val="superscript"/>
          <w:lang w:val="en-US"/>
        </w:rPr>
        <w:t>6</w:t>
      </w:r>
      <w:r>
        <w:rPr>
          <w:lang w:val="en-US"/>
        </w:rPr>
        <w:t xml:space="preserve"> cells per day are within the safety margin.</w:t>
      </w:r>
      <w:bookmarkStart w:id="0" w:name="_GoBack"/>
      <w:bookmarkEnd w:id="0"/>
    </w:p>
    <w:p w:rsidR="003453E7" w:rsidRPr="005639A2" w:rsidRDefault="003453E7">
      <w:pPr>
        <w:rPr>
          <w:lang w:val="en-GB"/>
        </w:rPr>
      </w:pPr>
    </w:p>
    <w:sectPr w:rsidR="003453E7" w:rsidRPr="005639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DFE" w:rsidRDefault="00493DFE" w:rsidP="0006736B">
      <w:pPr>
        <w:spacing w:after="0" w:line="240" w:lineRule="auto"/>
      </w:pPr>
      <w:r>
        <w:separator/>
      </w:r>
    </w:p>
  </w:endnote>
  <w:endnote w:type="continuationSeparator" w:id="0">
    <w:p w:rsidR="00493DFE" w:rsidRDefault="00493DFE" w:rsidP="00067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6" w:rsidRDefault="00C1064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6" w:rsidRDefault="00C1064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6" w:rsidRDefault="00C106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DFE" w:rsidRDefault="00493DFE" w:rsidP="0006736B">
      <w:pPr>
        <w:spacing w:after="0" w:line="240" w:lineRule="auto"/>
      </w:pPr>
      <w:r>
        <w:separator/>
      </w:r>
    </w:p>
  </w:footnote>
  <w:footnote w:type="continuationSeparator" w:id="0">
    <w:p w:rsidR="00493DFE" w:rsidRDefault="00493DFE" w:rsidP="00067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6" w:rsidRDefault="00C1064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6" w:rsidRPr="0006736B" w:rsidRDefault="00C10646" w:rsidP="0006736B">
    <w:pPr>
      <w:pStyle w:val="Header"/>
      <w:pBdr>
        <w:bottom w:val="thickThinSmallGap" w:sz="24" w:space="1" w:color="622423" w:themeColor="accent2" w:themeShade="7F"/>
      </w:pBdr>
      <w:rPr>
        <w:rFonts w:asciiTheme="majorHAnsi" w:eastAsiaTheme="majorEastAsia" w:hAnsiTheme="majorHAnsi" w:cstheme="majorBidi"/>
        <w:sz w:val="32"/>
        <w:szCs w:val="32"/>
        <w:lang w:val="en-US"/>
      </w:rPr>
    </w:pPr>
    <w:r>
      <w:rPr>
        <w:rFonts w:ascii="Times New Roman" w:hAnsi="Times New Roman" w:cs="Times New Roman"/>
        <w:noProof/>
        <w:sz w:val="20"/>
        <w:szCs w:val="20"/>
        <w:lang w:val="en-US" w:eastAsia="fr-BE"/>
      </w:rPr>
      <w:tab/>
    </w:r>
    <w:sdt>
      <w:sdtPr>
        <w:rPr>
          <w:rFonts w:ascii="Times New Roman" w:hAnsi="Times New Roman" w:cs="Times New Roman"/>
          <w:noProof/>
          <w:sz w:val="20"/>
          <w:szCs w:val="20"/>
          <w:lang w:val="en-US" w:eastAsia="fr-BE"/>
        </w:rPr>
        <w:alias w:val="Title"/>
        <w:id w:val="77738743"/>
        <w:placeholder>
          <w:docPart w:val="4D0B66F8651840CCB7E773128DBB4727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Pr="00381A83">
          <w:rPr>
            <w:rFonts w:ascii="Times New Roman" w:hAnsi="Times New Roman" w:cs="Times New Roman"/>
            <w:noProof/>
            <w:sz w:val="20"/>
            <w:szCs w:val="20"/>
            <w:lang w:val="en-US" w:eastAsia="fr-BE"/>
          </w:rPr>
          <w:t>HEP001 Safety evaluation Conclusion  -  CONFIDENTIAL</w:t>
        </w:r>
      </w:sdtContent>
    </w:sdt>
    <w:r>
      <w:rPr>
        <w:rFonts w:ascii="Times New Roman" w:hAnsi="Times New Roman" w:cs="Times New Roman"/>
        <w:noProof/>
        <w:sz w:val="20"/>
        <w:szCs w:val="20"/>
        <w:lang w:val="en-US" w:eastAsia="fr-BE"/>
      </w:rPr>
      <w:tab/>
    </w:r>
    <w:r w:rsidRPr="0083113F">
      <w:rPr>
        <w:noProof/>
        <w:lang w:eastAsia="fr-BE"/>
      </w:rPr>
      <w:drawing>
        <wp:inline distT="0" distB="0" distL="0" distR="0" wp14:anchorId="012E9413" wp14:editId="72F34942">
          <wp:extent cx="1381125" cy="360096"/>
          <wp:effectExtent l="0" t="0" r="0" b="0"/>
          <wp:docPr id="3078" name="Picture 30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457" cy="360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0646" w:rsidRPr="0006736B" w:rsidRDefault="00C10646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46" w:rsidRDefault="00C106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9A2"/>
    <w:rsid w:val="0006736B"/>
    <w:rsid w:val="002B3C68"/>
    <w:rsid w:val="002C398D"/>
    <w:rsid w:val="003453E7"/>
    <w:rsid w:val="00381A83"/>
    <w:rsid w:val="003C38C7"/>
    <w:rsid w:val="00493DFE"/>
    <w:rsid w:val="005639A2"/>
    <w:rsid w:val="00757C47"/>
    <w:rsid w:val="00891E2B"/>
    <w:rsid w:val="00A005DC"/>
    <w:rsid w:val="00AD33BE"/>
    <w:rsid w:val="00B60C75"/>
    <w:rsid w:val="00B9112E"/>
    <w:rsid w:val="00C10646"/>
    <w:rsid w:val="00CB72FF"/>
    <w:rsid w:val="00CE25AF"/>
    <w:rsid w:val="00D4570F"/>
    <w:rsid w:val="00DC7ED8"/>
    <w:rsid w:val="00F3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BPBodytext">
    <w:name w:val="KBP_Body text"/>
    <w:basedOn w:val="Normal"/>
    <w:link w:val="KBPBodytextChar"/>
    <w:qFormat/>
    <w:rsid w:val="005639A2"/>
    <w:pPr>
      <w:spacing w:after="120" w:line="240" w:lineRule="auto"/>
      <w:jc w:val="both"/>
    </w:pPr>
    <w:rPr>
      <w:rFonts w:ascii="Times New Roman" w:eastAsiaTheme="majorEastAsia" w:hAnsi="Times New Roman" w:cs="Times New Roman"/>
      <w:sz w:val="24"/>
      <w:szCs w:val="24"/>
      <w:lang w:val="en-GB"/>
    </w:rPr>
  </w:style>
  <w:style w:type="character" w:customStyle="1" w:styleId="KBPBodytextChar">
    <w:name w:val="KBP_Body text Char"/>
    <w:basedOn w:val="DefaultParagraphFont"/>
    <w:link w:val="KBPBodytext"/>
    <w:rsid w:val="005639A2"/>
    <w:rPr>
      <w:rFonts w:ascii="Times New Roman" w:eastAsiaTheme="majorEastAsia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67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36B"/>
  </w:style>
  <w:style w:type="paragraph" w:styleId="Footer">
    <w:name w:val="footer"/>
    <w:basedOn w:val="Normal"/>
    <w:link w:val="FooterChar"/>
    <w:uiPriority w:val="99"/>
    <w:unhideWhenUsed/>
    <w:rsid w:val="00067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36B"/>
  </w:style>
  <w:style w:type="paragraph" w:styleId="BalloonText">
    <w:name w:val="Balloon Text"/>
    <w:basedOn w:val="Normal"/>
    <w:link w:val="BalloonTextChar"/>
    <w:uiPriority w:val="99"/>
    <w:semiHidden/>
    <w:unhideWhenUsed/>
    <w:rsid w:val="00067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3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BPBodytext">
    <w:name w:val="KBP_Body text"/>
    <w:basedOn w:val="Normal"/>
    <w:link w:val="KBPBodytextChar"/>
    <w:qFormat/>
    <w:rsid w:val="005639A2"/>
    <w:pPr>
      <w:spacing w:after="120" w:line="240" w:lineRule="auto"/>
      <w:jc w:val="both"/>
    </w:pPr>
    <w:rPr>
      <w:rFonts w:ascii="Times New Roman" w:eastAsiaTheme="majorEastAsia" w:hAnsi="Times New Roman" w:cs="Times New Roman"/>
      <w:sz w:val="24"/>
      <w:szCs w:val="24"/>
      <w:lang w:val="en-GB"/>
    </w:rPr>
  </w:style>
  <w:style w:type="character" w:customStyle="1" w:styleId="KBPBodytextChar">
    <w:name w:val="KBP_Body text Char"/>
    <w:basedOn w:val="DefaultParagraphFont"/>
    <w:link w:val="KBPBodytext"/>
    <w:rsid w:val="005639A2"/>
    <w:rPr>
      <w:rFonts w:ascii="Times New Roman" w:eastAsiaTheme="majorEastAsia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67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36B"/>
  </w:style>
  <w:style w:type="paragraph" w:styleId="Footer">
    <w:name w:val="footer"/>
    <w:basedOn w:val="Normal"/>
    <w:link w:val="FooterChar"/>
    <w:uiPriority w:val="99"/>
    <w:unhideWhenUsed/>
    <w:rsid w:val="00067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36B"/>
  </w:style>
  <w:style w:type="paragraph" w:styleId="BalloonText">
    <w:name w:val="Balloon Text"/>
    <w:basedOn w:val="Normal"/>
    <w:link w:val="BalloonTextChar"/>
    <w:uiPriority w:val="99"/>
    <w:semiHidden/>
    <w:unhideWhenUsed/>
    <w:rsid w:val="00067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3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D0B66F8651840CCB7E773128DBB4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8BA4-1F50-4B67-ABBC-745274A4186E}"/>
      </w:docPartPr>
      <w:docPartBody>
        <w:p w:rsidR="00DD33F7" w:rsidRDefault="009A327D" w:rsidP="009A327D">
          <w:pPr>
            <w:pStyle w:val="4D0B66F8651840CCB7E773128DBB472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27D"/>
    <w:rsid w:val="002037AA"/>
    <w:rsid w:val="00626EB2"/>
    <w:rsid w:val="006D174D"/>
    <w:rsid w:val="009A327D"/>
    <w:rsid w:val="00DD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D0B66F8651840CCB7E773128DBB4727">
    <w:name w:val="4D0B66F8651840CCB7E773128DBB4727"/>
    <w:rsid w:val="009A327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D0B66F8651840CCB7E773128DBB4727">
    <w:name w:val="4D0B66F8651840CCB7E773128DBB4727"/>
    <w:rsid w:val="009A32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HEP001 Safety evaluation Conclusion  -  CONFIDENTIAL</vt:lpstr>
    </vt:vector>
  </TitlesOfParts>
  <Company>HP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HEP001 Safety evaluation Conclusion  -  CONFIDENTIAL</dc:title>
  <dc:creator>Kris Gellynck</dc:creator>
  <cp:lastModifiedBy>Kris Gellynck</cp:lastModifiedBy>
  <cp:revision>2</cp:revision>
  <dcterms:created xsi:type="dcterms:W3CDTF">2016-12-22T12:18:00Z</dcterms:created>
  <dcterms:modified xsi:type="dcterms:W3CDTF">2016-12-22T12:18:00Z</dcterms:modified>
</cp:coreProperties>
</file>