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55D" w:rsidRDefault="00EB25CE">
      <w:bookmarkStart w:id="0" w:name="_GoBack"/>
      <w:r>
        <w:rPr>
          <w:noProof/>
          <w:lang w:eastAsia="de-DE"/>
        </w:rPr>
        <w:drawing>
          <wp:inline distT="0" distB="0" distL="0" distR="0" wp14:anchorId="4353E376" wp14:editId="5FDB9A8C">
            <wp:extent cx="4905375" cy="7229475"/>
            <wp:effectExtent l="0" t="0" r="9525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722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F055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5CE"/>
    <w:rsid w:val="000B7E79"/>
    <w:rsid w:val="0045382B"/>
    <w:rsid w:val="004F055D"/>
    <w:rsid w:val="00522C03"/>
    <w:rsid w:val="00EB2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7594BE-35E9-4BD8-A43B-CA036C2D5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Charité Universitaetsmedizin Berlin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Calvelo, Troishenley</dc:creator>
  <cp:keywords/>
  <dc:description/>
  <cp:lastModifiedBy>Calvelo, Troishenley</cp:lastModifiedBy>
  <cp:revision>3</cp:revision>
  <dcterms:created xsi:type="dcterms:W3CDTF">2022-10-20T09:39:00Z</dcterms:created>
  <dcterms:modified xsi:type="dcterms:W3CDTF">2022-10-20T09:40:00Z</dcterms:modified>
</cp:coreProperties>
</file>