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FE1CB" w14:textId="57361A22" w:rsidR="001270FD" w:rsidRPr="007B267B" w:rsidRDefault="007B267B">
      <w:pPr>
        <w:rPr>
          <w:b/>
          <w:bCs/>
          <w:sz w:val="40"/>
          <w:szCs w:val="40"/>
        </w:rPr>
      </w:pPr>
      <w:r w:rsidRPr="007B267B">
        <w:rPr>
          <w:b/>
          <w:bCs/>
          <w:sz w:val="40"/>
          <w:szCs w:val="40"/>
        </w:rPr>
        <w:t>Synopsis</w:t>
      </w:r>
    </w:p>
    <w:p w14:paraId="51956730" w14:textId="0B310084" w:rsidR="007B267B" w:rsidRDefault="007B267B"/>
    <w:tbl>
      <w:tblPr>
        <w:tblStyle w:val="Grigliatabella"/>
        <w:tblW w:w="9780" w:type="dxa"/>
        <w:tblLook w:val="04A0" w:firstRow="1" w:lastRow="0" w:firstColumn="1" w:lastColumn="0" w:noHBand="0" w:noVBand="1"/>
      </w:tblPr>
      <w:tblGrid>
        <w:gridCol w:w="2689"/>
        <w:gridCol w:w="7081"/>
        <w:gridCol w:w="10"/>
      </w:tblGrid>
      <w:tr w:rsidR="007B267B" w14:paraId="64AFC565" w14:textId="77777777" w:rsidTr="0030079A">
        <w:trPr>
          <w:gridAfter w:val="1"/>
          <w:wAfter w:w="10" w:type="dxa"/>
        </w:trPr>
        <w:tc>
          <w:tcPr>
            <w:tcW w:w="2689" w:type="dxa"/>
          </w:tcPr>
          <w:p w14:paraId="6C9DBCCA" w14:textId="5B0535AC" w:rsidR="007B267B" w:rsidRDefault="007B267B" w:rsidP="007B267B">
            <w:r w:rsidRPr="00020FEA">
              <w:rPr>
                <w:b/>
                <w:bCs/>
              </w:rPr>
              <w:t>Sponsor protocol code</w:t>
            </w:r>
          </w:p>
        </w:tc>
        <w:tc>
          <w:tcPr>
            <w:tcW w:w="7081" w:type="dxa"/>
          </w:tcPr>
          <w:p w14:paraId="7A608A8A" w14:textId="44830CDA" w:rsidR="007B267B" w:rsidRDefault="00E67AC1" w:rsidP="004E54E2">
            <w:pPr>
              <w:jc w:val="both"/>
            </w:pPr>
            <w:r w:rsidRPr="003E5644">
              <w:rPr>
                <w:rFonts w:ascii="Times New Roman" w:hAnsi="Times New Roman" w:cs="Times New Roman"/>
                <w:bCs/>
                <w:color w:val="000000"/>
                <w:szCs w:val="24"/>
                <w:lang w:val="en-US"/>
              </w:rPr>
              <w:t>Lais-Amb 11</w:t>
            </w:r>
          </w:p>
        </w:tc>
      </w:tr>
      <w:tr w:rsidR="007B267B" w14:paraId="74022990" w14:textId="77777777" w:rsidTr="0030079A">
        <w:trPr>
          <w:gridAfter w:val="1"/>
          <w:wAfter w:w="10" w:type="dxa"/>
        </w:trPr>
        <w:tc>
          <w:tcPr>
            <w:tcW w:w="2689" w:type="dxa"/>
          </w:tcPr>
          <w:p w14:paraId="463497DF" w14:textId="1209F16F" w:rsidR="007B267B" w:rsidRDefault="007B267B" w:rsidP="007B267B">
            <w:r w:rsidRPr="00020FEA">
              <w:rPr>
                <w:b/>
                <w:bCs/>
              </w:rPr>
              <w:t>EUDRACT Number</w:t>
            </w:r>
          </w:p>
        </w:tc>
        <w:tc>
          <w:tcPr>
            <w:tcW w:w="7081" w:type="dxa"/>
          </w:tcPr>
          <w:p w14:paraId="6AB31A3B" w14:textId="3E60083A" w:rsidR="007B267B" w:rsidRDefault="00E67AC1" w:rsidP="004E54E2">
            <w:pPr>
              <w:jc w:val="both"/>
            </w:pPr>
            <w:r w:rsidRPr="00E67AC1">
              <w:rPr>
                <w:bCs/>
                <w:lang w:val="en-US"/>
              </w:rPr>
              <w:t>2011-004522-10</w:t>
            </w:r>
          </w:p>
        </w:tc>
      </w:tr>
      <w:tr w:rsidR="007B267B" w14:paraId="3588ACBE" w14:textId="77777777" w:rsidTr="0030079A">
        <w:trPr>
          <w:gridAfter w:val="1"/>
          <w:wAfter w:w="10" w:type="dxa"/>
        </w:trPr>
        <w:tc>
          <w:tcPr>
            <w:tcW w:w="2689" w:type="dxa"/>
          </w:tcPr>
          <w:p w14:paraId="12017B3E" w14:textId="20D05144" w:rsidR="007B267B" w:rsidRDefault="007B267B" w:rsidP="007B267B">
            <w:r w:rsidRPr="00020FEA">
              <w:rPr>
                <w:b/>
                <w:bCs/>
              </w:rPr>
              <w:t xml:space="preserve">Name of sponsor: </w:t>
            </w:r>
          </w:p>
        </w:tc>
        <w:tc>
          <w:tcPr>
            <w:tcW w:w="7081" w:type="dxa"/>
          </w:tcPr>
          <w:p w14:paraId="5DE1ABCC" w14:textId="72CA5CDD" w:rsidR="007B267B" w:rsidRDefault="007B267B" w:rsidP="004E54E2">
            <w:pPr>
              <w:jc w:val="both"/>
            </w:pPr>
            <w:r w:rsidRPr="00020FEA">
              <w:t>Lofarma S.p.A.</w:t>
            </w:r>
          </w:p>
        </w:tc>
      </w:tr>
      <w:tr w:rsidR="007B267B" w14:paraId="482015CB" w14:textId="77777777" w:rsidTr="0030079A">
        <w:trPr>
          <w:gridAfter w:val="1"/>
          <w:wAfter w:w="10" w:type="dxa"/>
        </w:trPr>
        <w:tc>
          <w:tcPr>
            <w:tcW w:w="2689" w:type="dxa"/>
          </w:tcPr>
          <w:p w14:paraId="5757C39F" w14:textId="58598F35" w:rsidR="007B267B" w:rsidRDefault="007B267B" w:rsidP="007B267B">
            <w:r w:rsidRPr="00020FEA">
              <w:rPr>
                <w:b/>
                <w:bCs/>
              </w:rPr>
              <w:t>Sponsor organisation address</w:t>
            </w:r>
          </w:p>
        </w:tc>
        <w:tc>
          <w:tcPr>
            <w:tcW w:w="7081" w:type="dxa"/>
          </w:tcPr>
          <w:p w14:paraId="7ED7C715" w14:textId="77777777" w:rsidR="007B267B" w:rsidRPr="00020FEA" w:rsidRDefault="007B267B" w:rsidP="004E54E2">
            <w:pPr>
              <w:suppressLineNumbers/>
              <w:spacing w:line="259" w:lineRule="auto"/>
              <w:jc w:val="both"/>
            </w:pPr>
            <w:r w:rsidRPr="00020FEA">
              <w:t>Viale Cassala, 40</w:t>
            </w:r>
          </w:p>
          <w:p w14:paraId="36FD60DF" w14:textId="77777777" w:rsidR="007B267B" w:rsidRPr="00020FEA" w:rsidRDefault="007B267B" w:rsidP="004E54E2">
            <w:pPr>
              <w:suppressLineNumbers/>
              <w:spacing w:line="259" w:lineRule="auto"/>
              <w:jc w:val="both"/>
            </w:pPr>
            <w:r w:rsidRPr="00020FEA">
              <w:t>20143 Milano</w:t>
            </w:r>
          </w:p>
          <w:p w14:paraId="5CF8995B" w14:textId="317A28C0" w:rsidR="007B267B" w:rsidRDefault="007B267B" w:rsidP="004E54E2">
            <w:pPr>
              <w:jc w:val="both"/>
            </w:pPr>
            <w:r w:rsidRPr="00020FEA">
              <w:t>Italia</w:t>
            </w:r>
          </w:p>
        </w:tc>
      </w:tr>
      <w:tr w:rsidR="007B267B" w14:paraId="00DB8FA4" w14:textId="77777777" w:rsidTr="0030079A">
        <w:trPr>
          <w:gridAfter w:val="1"/>
          <w:wAfter w:w="10" w:type="dxa"/>
        </w:trPr>
        <w:tc>
          <w:tcPr>
            <w:tcW w:w="2689" w:type="dxa"/>
          </w:tcPr>
          <w:p w14:paraId="367A0A25" w14:textId="77777777" w:rsidR="007B267B" w:rsidRPr="00020FEA" w:rsidRDefault="007B267B" w:rsidP="007B267B">
            <w:pPr>
              <w:suppressLineNumbers/>
              <w:spacing w:after="160" w:line="259" w:lineRule="auto"/>
              <w:rPr>
                <w:b/>
                <w:bCs/>
              </w:rPr>
            </w:pPr>
            <w:r w:rsidRPr="00020FEA">
              <w:rPr>
                <w:b/>
                <w:bCs/>
              </w:rPr>
              <w:t>Coordinating investigator,</w:t>
            </w:r>
          </w:p>
          <w:p w14:paraId="11F0EF81" w14:textId="02E3F05B" w:rsidR="007B267B" w:rsidRDefault="007B267B" w:rsidP="007B267B">
            <w:r w:rsidRPr="00020FEA">
              <w:rPr>
                <w:b/>
                <w:bCs/>
              </w:rPr>
              <w:t xml:space="preserve">study centre: </w:t>
            </w:r>
          </w:p>
        </w:tc>
        <w:tc>
          <w:tcPr>
            <w:tcW w:w="7081" w:type="dxa"/>
          </w:tcPr>
          <w:p w14:paraId="549F6553" w14:textId="77777777" w:rsidR="00E67AC1" w:rsidRPr="00E67AC1" w:rsidRDefault="00E67AC1" w:rsidP="00E67AC1">
            <w:pPr>
              <w:jc w:val="both"/>
              <w:rPr>
                <w:bCs/>
                <w:highlight w:val="black"/>
                <w:lang w:val="en-GB"/>
              </w:rPr>
            </w:pPr>
            <w:r w:rsidRPr="00E67AC1">
              <w:rPr>
                <w:bCs/>
                <w:highlight w:val="black"/>
                <w:lang w:val="en-GB"/>
              </w:rPr>
              <w:t>Prof. Elide Pastorello, MD</w:t>
            </w:r>
          </w:p>
          <w:p w14:paraId="01FF11A0" w14:textId="77777777" w:rsidR="00E67AC1" w:rsidRPr="00E67AC1" w:rsidRDefault="00E67AC1" w:rsidP="00E67AC1">
            <w:pPr>
              <w:jc w:val="both"/>
              <w:rPr>
                <w:bCs/>
                <w:highlight w:val="black"/>
                <w:lang w:val="en-GB"/>
              </w:rPr>
            </w:pPr>
            <w:r w:rsidRPr="00E67AC1">
              <w:rPr>
                <w:bCs/>
                <w:highlight w:val="black"/>
                <w:lang w:val="en-GB"/>
              </w:rPr>
              <w:t>Director of the Medical Department of Allergy and Immunology</w:t>
            </w:r>
          </w:p>
          <w:p w14:paraId="6320EAC6" w14:textId="661B1DBB" w:rsidR="007B267B" w:rsidRDefault="00E67AC1" w:rsidP="00DD1E69">
            <w:pPr>
              <w:jc w:val="both"/>
            </w:pPr>
            <w:r w:rsidRPr="00E67AC1">
              <w:rPr>
                <w:bCs/>
                <w:highlight w:val="black"/>
              </w:rPr>
              <w:t xml:space="preserve">A.O. </w:t>
            </w:r>
            <w:r w:rsidRPr="00E67AC1">
              <w:rPr>
                <w:bCs/>
              </w:rPr>
              <w:t>Ospedale Ca’ Granda Niguarda.</w:t>
            </w:r>
          </w:p>
        </w:tc>
      </w:tr>
      <w:tr w:rsidR="007B267B" w14:paraId="5A34BB3C" w14:textId="77777777" w:rsidTr="0030079A">
        <w:trPr>
          <w:gridAfter w:val="1"/>
          <w:wAfter w:w="10" w:type="dxa"/>
          <w:trHeight w:val="621"/>
        </w:trPr>
        <w:tc>
          <w:tcPr>
            <w:tcW w:w="2689" w:type="dxa"/>
          </w:tcPr>
          <w:p w14:paraId="022234AA" w14:textId="266A0707" w:rsidR="007B267B" w:rsidRDefault="007B267B" w:rsidP="007B267B">
            <w:r w:rsidRPr="00020FEA">
              <w:rPr>
                <w:b/>
                <w:bCs/>
              </w:rPr>
              <w:t>Contract research organization</w:t>
            </w:r>
          </w:p>
        </w:tc>
        <w:tc>
          <w:tcPr>
            <w:tcW w:w="7081" w:type="dxa"/>
          </w:tcPr>
          <w:p w14:paraId="754B0611" w14:textId="70785B75" w:rsidR="007B267B" w:rsidRDefault="00E67AC1" w:rsidP="004E54E2">
            <w:pPr>
              <w:jc w:val="both"/>
            </w:pPr>
            <w:r w:rsidRPr="003E5644">
              <w:rPr>
                <w:rFonts w:ascii="Times New Roman" w:hAnsi="Times New Roman" w:cs="Times New Roman"/>
                <w:bCs/>
                <w:color w:val="000000"/>
                <w:szCs w:val="24"/>
                <w:lang w:val="en-GB"/>
              </w:rPr>
              <w:t>Synthesis Research Ltd</w:t>
            </w:r>
          </w:p>
        </w:tc>
      </w:tr>
      <w:tr w:rsidR="007B267B" w14:paraId="53637A56" w14:textId="77777777" w:rsidTr="0030079A">
        <w:trPr>
          <w:gridAfter w:val="1"/>
          <w:wAfter w:w="10" w:type="dxa"/>
        </w:trPr>
        <w:tc>
          <w:tcPr>
            <w:tcW w:w="2689" w:type="dxa"/>
          </w:tcPr>
          <w:p w14:paraId="33FFE475" w14:textId="59EF4323" w:rsidR="007B267B" w:rsidRDefault="007B267B" w:rsidP="007B267B">
            <w:r w:rsidRPr="00020FEA">
              <w:rPr>
                <w:b/>
                <w:bCs/>
              </w:rPr>
              <w:t>Protocol number</w:t>
            </w:r>
          </w:p>
        </w:tc>
        <w:tc>
          <w:tcPr>
            <w:tcW w:w="7081" w:type="dxa"/>
          </w:tcPr>
          <w:p w14:paraId="7AEC3969" w14:textId="487799E2" w:rsidR="007B267B" w:rsidRDefault="008453FA" w:rsidP="004E54E2">
            <w:pPr>
              <w:jc w:val="both"/>
            </w:pPr>
            <w:r w:rsidRPr="008453FA">
              <w:rPr>
                <w:lang w:val="en-US"/>
              </w:rPr>
              <w:t>May 2014</w:t>
            </w:r>
          </w:p>
        </w:tc>
      </w:tr>
      <w:tr w:rsidR="007B267B" w14:paraId="3A12FC90" w14:textId="77777777" w:rsidTr="0030079A">
        <w:trPr>
          <w:gridAfter w:val="1"/>
          <w:wAfter w:w="10" w:type="dxa"/>
        </w:trPr>
        <w:tc>
          <w:tcPr>
            <w:tcW w:w="2689" w:type="dxa"/>
          </w:tcPr>
          <w:p w14:paraId="2A592590" w14:textId="5E63AE96" w:rsidR="007B267B" w:rsidRDefault="007B267B" w:rsidP="007B267B">
            <w:r w:rsidRPr="00020FEA">
              <w:rPr>
                <w:b/>
                <w:bCs/>
              </w:rPr>
              <w:t>Date First Subject Entered</w:t>
            </w:r>
          </w:p>
        </w:tc>
        <w:tc>
          <w:tcPr>
            <w:tcW w:w="7081" w:type="dxa"/>
          </w:tcPr>
          <w:p w14:paraId="3902C381" w14:textId="7D2577F2" w:rsidR="007B267B" w:rsidRDefault="008453FA" w:rsidP="004E54E2">
            <w:pPr>
              <w:jc w:val="both"/>
            </w:pPr>
            <w:r w:rsidRPr="008453FA">
              <w:rPr>
                <w:bCs/>
                <w:lang w:val="en-US"/>
              </w:rPr>
              <w:t>July 2012</w:t>
            </w:r>
          </w:p>
        </w:tc>
      </w:tr>
      <w:tr w:rsidR="007B267B" w14:paraId="673E921C" w14:textId="77777777" w:rsidTr="0030079A">
        <w:trPr>
          <w:gridAfter w:val="1"/>
          <w:wAfter w:w="10" w:type="dxa"/>
        </w:trPr>
        <w:tc>
          <w:tcPr>
            <w:tcW w:w="2689" w:type="dxa"/>
          </w:tcPr>
          <w:p w14:paraId="34CD2E51" w14:textId="3AADB5B9" w:rsidR="007B267B" w:rsidRDefault="007B267B" w:rsidP="007B267B">
            <w:r w:rsidRPr="00020FEA">
              <w:rPr>
                <w:b/>
                <w:bCs/>
              </w:rPr>
              <w:t>Date Last Subject Completed</w:t>
            </w:r>
          </w:p>
        </w:tc>
        <w:tc>
          <w:tcPr>
            <w:tcW w:w="7081" w:type="dxa"/>
          </w:tcPr>
          <w:p w14:paraId="3E769BAA" w14:textId="2D2DD748" w:rsidR="007B267B" w:rsidRDefault="008453FA" w:rsidP="004E54E2">
            <w:pPr>
              <w:jc w:val="both"/>
            </w:pPr>
            <w:r w:rsidRPr="008453FA">
              <w:rPr>
                <w:bCs/>
                <w:lang w:val="en-US"/>
              </w:rPr>
              <w:t>12/06/2013</w:t>
            </w:r>
          </w:p>
        </w:tc>
      </w:tr>
      <w:tr w:rsidR="007B267B" w14:paraId="44B51735" w14:textId="77777777" w:rsidTr="0030079A">
        <w:trPr>
          <w:gridAfter w:val="1"/>
          <w:wAfter w:w="10" w:type="dxa"/>
        </w:trPr>
        <w:tc>
          <w:tcPr>
            <w:tcW w:w="2689" w:type="dxa"/>
          </w:tcPr>
          <w:p w14:paraId="6349876D" w14:textId="20E6FD71" w:rsidR="007B267B" w:rsidRDefault="007B267B" w:rsidP="007B267B">
            <w:r w:rsidRPr="00020FEA">
              <w:rPr>
                <w:b/>
                <w:bCs/>
              </w:rPr>
              <w:t xml:space="preserve">Study phase: </w:t>
            </w:r>
          </w:p>
        </w:tc>
        <w:tc>
          <w:tcPr>
            <w:tcW w:w="7081" w:type="dxa"/>
          </w:tcPr>
          <w:p w14:paraId="16DD593C" w14:textId="58959484" w:rsidR="007B267B" w:rsidRDefault="007B267B" w:rsidP="004E54E2">
            <w:pPr>
              <w:jc w:val="both"/>
            </w:pPr>
            <w:r w:rsidRPr="00020FEA">
              <w:t>phase II</w:t>
            </w:r>
          </w:p>
        </w:tc>
      </w:tr>
      <w:tr w:rsidR="007B267B" w:rsidRPr="00E126EF" w14:paraId="77ADD8DD" w14:textId="77777777" w:rsidTr="0030079A">
        <w:trPr>
          <w:gridAfter w:val="1"/>
          <w:wAfter w:w="10" w:type="dxa"/>
        </w:trPr>
        <w:tc>
          <w:tcPr>
            <w:tcW w:w="2689" w:type="dxa"/>
          </w:tcPr>
          <w:p w14:paraId="72481FDF" w14:textId="7D6F7C31" w:rsidR="007B267B" w:rsidRDefault="007B267B" w:rsidP="007B267B">
            <w:r w:rsidRPr="00020FEA">
              <w:rPr>
                <w:b/>
                <w:bCs/>
              </w:rPr>
              <w:t xml:space="preserve">Studied period (years): </w:t>
            </w:r>
          </w:p>
        </w:tc>
        <w:tc>
          <w:tcPr>
            <w:tcW w:w="7081" w:type="dxa"/>
          </w:tcPr>
          <w:p w14:paraId="53FBA320" w14:textId="015651C9" w:rsidR="007B267B" w:rsidRPr="008453FA" w:rsidRDefault="008453FA" w:rsidP="004E54E2">
            <w:pPr>
              <w:jc w:val="both"/>
              <w:rPr>
                <w:lang w:val="en-GB"/>
              </w:rPr>
            </w:pPr>
            <w:r>
              <w:rPr>
                <w:bCs/>
                <w:lang w:val="en-GB"/>
              </w:rPr>
              <w:t>D</w:t>
            </w:r>
            <w:r w:rsidRPr="008453FA">
              <w:rPr>
                <w:bCs/>
                <w:lang w:val="en-GB"/>
              </w:rPr>
              <w:t>uration of treatment for each patient was 16 weeks ± 2</w:t>
            </w:r>
          </w:p>
        </w:tc>
      </w:tr>
      <w:tr w:rsidR="007B267B" w14:paraId="2C9B37EF" w14:textId="77777777" w:rsidTr="0030079A">
        <w:trPr>
          <w:gridAfter w:val="1"/>
          <w:wAfter w:w="10" w:type="dxa"/>
        </w:trPr>
        <w:tc>
          <w:tcPr>
            <w:tcW w:w="2689" w:type="dxa"/>
          </w:tcPr>
          <w:p w14:paraId="6365991C" w14:textId="462505A5" w:rsidR="007B267B" w:rsidRDefault="007B267B" w:rsidP="007B267B">
            <w:r w:rsidRPr="00020FEA">
              <w:rPr>
                <w:b/>
                <w:bCs/>
              </w:rPr>
              <w:t>Public contact</w:t>
            </w:r>
          </w:p>
        </w:tc>
        <w:tc>
          <w:tcPr>
            <w:tcW w:w="7081" w:type="dxa"/>
          </w:tcPr>
          <w:p w14:paraId="15565D11" w14:textId="77777777" w:rsidR="007B267B" w:rsidRPr="00020FEA" w:rsidRDefault="007B267B" w:rsidP="004E54E2">
            <w:pPr>
              <w:suppressLineNumbers/>
              <w:spacing w:line="259" w:lineRule="auto"/>
              <w:jc w:val="both"/>
            </w:pPr>
            <w:r w:rsidRPr="00020FEA">
              <w:t>Lofarma S.p.A.</w:t>
            </w:r>
          </w:p>
          <w:p w14:paraId="2D3D0BA6" w14:textId="77777777" w:rsidR="007B267B" w:rsidRPr="00020FEA" w:rsidRDefault="007B267B" w:rsidP="004E54E2">
            <w:pPr>
              <w:suppressLineNumbers/>
              <w:spacing w:line="259" w:lineRule="auto"/>
              <w:jc w:val="both"/>
            </w:pPr>
            <w:r w:rsidRPr="00020FEA">
              <w:t>Viale Cassala, 40</w:t>
            </w:r>
          </w:p>
          <w:p w14:paraId="19F4BB2B" w14:textId="77777777" w:rsidR="007B267B" w:rsidRPr="00020FEA" w:rsidRDefault="007B267B" w:rsidP="004E54E2">
            <w:pPr>
              <w:suppressLineNumbers/>
              <w:spacing w:line="259" w:lineRule="auto"/>
              <w:jc w:val="both"/>
            </w:pPr>
            <w:r w:rsidRPr="00020FEA">
              <w:t>20143 Milano</w:t>
            </w:r>
          </w:p>
          <w:p w14:paraId="4BAFA6B4" w14:textId="5CBD2E9F" w:rsidR="007B267B" w:rsidRDefault="007B267B" w:rsidP="004E54E2">
            <w:pPr>
              <w:jc w:val="both"/>
            </w:pPr>
            <w:r w:rsidRPr="00020FEA">
              <w:t>ITALIA</w:t>
            </w:r>
          </w:p>
        </w:tc>
      </w:tr>
      <w:tr w:rsidR="007B267B" w14:paraId="761EE730" w14:textId="77777777" w:rsidTr="0030079A">
        <w:trPr>
          <w:gridAfter w:val="1"/>
          <w:wAfter w:w="10" w:type="dxa"/>
        </w:trPr>
        <w:tc>
          <w:tcPr>
            <w:tcW w:w="2689" w:type="dxa"/>
          </w:tcPr>
          <w:p w14:paraId="59BD9EEB" w14:textId="60B266F9" w:rsidR="007B267B" w:rsidRDefault="007B267B" w:rsidP="007B267B">
            <w:r w:rsidRPr="00020FEA">
              <w:rPr>
                <w:b/>
                <w:bCs/>
              </w:rPr>
              <w:t>Scientific contact</w:t>
            </w:r>
          </w:p>
        </w:tc>
        <w:tc>
          <w:tcPr>
            <w:tcW w:w="7081" w:type="dxa"/>
          </w:tcPr>
          <w:p w14:paraId="372536CC" w14:textId="77777777" w:rsidR="007B267B" w:rsidRPr="00020FEA" w:rsidRDefault="007B267B" w:rsidP="004E54E2">
            <w:pPr>
              <w:suppressLineNumbers/>
              <w:spacing w:line="259" w:lineRule="auto"/>
              <w:jc w:val="both"/>
            </w:pPr>
            <w:r w:rsidRPr="00020FEA">
              <w:t>Lofarma S.p.A.</w:t>
            </w:r>
          </w:p>
          <w:p w14:paraId="29B40FDF" w14:textId="77777777" w:rsidR="007B267B" w:rsidRPr="00020FEA" w:rsidRDefault="007B267B" w:rsidP="004E54E2">
            <w:pPr>
              <w:suppressLineNumbers/>
              <w:spacing w:line="259" w:lineRule="auto"/>
              <w:jc w:val="both"/>
            </w:pPr>
            <w:r w:rsidRPr="00020FEA">
              <w:t>Viale Cassala, 40</w:t>
            </w:r>
          </w:p>
          <w:p w14:paraId="7BD196BB" w14:textId="77777777" w:rsidR="007B267B" w:rsidRPr="00020FEA" w:rsidRDefault="007B267B" w:rsidP="004E54E2">
            <w:pPr>
              <w:suppressLineNumbers/>
              <w:spacing w:line="259" w:lineRule="auto"/>
              <w:jc w:val="both"/>
            </w:pPr>
            <w:r w:rsidRPr="00020FEA">
              <w:t>20143 Milano</w:t>
            </w:r>
          </w:p>
          <w:p w14:paraId="5A868811" w14:textId="44DB0B51" w:rsidR="007B267B" w:rsidRDefault="007B267B" w:rsidP="004E54E2">
            <w:pPr>
              <w:suppressLineNumbers/>
              <w:spacing w:line="259" w:lineRule="auto"/>
              <w:jc w:val="both"/>
            </w:pPr>
            <w:r w:rsidRPr="00020FEA">
              <w:t>ITALIA</w:t>
            </w:r>
          </w:p>
        </w:tc>
      </w:tr>
      <w:tr w:rsidR="007B267B" w14:paraId="3E8E1769" w14:textId="77777777" w:rsidTr="0030079A">
        <w:trPr>
          <w:gridAfter w:val="1"/>
          <w:wAfter w:w="10" w:type="dxa"/>
        </w:trPr>
        <w:tc>
          <w:tcPr>
            <w:tcW w:w="2689" w:type="dxa"/>
          </w:tcPr>
          <w:p w14:paraId="569221DB" w14:textId="438ADF51" w:rsidR="007B267B" w:rsidRPr="00020FEA" w:rsidRDefault="007B267B" w:rsidP="007B267B">
            <w:pPr>
              <w:rPr>
                <w:b/>
                <w:bCs/>
              </w:rPr>
            </w:pPr>
            <w:r w:rsidRPr="00020FEA">
              <w:rPr>
                <w:b/>
                <w:bCs/>
              </w:rPr>
              <w:t xml:space="preserve">Name of observational product: </w:t>
            </w:r>
          </w:p>
        </w:tc>
        <w:tc>
          <w:tcPr>
            <w:tcW w:w="7081" w:type="dxa"/>
          </w:tcPr>
          <w:p w14:paraId="3F29B83F" w14:textId="0E78DFBF" w:rsidR="007B267B" w:rsidRPr="00020FEA" w:rsidRDefault="008453FA" w:rsidP="004E54E2">
            <w:pPr>
              <w:suppressLineNumbers/>
              <w:jc w:val="both"/>
              <w:rPr>
                <w:lang w:val="en-GB"/>
              </w:rPr>
            </w:pPr>
            <w:r w:rsidRPr="003E5644">
              <w:rPr>
                <w:rFonts w:ascii="Times New Roman" w:hAnsi="Times New Roman" w:cs="Times New Roman"/>
                <w:bCs/>
                <w:color w:val="000000"/>
                <w:szCs w:val="24"/>
                <w:lang w:val="en-US"/>
              </w:rPr>
              <w:t>Lais</w:t>
            </w:r>
            <w:r w:rsidRPr="003E5644">
              <w:rPr>
                <w:rFonts w:ascii="Times New Roman" w:hAnsi="Times New Roman" w:cs="Times New Roman"/>
                <w:sz w:val="20"/>
                <w:vertAlign w:val="superscript"/>
              </w:rPr>
              <w:sym w:font="Symbol" w:char="F0D2"/>
            </w:r>
            <w:r w:rsidRPr="003E5644">
              <w:rPr>
                <w:rFonts w:ascii="Times New Roman" w:hAnsi="Times New Roman" w:cs="Times New Roman"/>
                <w:bCs/>
                <w:color w:val="000000"/>
                <w:szCs w:val="24"/>
                <w:lang w:val="en-US"/>
              </w:rPr>
              <w:t xml:space="preserve"> Ambrosia tablets</w:t>
            </w:r>
          </w:p>
        </w:tc>
      </w:tr>
      <w:tr w:rsidR="007B267B" w:rsidRPr="00E67AC1" w14:paraId="251A1043" w14:textId="77777777" w:rsidTr="0030079A">
        <w:trPr>
          <w:gridAfter w:val="1"/>
          <w:wAfter w:w="10" w:type="dxa"/>
        </w:trPr>
        <w:tc>
          <w:tcPr>
            <w:tcW w:w="2689" w:type="dxa"/>
          </w:tcPr>
          <w:p w14:paraId="7F5FEAC3" w14:textId="1A2E0DD1" w:rsidR="007B267B" w:rsidRPr="00020FEA" w:rsidRDefault="007B267B" w:rsidP="007B267B">
            <w:pPr>
              <w:rPr>
                <w:b/>
                <w:bCs/>
              </w:rPr>
            </w:pPr>
            <w:r w:rsidRPr="00020FEA">
              <w:rPr>
                <w:b/>
                <w:bCs/>
              </w:rPr>
              <w:t xml:space="preserve">Name of active ingredients: </w:t>
            </w:r>
          </w:p>
        </w:tc>
        <w:tc>
          <w:tcPr>
            <w:tcW w:w="7081" w:type="dxa"/>
          </w:tcPr>
          <w:p w14:paraId="1DBE3593" w14:textId="0047D4CA" w:rsidR="007B267B" w:rsidRPr="00020FEA" w:rsidRDefault="001902F6" w:rsidP="004E54E2">
            <w:pPr>
              <w:suppressLineNumbers/>
              <w:jc w:val="both"/>
              <w:rPr>
                <w:lang w:val="en-GB"/>
              </w:rPr>
            </w:pPr>
            <w:r w:rsidRPr="001902F6">
              <w:rPr>
                <w:bCs/>
                <w:lang w:val="en-GB"/>
              </w:rPr>
              <w:t>allergoid monomeric ragweed (Ambrosia LAIS)</w:t>
            </w:r>
          </w:p>
        </w:tc>
      </w:tr>
      <w:tr w:rsidR="007B267B" w:rsidRPr="00E67AC1" w14:paraId="7A3EE0BF" w14:textId="77777777" w:rsidTr="0030079A">
        <w:trPr>
          <w:gridAfter w:val="1"/>
          <w:wAfter w:w="10" w:type="dxa"/>
        </w:trPr>
        <w:tc>
          <w:tcPr>
            <w:tcW w:w="2689" w:type="dxa"/>
          </w:tcPr>
          <w:p w14:paraId="03FF263A" w14:textId="25DB3E99" w:rsidR="007B267B" w:rsidRPr="007B267B" w:rsidRDefault="007B267B" w:rsidP="007B267B">
            <w:pPr>
              <w:rPr>
                <w:b/>
                <w:bCs/>
                <w:lang w:val="en-GB"/>
              </w:rPr>
            </w:pPr>
            <w:r w:rsidRPr="00020FEA">
              <w:rPr>
                <w:b/>
                <w:bCs/>
                <w:lang w:val="en-GB"/>
              </w:rPr>
              <w:t xml:space="preserve">Route of administration and dose: </w:t>
            </w:r>
          </w:p>
        </w:tc>
        <w:tc>
          <w:tcPr>
            <w:tcW w:w="7081" w:type="dxa"/>
          </w:tcPr>
          <w:p w14:paraId="6E6A2CA0" w14:textId="60B5BF73" w:rsidR="007B267B" w:rsidRPr="00020FEA" w:rsidRDefault="005B15CA" w:rsidP="004E54E2">
            <w:pPr>
              <w:suppressLineNumbers/>
              <w:jc w:val="both"/>
              <w:rPr>
                <w:lang w:val="en-GB"/>
              </w:rPr>
            </w:pPr>
            <w:r>
              <w:rPr>
                <w:lang w:val="en-GB"/>
              </w:rPr>
              <w:t>Sublingual</w:t>
            </w:r>
          </w:p>
        </w:tc>
      </w:tr>
      <w:tr w:rsidR="007B267B" w:rsidRPr="00E126EF" w14:paraId="264382FB" w14:textId="77777777" w:rsidTr="0030079A">
        <w:trPr>
          <w:gridAfter w:val="1"/>
          <w:wAfter w:w="10" w:type="dxa"/>
        </w:trPr>
        <w:tc>
          <w:tcPr>
            <w:tcW w:w="2689" w:type="dxa"/>
          </w:tcPr>
          <w:p w14:paraId="26115FD3" w14:textId="7968683B" w:rsidR="007B267B" w:rsidRPr="00020FEA" w:rsidRDefault="007B267B" w:rsidP="007B267B">
            <w:pPr>
              <w:rPr>
                <w:b/>
                <w:bCs/>
                <w:lang w:val="en-GB"/>
              </w:rPr>
            </w:pPr>
            <w:r w:rsidRPr="00020FEA">
              <w:rPr>
                <w:b/>
                <w:bCs/>
              </w:rPr>
              <w:t xml:space="preserve">Title of study: </w:t>
            </w:r>
          </w:p>
        </w:tc>
        <w:tc>
          <w:tcPr>
            <w:tcW w:w="7081" w:type="dxa"/>
          </w:tcPr>
          <w:p w14:paraId="67842928" w14:textId="77777777" w:rsidR="005B15CA" w:rsidRPr="005B15CA" w:rsidRDefault="005B15CA" w:rsidP="005B15CA">
            <w:pPr>
              <w:suppressLineNumbers/>
              <w:jc w:val="both"/>
              <w:rPr>
                <w:iCs/>
                <w:lang w:val="en-US"/>
              </w:rPr>
            </w:pPr>
            <w:r w:rsidRPr="005B15CA">
              <w:rPr>
                <w:iCs/>
                <w:lang w:val="en-US"/>
              </w:rPr>
              <w:t>Study of the efficacy and safety of three different doses of Lais Ambrosia tablets in patients with allergic rhinoconjunctivitis to ragweed pollen.</w:t>
            </w:r>
          </w:p>
          <w:p w14:paraId="0395D61B" w14:textId="165A301D" w:rsidR="007B267B" w:rsidRPr="005B15CA" w:rsidRDefault="007B267B" w:rsidP="004E54E2">
            <w:pPr>
              <w:suppressLineNumbers/>
              <w:jc w:val="both"/>
              <w:rPr>
                <w:iCs/>
                <w:lang w:val="en-US"/>
              </w:rPr>
            </w:pPr>
          </w:p>
        </w:tc>
      </w:tr>
      <w:tr w:rsidR="007B267B" w:rsidRPr="00E126EF" w14:paraId="02411E03" w14:textId="77777777" w:rsidTr="0030079A">
        <w:trPr>
          <w:gridAfter w:val="1"/>
          <w:wAfter w:w="10" w:type="dxa"/>
        </w:trPr>
        <w:tc>
          <w:tcPr>
            <w:tcW w:w="2689" w:type="dxa"/>
          </w:tcPr>
          <w:p w14:paraId="18D5F36C" w14:textId="2CF1624B" w:rsidR="007B267B" w:rsidRPr="00020FEA" w:rsidRDefault="007B267B" w:rsidP="007B267B">
            <w:pPr>
              <w:rPr>
                <w:b/>
                <w:bCs/>
                <w:lang w:val="en-GB"/>
              </w:rPr>
            </w:pPr>
            <w:r w:rsidRPr="00020FEA">
              <w:rPr>
                <w:b/>
                <w:bCs/>
              </w:rPr>
              <w:t xml:space="preserve">Objective: </w:t>
            </w:r>
          </w:p>
        </w:tc>
        <w:tc>
          <w:tcPr>
            <w:tcW w:w="7081" w:type="dxa"/>
          </w:tcPr>
          <w:p w14:paraId="5DA6CAC1" w14:textId="77777777" w:rsidR="001902F6" w:rsidRPr="001902F6" w:rsidRDefault="001902F6" w:rsidP="001902F6">
            <w:pPr>
              <w:suppressLineNumbers/>
              <w:jc w:val="both"/>
              <w:rPr>
                <w:lang w:val="en-GB"/>
              </w:rPr>
            </w:pPr>
            <w:r w:rsidRPr="001902F6">
              <w:rPr>
                <w:lang w:val="en-GB"/>
              </w:rPr>
              <w:t>The aim of the study was to evaluate the efficacy and safety of SLIT treatment with allergoid monomeric ragweed (Ambrosia LAIS) using and comparing three different and incremental doses in patients who are allergic to ragweed, suffering from allergic rhino-conjunctivitis pollen ambrosia.</w:t>
            </w:r>
          </w:p>
          <w:p w14:paraId="62E83B8B" w14:textId="1CF484EE" w:rsidR="007B267B" w:rsidRPr="00020FEA" w:rsidRDefault="007B267B" w:rsidP="004E54E2">
            <w:pPr>
              <w:suppressLineNumbers/>
              <w:jc w:val="both"/>
              <w:rPr>
                <w:lang w:val="en-GB"/>
              </w:rPr>
            </w:pPr>
          </w:p>
        </w:tc>
      </w:tr>
      <w:tr w:rsidR="007B267B" w:rsidRPr="00E126EF" w14:paraId="663CCE38" w14:textId="77777777" w:rsidTr="0030079A">
        <w:trPr>
          <w:gridAfter w:val="1"/>
          <w:wAfter w:w="10" w:type="dxa"/>
        </w:trPr>
        <w:tc>
          <w:tcPr>
            <w:tcW w:w="2689" w:type="dxa"/>
          </w:tcPr>
          <w:p w14:paraId="6EF2D42C" w14:textId="610E35B9" w:rsidR="007B267B" w:rsidRPr="00020FEA" w:rsidRDefault="007B267B" w:rsidP="007B267B">
            <w:pPr>
              <w:rPr>
                <w:b/>
                <w:bCs/>
                <w:lang w:val="en-GB"/>
              </w:rPr>
            </w:pPr>
            <w:r w:rsidRPr="00020FEA">
              <w:rPr>
                <w:b/>
                <w:bCs/>
              </w:rPr>
              <w:t>Endpoints:</w:t>
            </w:r>
          </w:p>
        </w:tc>
        <w:tc>
          <w:tcPr>
            <w:tcW w:w="7081" w:type="dxa"/>
          </w:tcPr>
          <w:p w14:paraId="5895EB9B" w14:textId="77777777" w:rsidR="007C5A24" w:rsidRPr="007C5A24" w:rsidRDefault="007C5A24" w:rsidP="006B0C6B">
            <w:pPr>
              <w:suppressLineNumbers/>
              <w:jc w:val="both"/>
              <w:rPr>
                <w:b/>
                <w:u w:val="single"/>
                <w:lang w:val="en-GB"/>
              </w:rPr>
            </w:pPr>
            <w:r w:rsidRPr="007C5A24">
              <w:rPr>
                <w:b/>
                <w:u w:val="single"/>
                <w:lang w:val="en-GB"/>
              </w:rPr>
              <w:t>Primary</w:t>
            </w:r>
          </w:p>
          <w:p w14:paraId="2643107C" w14:textId="3C0D87E4" w:rsidR="006B0C6B" w:rsidRPr="006B0C6B" w:rsidRDefault="006B0C6B" w:rsidP="006B0C6B">
            <w:pPr>
              <w:suppressLineNumbers/>
              <w:jc w:val="both"/>
              <w:rPr>
                <w:bCs/>
                <w:lang w:val="en-GB"/>
              </w:rPr>
            </w:pPr>
            <w:r w:rsidRPr="006B0C6B">
              <w:rPr>
                <w:bCs/>
                <w:lang w:val="en-GB"/>
              </w:rPr>
              <w:t xml:space="preserve">The efficacy of sublingual immunotherapy tablets with allergoid LAIS Ambrosia was assessed through the measurement of individual variation in the specific nasal provocation test (NPT) test performed with Ambrosia Allerkin who represented the primary endpoint of the study. The evaluation of the effectiveness of the three doses of Lais Ambrosia was conducted by running the following tests: </w:t>
            </w:r>
          </w:p>
          <w:p w14:paraId="75DC2076" w14:textId="77777777" w:rsidR="006B0C6B" w:rsidRPr="006B0C6B" w:rsidRDefault="006B0C6B" w:rsidP="006B0C6B">
            <w:pPr>
              <w:numPr>
                <w:ilvl w:val="0"/>
                <w:numId w:val="2"/>
              </w:numPr>
              <w:suppressLineNumbers/>
              <w:jc w:val="both"/>
              <w:rPr>
                <w:bCs/>
                <w:lang w:val="en-GB"/>
              </w:rPr>
            </w:pPr>
            <w:r w:rsidRPr="006B0C6B">
              <w:rPr>
                <w:bCs/>
                <w:lang w:val="en-GB"/>
              </w:rPr>
              <w:lastRenderedPageBreak/>
              <w:t xml:space="preserve">Skin Prick Test (diagnostic criterion for the sole purpose of inclusion in the study) </w:t>
            </w:r>
          </w:p>
          <w:p w14:paraId="18D650A5" w14:textId="77777777" w:rsidR="006B0C6B" w:rsidRPr="006B0C6B" w:rsidRDefault="006B0C6B" w:rsidP="006B0C6B">
            <w:pPr>
              <w:numPr>
                <w:ilvl w:val="0"/>
                <w:numId w:val="2"/>
              </w:numPr>
              <w:suppressLineNumbers/>
              <w:jc w:val="both"/>
              <w:rPr>
                <w:bCs/>
                <w:lang w:val="en-GB"/>
              </w:rPr>
            </w:pPr>
            <w:r w:rsidRPr="006B0C6B">
              <w:rPr>
                <w:bCs/>
                <w:lang w:val="en-GB"/>
              </w:rPr>
              <w:t>CAP-test (for the sole purpose as a diagnostic criterion for inclusion in the study)</w:t>
            </w:r>
          </w:p>
          <w:p w14:paraId="70E0947E" w14:textId="493012E1" w:rsidR="006B0C6B" w:rsidRDefault="006B0C6B" w:rsidP="006B0C6B">
            <w:pPr>
              <w:numPr>
                <w:ilvl w:val="0"/>
                <w:numId w:val="2"/>
              </w:numPr>
              <w:suppressLineNumbers/>
              <w:jc w:val="both"/>
              <w:rPr>
                <w:bCs/>
                <w:lang w:val="en-US"/>
              </w:rPr>
            </w:pPr>
            <w:r w:rsidRPr="006B0C6B">
              <w:rPr>
                <w:bCs/>
                <w:lang w:val="en-US"/>
              </w:rPr>
              <w:t>specific nasal provocation test with allergen (TPN) and Peak Nasal Inspiratory Flow (NPIF).</w:t>
            </w:r>
          </w:p>
          <w:p w14:paraId="54511030" w14:textId="09F343AF" w:rsidR="007C5A24" w:rsidRPr="006B0C6B" w:rsidRDefault="007C5A24" w:rsidP="007C5A24">
            <w:pPr>
              <w:suppressLineNumbers/>
              <w:jc w:val="both"/>
              <w:rPr>
                <w:b/>
                <w:u w:val="single"/>
                <w:lang w:val="en-US"/>
              </w:rPr>
            </w:pPr>
            <w:r w:rsidRPr="007C5A24">
              <w:rPr>
                <w:b/>
                <w:u w:val="single"/>
                <w:lang w:val="en-US"/>
              </w:rPr>
              <w:t>Secondary</w:t>
            </w:r>
          </w:p>
          <w:p w14:paraId="120FEADC" w14:textId="69DE1692" w:rsidR="007C5A24" w:rsidRPr="007C5A24" w:rsidRDefault="007C5A24" w:rsidP="007C5A24">
            <w:pPr>
              <w:suppressLineNumbers/>
              <w:jc w:val="both"/>
              <w:rPr>
                <w:lang w:val="en-US"/>
              </w:rPr>
            </w:pPr>
            <w:r w:rsidRPr="007C5A24">
              <w:rPr>
                <w:lang w:val="en-US"/>
              </w:rPr>
              <w:t>­</w:t>
            </w:r>
            <w:r w:rsidRPr="007C5A24">
              <w:rPr>
                <w:lang w:val="en-US"/>
              </w:rPr>
              <w:tab/>
              <w:t>The Peak Nasal Inspiratory Flow (</w:t>
            </w:r>
            <w:proofErr w:type="gramStart"/>
            <w:r w:rsidRPr="007C5A24">
              <w:rPr>
                <w:lang w:val="en-US"/>
              </w:rPr>
              <w:t>NPIF )</w:t>
            </w:r>
            <w:proofErr w:type="gramEnd"/>
          </w:p>
          <w:p w14:paraId="74C28A33" w14:textId="07B1C06F" w:rsidR="007B267B" w:rsidRPr="006B0C6B" w:rsidRDefault="007C5A24" w:rsidP="007C5A24">
            <w:pPr>
              <w:suppressLineNumbers/>
              <w:jc w:val="both"/>
              <w:rPr>
                <w:lang w:val="en-US"/>
              </w:rPr>
            </w:pPr>
            <w:r w:rsidRPr="007C5A24">
              <w:rPr>
                <w:lang w:val="en-US"/>
              </w:rPr>
              <w:t>­</w:t>
            </w:r>
            <w:r w:rsidRPr="007C5A24">
              <w:rPr>
                <w:lang w:val="en-US"/>
              </w:rPr>
              <w:tab/>
              <w:t>Tolerability and safety of Lais ambrosia ®</w:t>
            </w:r>
          </w:p>
        </w:tc>
      </w:tr>
      <w:tr w:rsidR="007B267B" w:rsidRPr="00E126EF" w14:paraId="78D61ACA" w14:textId="77777777" w:rsidTr="0030079A">
        <w:trPr>
          <w:gridAfter w:val="1"/>
          <w:wAfter w:w="10" w:type="dxa"/>
        </w:trPr>
        <w:tc>
          <w:tcPr>
            <w:tcW w:w="2689" w:type="dxa"/>
          </w:tcPr>
          <w:p w14:paraId="43600DE4" w14:textId="40C9FE43" w:rsidR="007B267B" w:rsidRPr="00020FEA" w:rsidRDefault="007B267B" w:rsidP="007B267B">
            <w:pPr>
              <w:rPr>
                <w:b/>
                <w:bCs/>
                <w:lang w:val="en-GB"/>
              </w:rPr>
            </w:pPr>
            <w:r w:rsidRPr="00020FEA">
              <w:rPr>
                <w:b/>
                <w:bCs/>
              </w:rPr>
              <w:lastRenderedPageBreak/>
              <w:t>Population of trial subjects</w:t>
            </w:r>
          </w:p>
        </w:tc>
        <w:tc>
          <w:tcPr>
            <w:tcW w:w="7081" w:type="dxa"/>
          </w:tcPr>
          <w:p w14:paraId="0A984732" w14:textId="2A84D12E" w:rsidR="0030079A" w:rsidRPr="0030079A" w:rsidRDefault="0030079A" w:rsidP="0030079A">
            <w:pPr>
              <w:suppressLineNumbers/>
              <w:jc w:val="both"/>
              <w:rPr>
                <w:bCs/>
                <w:lang w:val="en-GB"/>
              </w:rPr>
            </w:pPr>
            <w:r w:rsidRPr="0030079A">
              <w:rPr>
                <w:bCs/>
                <w:lang w:val="en-GB"/>
              </w:rPr>
              <w:t>A total of 105 patients, male or female between the ages of 18 and 75 years</w:t>
            </w:r>
            <w:r>
              <w:rPr>
                <w:bCs/>
                <w:lang w:val="en-GB"/>
              </w:rPr>
              <w:t>.</w:t>
            </w:r>
            <w:r w:rsidRPr="0030079A">
              <w:rPr>
                <w:rFonts w:ascii="Times New Roman" w:eastAsiaTheme="minorEastAsia" w:hAnsi="Times New Roman" w:cs="Times New Roman"/>
                <w:bCs/>
                <w:color w:val="000000"/>
                <w:szCs w:val="24"/>
                <w:lang w:val="en-GB"/>
              </w:rPr>
              <w:t xml:space="preserve"> </w:t>
            </w:r>
            <w:r w:rsidRPr="0030079A">
              <w:rPr>
                <w:bCs/>
                <w:lang w:val="en-GB"/>
              </w:rPr>
              <w:t xml:space="preserve">it was expected that at least 84 patients had to complete the study. </w:t>
            </w:r>
          </w:p>
          <w:p w14:paraId="5701BDAB" w14:textId="0EF00F3A" w:rsidR="007B267B" w:rsidRPr="00020FEA" w:rsidRDefault="0030079A" w:rsidP="0030079A">
            <w:pPr>
              <w:suppressLineNumbers/>
              <w:jc w:val="both"/>
              <w:rPr>
                <w:lang w:val="en-GB"/>
              </w:rPr>
            </w:pPr>
            <w:r>
              <w:rPr>
                <w:bCs/>
                <w:lang w:val="en-GB"/>
              </w:rPr>
              <w:t xml:space="preserve"> </w:t>
            </w:r>
          </w:p>
        </w:tc>
      </w:tr>
      <w:tr w:rsidR="007B267B" w:rsidRPr="00E126EF" w14:paraId="525D3385" w14:textId="77777777" w:rsidTr="0030079A">
        <w:trPr>
          <w:gridAfter w:val="1"/>
          <w:wAfter w:w="10" w:type="dxa"/>
        </w:trPr>
        <w:tc>
          <w:tcPr>
            <w:tcW w:w="2689" w:type="dxa"/>
          </w:tcPr>
          <w:p w14:paraId="77F9C606" w14:textId="259A9CE6" w:rsidR="007B267B" w:rsidRPr="00020FEA" w:rsidRDefault="007B267B" w:rsidP="007B267B">
            <w:pPr>
              <w:rPr>
                <w:b/>
                <w:bCs/>
                <w:lang w:val="en-GB"/>
              </w:rPr>
            </w:pPr>
            <w:r w:rsidRPr="00020FEA">
              <w:rPr>
                <w:b/>
                <w:bCs/>
              </w:rPr>
              <w:t>Study Design</w:t>
            </w:r>
          </w:p>
        </w:tc>
        <w:tc>
          <w:tcPr>
            <w:tcW w:w="7081" w:type="dxa"/>
          </w:tcPr>
          <w:p w14:paraId="120B41DA" w14:textId="77777777" w:rsidR="007B267B" w:rsidRDefault="0030079A" w:rsidP="004E54E2">
            <w:pPr>
              <w:suppressLineNumbers/>
              <w:jc w:val="both"/>
              <w:rPr>
                <w:rFonts w:ascii="Times New Roman" w:hAnsi="Times New Roman" w:cs="Times New Roman"/>
                <w:bCs/>
                <w:color w:val="000000"/>
                <w:szCs w:val="24"/>
                <w:lang w:val="en-GB"/>
              </w:rPr>
            </w:pPr>
            <w:r w:rsidRPr="003E5644">
              <w:rPr>
                <w:rFonts w:ascii="Times New Roman" w:hAnsi="Times New Roman" w:cs="Times New Roman"/>
                <w:bCs/>
                <w:color w:val="000000"/>
                <w:szCs w:val="24"/>
                <w:lang w:val="en-GB"/>
              </w:rPr>
              <w:t>The study included a randomized double-blind study with three treatment groups assigned to three different doses and incremental monomeric allergoid. The study design was chosen with a view to increase the internal validity of the data obtained</w:t>
            </w:r>
            <w:r>
              <w:rPr>
                <w:rFonts w:ascii="Times New Roman" w:hAnsi="Times New Roman" w:cs="Times New Roman"/>
                <w:bCs/>
                <w:color w:val="000000"/>
                <w:szCs w:val="24"/>
                <w:lang w:val="en-GB"/>
              </w:rPr>
              <w:t>.</w:t>
            </w:r>
          </w:p>
          <w:p w14:paraId="54E9FAFF" w14:textId="77777777" w:rsidR="0030079A" w:rsidRPr="0030079A" w:rsidRDefault="0030079A" w:rsidP="0030079A">
            <w:pPr>
              <w:suppressLineNumbers/>
              <w:jc w:val="both"/>
              <w:rPr>
                <w:rFonts w:ascii="Times New Roman" w:hAnsi="Times New Roman" w:cs="Times New Roman"/>
                <w:bCs/>
                <w:color w:val="000000"/>
                <w:szCs w:val="24"/>
                <w:lang w:val="en-GB"/>
              </w:rPr>
            </w:pPr>
            <w:r w:rsidRPr="0030079A">
              <w:rPr>
                <w:rFonts w:ascii="Times New Roman" w:hAnsi="Times New Roman" w:cs="Times New Roman"/>
                <w:bCs/>
                <w:color w:val="000000"/>
                <w:szCs w:val="24"/>
                <w:lang w:val="en-GB"/>
              </w:rPr>
              <w:t xml:space="preserve">The regimen used in the study did not provide any induction phase, but only the maintenance, in which the 3 treatment arms received daily for 120 days, respectively: </w:t>
            </w:r>
          </w:p>
          <w:p w14:paraId="2F4EE852" w14:textId="77777777" w:rsidR="0030079A" w:rsidRPr="0030079A" w:rsidRDefault="0030079A" w:rsidP="0030079A">
            <w:pPr>
              <w:numPr>
                <w:ilvl w:val="0"/>
                <w:numId w:val="3"/>
              </w:numPr>
              <w:suppressLineNumbers/>
              <w:jc w:val="both"/>
              <w:rPr>
                <w:rFonts w:ascii="Times New Roman" w:hAnsi="Times New Roman" w:cs="Times New Roman"/>
                <w:bCs/>
                <w:color w:val="000000"/>
                <w:szCs w:val="24"/>
                <w:lang w:val="en-GB"/>
              </w:rPr>
            </w:pPr>
            <w:r w:rsidRPr="0030079A">
              <w:rPr>
                <w:rFonts w:ascii="Times New Roman" w:hAnsi="Times New Roman" w:cs="Times New Roman"/>
                <w:bCs/>
                <w:color w:val="000000"/>
                <w:szCs w:val="24"/>
                <w:lang w:val="en-GB"/>
              </w:rPr>
              <w:t xml:space="preserve">Treatment group 1 - a 300 AU; </w:t>
            </w:r>
          </w:p>
          <w:p w14:paraId="013369E9" w14:textId="77777777" w:rsidR="0030079A" w:rsidRPr="0030079A" w:rsidRDefault="0030079A" w:rsidP="0030079A">
            <w:pPr>
              <w:numPr>
                <w:ilvl w:val="0"/>
                <w:numId w:val="3"/>
              </w:numPr>
              <w:suppressLineNumbers/>
              <w:jc w:val="both"/>
              <w:rPr>
                <w:rFonts w:ascii="Times New Roman" w:hAnsi="Times New Roman" w:cs="Times New Roman"/>
                <w:bCs/>
                <w:color w:val="000000"/>
                <w:szCs w:val="24"/>
                <w:lang w:val="en-GB"/>
              </w:rPr>
            </w:pPr>
            <w:r w:rsidRPr="0030079A">
              <w:rPr>
                <w:rFonts w:ascii="Times New Roman" w:hAnsi="Times New Roman" w:cs="Times New Roman"/>
                <w:bCs/>
                <w:color w:val="000000"/>
                <w:szCs w:val="24"/>
                <w:lang w:val="en-GB"/>
              </w:rPr>
              <w:t xml:space="preserve">Treatment group 2 - a tablet from 1000 AU; </w:t>
            </w:r>
          </w:p>
          <w:p w14:paraId="2C72B423" w14:textId="4A67A125" w:rsidR="0030079A" w:rsidRDefault="0030079A" w:rsidP="0030079A">
            <w:pPr>
              <w:numPr>
                <w:ilvl w:val="0"/>
                <w:numId w:val="3"/>
              </w:numPr>
              <w:suppressLineNumbers/>
              <w:jc w:val="both"/>
              <w:rPr>
                <w:rFonts w:ascii="Times New Roman" w:hAnsi="Times New Roman" w:cs="Times New Roman"/>
                <w:bCs/>
                <w:color w:val="000000"/>
                <w:szCs w:val="24"/>
                <w:lang w:val="en-GB"/>
              </w:rPr>
            </w:pPr>
            <w:r w:rsidRPr="0030079A">
              <w:rPr>
                <w:rFonts w:ascii="Times New Roman" w:hAnsi="Times New Roman" w:cs="Times New Roman"/>
                <w:bCs/>
                <w:color w:val="000000"/>
                <w:szCs w:val="24"/>
                <w:lang w:val="en-GB"/>
              </w:rPr>
              <w:t xml:space="preserve">Treatment group 3 - one tablet of 2000 AU. </w:t>
            </w:r>
          </w:p>
          <w:p w14:paraId="049DF6BD" w14:textId="77777777" w:rsidR="00C24AED" w:rsidRPr="0030079A" w:rsidRDefault="00C24AED" w:rsidP="00C24AED">
            <w:pPr>
              <w:suppressLineNumbers/>
              <w:ind w:left="1080"/>
              <w:jc w:val="both"/>
              <w:rPr>
                <w:rFonts w:ascii="Times New Roman" w:hAnsi="Times New Roman" w:cs="Times New Roman"/>
                <w:bCs/>
                <w:color w:val="000000"/>
                <w:szCs w:val="24"/>
                <w:lang w:val="en-GB"/>
              </w:rPr>
            </w:pPr>
          </w:p>
          <w:p w14:paraId="442ECC37" w14:textId="3B0F7286" w:rsidR="007C5A24" w:rsidRPr="00020FEA" w:rsidRDefault="0030079A" w:rsidP="00C24AED">
            <w:pPr>
              <w:suppressLineNumbers/>
              <w:jc w:val="both"/>
              <w:rPr>
                <w:lang w:val="en-GB"/>
              </w:rPr>
            </w:pPr>
            <w:r w:rsidRPr="0030079A">
              <w:rPr>
                <w:rFonts w:ascii="Times New Roman" w:hAnsi="Times New Roman" w:cs="Times New Roman"/>
                <w:bCs/>
                <w:color w:val="000000"/>
                <w:szCs w:val="24"/>
                <w:lang w:val="en-GB"/>
              </w:rPr>
              <w:t>The tablets were taken preferably in the morning on an empty stomach, and placed in the oral cavity and retained therein until completely dissolved (1-2 minutes). At the randomization visit (V1), the subject was assigned to one of three treatment arms and took the first sublingual tablet; the experimenter then handed the subject the amount of study treatment as necessary until the next study visit.</w:t>
            </w:r>
          </w:p>
        </w:tc>
      </w:tr>
      <w:tr w:rsidR="007B267B" w:rsidRPr="00E126EF" w14:paraId="58EF7326" w14:textId="77777777" w:rsidTr="0030079A">
        <w:trPr>
          <w:gridAfter w:val="1"/>
          <w:wAfter w:w="10" w:type="dxa"/>
        </w:trPr>
        <w:tc>
          <w:tcPr>
            <w:tcW w:w="2689" w:type="dxa"/>
          </w:tcPr>
          <w:p w14:paraId="389A4683" w14:textId="1BA2916E" w:rsidR="007B267B" w:rsidRPr="00020FEA" w:rsidRDefault="007B267B" w:rsidP="007B267B">
            <w:pPr>
              <w:rPr>
                <w:b/>
                <w:bCs/>
                <w:lang w:val="en-GB"/>
              </w:rPr>
            </w:pPr>
            <w:r w:rsidRPr="00020FEA">
              <w:rPr>
                <w:b/>
                <w:bCs/>
              </w:rPr>
              <w:t xml:space="preserve">Duration of treatment: </w:t>
            </w:r>
          </w:p>
        </w:tc>
        <w:tc>
          <w:tcPr>
            <w:tcW w:w="7081" w:type="dxa"/>
          </w:tcPr>
          <w:p w14:paraId="118FE922" w14:textId="3DE10BB4" w:rsidR="007B267B" w:rsidRPr="00020FEA" w:rsidRDefault="0030079A" w:rsidP="004E54E2">
            <w:pPr>
              <w:suppressLineNumbers/>
              <w:jc w:val="both"/>
              <w:rPr>
                <w:lang w:val="en-GB"/>
              </w:rPr>
            </w:pPr>
            <w:r w:rsidRPr="0030079A">
              <w:rPr>
                <w:bCs/>
                <w:lang w:val="en-GB"/>
              </w:rPr>
              <w:t>treatment received daily for 120 days</w:t>
            </w:r>
          </w:p>
        </w:tc>
      </w:tr>
      <w:tr w:rsidR="007B267B" w:rsidRPr="00E126EF" w14:paraId="51FCC34E" w14:textId="77777777" w:rsidTr="0030079A">
        <w:trPr>
          <w:gridAfter w:val="1"/>
          <w:wAfter w:w="10" w:type="dxa"/>
        </w:trPr>
        <w:tc>
          <w:tcPr>
            <w:tcW w:w="2689" w:type="dxa"/>
          </w:tcPr>
          <w:p w14:paraId="46B8B588" w14:textId="01F011F9" w:rsidR="007B267B" w:rsidRPr="00020FEA" w:rsidRDefault="007B267B" w:rsidP="007B267B">
            <w:pPr>
              <w:rPr>
                <w:b/>
                <w:bCs/>
                <w:lang w:val="en-GB"/>
              </w:rPr>
            </w:pPr>
            <w:r w:rsidRPr="00020FEA">
              <w:rPr>
                <w:b/>
                <w:bCs/>
              </w:rPr>
              <w:t xml:space="preserve">Statistical methods: </w:t>
            </w:r>
          </w:p>
        </w:tc>
        <w:tc>
          <w:tcPr>
            <w:tcW w:w="7081" w:type="dxa"/>
          </w:tcPr>
          <w:p w14:paraId="489748EF" w14:textId="4C4F382B" w:rsidR="007C5A24" w:rsidRPr="007C5A24" w:rsidRDefault="007C5A24" w:rsidP="007C5A24">
            <w:pPr>
              <w:suppressLineNumbers/>
              <w:jc w:val="both"/>
              <w:rPr>
                <w:b/>
                <w:bCs/>
                <w:iCs/>
                <w:lang w:val="en-US"/>
              </w:rPr>
            </w:pPr>
            <w:bookmarkStart w:id="0" w:name="_Toc390429429"/>
            <w:r w:rsidRPr="007C5A24">
              <w:rPr>
                <w:b/>
                <w:bCs/>
                <w:iCs/>
                <w:lang w:val="en-US"/>
              </w:rPr>
              <w:t>Determination of Sample Size</w:t>
            </w:r>
            <w:bookmarkEnd w:id="0"/>
          </w:p>
          <w:p w14:paraId="6ED5D5BC" w14:textId="3FB15D0B" w:rsidR="007C5A24" w:rsidRPr="007C5A24" w:rsidRDefault="007C5A24" w:rsidP="007C5A24">
            <w:pPr>
              <w:suppressLineNumbers/>
              <w:jc w:val="both"/>
              <w:rPr>
                <w:bCs/>
                <w:lang w:val="en-GB"/>
              </w:rPr>
            </w:pPr>
            <w:r w:rsidRPr="007C5A24">
              <w:rPr>
                <w:bCs/>
                <w:lang w:val="en-GB"/>
              </w:rPr>
              <w:t xml:space="preserve">The study planned to </w:t>
            </w:r>
            <w:r w:rsidR="00CA5FAF" w:rsidRPr="007C5A24">
              <w:rPr>
                <w:bCs/>
                <w:lang w:val="en-GB"/>
              </w:rPr>
              <w:t>enrol</w:t>
            </w:r>
            <w:r w:rsidR="00CA5FAF">
              <w:rPr>
                <w:bCs/>
                <w:lang w:val="en-GB"/>
              </w:rPr>
              <w:t>l</w:t>
            </w:r>
            <w:r w:rsidRPr="007C5A24">
              <w:rPr>
                <w:bCs/>
                <w:lang w:val="en-GB"/>
              </w:rPr>
              <w:t xml:space="preserve"> a total of 105 subjects. The calculation of sample size was based on the sum of the scores and was performed taking into account the following: </w:t>
            </w:r>
            <w:r w:rsidRPr="007C5A24">
              <w:rPr>
                <w:bCs/>
                <w:lang w:val="es-ES"/>
              </w:rPr>
              <w:t>α</w:t>
            </w:r>
            <w:r w:rsidRPr="007C5A24">
              <w:rPr>
                <w:bCs/>
                <w:lang w:val="en-GB"/>
              </w:rPr>
              <w:t xml:space="preserve"> in a queue (error type 1), </w:t>
            </w:r>
            <w:r w:rsidRPr="007C5A24">
              <w:rPr>
                <w:bCs/>
                <w:lang w:val="es-ES"/>
              </w:rPr>
              <w:t>β</w:t>
            </w:r>
            <w:r w:rsidRPr="007C5A24">
              <w:rPr>
                <w:bCs/>
                <w:lang w:val="en-GB"/>
              </w:rPr>
              <w:t xml:space="preserve"> = 0.05 (or type 2 error) = 0, 20 (80% power) d (</w:t>
            </w:r>
            <w:r w:rsidRPr="007C5A24">
              <w:rPr>
                <w:bCs/>
                <w:lang w:val="es-ES"/>
              </w:rPr>
              <w:t>Δ</w:t>
            </w:r>
            <w:r w:rsidRPr="007C5A24">
              <w:rPr>
                <w:bCs/>
                <w:lang w:val="en-GB"/>
              </w:rPr>
              <w:t xml:space="preserve"> expected between group 1 and group 3) = 20% SD = 0:26 and hence the magnitude of the effect is equal to 0.76. You get that needed to be enrolled at least 28 patients for each group in the study. Providing a percentage of subjects not able to complete the study approximately 20%, it follows that approximately 105 subjects will be enrolled, </w:t>
            </w:r>
            <w:proofErr w:type="gramStart"/>
            <w:r w:rsidRPr="007C5A24">
              <w:rPr>
                <w:bCs/>
                <w:lang w:val="en-GB"/>
              </w:rPr>
              <w:t>i</w:t>
            </w:r>
            <w:r w:rsidR="00CA5FAF">
              <w:rPr>
                <w:bCs/>
                <w:lang w:val="en-GB"/>
              </w:rPr>
              <w:t>.</w:t>
            </w:r>
            <w:r w:rsidRPr="007C5A24">
              <w:rPr>
                <w:bCs/>
                <w:lang w:val="en-GB"/>
              </w:rPr>
              <w:t>e</w:t>
            </w:r>
            <w:r w:rsidR="00CA5FAF">
              <w:rPr>
                <w:bCs/>
                <w:lang w:val="en-GB"/>
              </w:rPr>
              <w:t>.</w:t>
            </w:r>
            <w:proofErr w:type="gramEnd"/>
            <w:r w:rsidRPr="007C5A24">
              <w:rPr>
                <w:bCs/>
                <w:lang w:val="en-GB"/>
              </w:rPr>
              <w:t xml:space="preserve"> 35 subjects per group.</w:t>
            </w:r>
          </w:p>
          <w:p w14:paraId="1FF2F7FE" w14:textId="77777777" w:rsidR="007C5A24" w:rsidRPr="007C5A24" w:rsidRDefault="007C5A24" w:rsidP="007C5A24">
            <w:pPr>
              <w:suppressLineNumbers/>
              <w:jc w:val="both"/>
              <w:rPr>
                <w:bCs/>
                <w:lang w:val="en-GB"/>
              </w:rPr>
            </w:pPr>
            <w:r w:rsidRPr="007C5A24">
              <w:rPr>
                <w:bCs/>
                <w:lang w:val="en-GB"/>
              </w:rPr>
              <w:t xml:space="preserve">In the calculations above we have assumed that the variance between groups is homogeneous and has been used t-test for independent groups. </w:t>
            </w:r>
          </w:p>
          <w:p w14:paraId="1FBE5883" w14:textId="77777777" w:rsidR="007C5A24" w:rsidRPr="007C5A24" w:rsidRDefault="007C5A24" w:rsidP="007C5A24">
            <w:pPr>
              <w:suppressLineNumbers/>
              <w:tabs>
                <w:tab w:val="left" w:pos="960"/>
              </w:tabs>
              <w:jc w:val="both"/>
              <w:rPr>
                <w:b/>
                <w:bCs/>
                <w:iCs/>
                <w:lang w:val="en-US"/>
              </w:rPr>
            </w:pPr>
            <w:bookmarkStart w:id="1" w:name="_Toc390429430"/>
            <w:r w:rsidRPr="007C5A24">
              <w:rPr>
                <w:b/>
                <w:bCs/>
                <w:iCs/>
                <w:lang w:val="en-US"/>
              </w:rPr>
              <w:t>Statistical and Analytical Plans</w:t>
            </w:r>
            <w:bookmarkEnd w:id="1"/>
          </w:p>
          <w:p w14:paraId="64564C9D" w14:textId="77777777" w:rsidR="007C5A24" w:rsidRPr="007C5A24" w:rsidRDefault="007C5A24" w:rsidP="007C5A24">
            <w:pPr>
              <w:suppressLineNumbers/>
              <w:tabs>
                <w:tab w:val="left" w:pos="960"/>
              </w:tabs>
              <w:jc w:val="both"/>
              <w:rPr>
                <w:bCs/>
                <w:lang w:val="en-GB"/>
              </w:rPr>
            </w:pPr>
            <w:r w:rsidRPr="007C5A24">
              <w:rPr>
                <w:bCs/>
                <w:lang w:val="en-GB"/>
              </w:rPr>
              <w:t>In order to perform the statistical analysis, the subjects enrolled in the study were assigned to the following populations:</w:t>
            </w:r>
          </w:p>
          <w:p w14:paraId="5DC6179F" w14:textId="4B4266A2" w:rsidR="007C5A24" w:rsidRPr="007C5A24" w:rsidRDefault="007C5A24" w:rsidP="0045215F">
            <w:pPr>
              <w:numPr>
                <w:ilvl w:val="2"/>
                <w:numId w:val="4"/>
              </w:numPr>
              <w:suppressLineNumbers/>
              <w:tabs>
                <w:tab w:val="left" w:pos="960"/>
              </w:tabs>
              <w:ind w:left="315"/>
              <w:jc w:val="both"/>
              <w:rPr>
                <w:bCs/>
                <w:lang w:val="en-GB"/>
              </w:rPr>
            </w:pPr>
            <w:r w:rsidRPr="007C5A24">
              <w:rPr>
                <w:bCs/>
                <w:lang w:val="en-GB"/>
              </w:rPr>
              <w:t xml:space="preserve">All patients set </w:t>
            </w:r>
            <w:r w:rsidR="0045215F" w:rsidRPr="007C5A24">
              <w:rPr>
                <w:bCs/>
                <w:lang w:val="en-GB"/>
              </w:rPr>
              <w:t>‘:</w:t>
            </w:r>
            <w:r w:rsidRPr="007C5A24">
              <w:rPr>
                <w:bCs/>
                <w:lang w:val="en-GB"/>
              </w:rPr>
              <w:t xml:space="preserve"> This population includes all persons who have signed the informed consent </w:t>
            </w:r>
            <w:r w:rsidR="0045215F" w:rsidRPr="007C5A24">
              <w:rPr>
                <w:bCs/>
                <w:lang w:val="en-GB"/>
              </w:rPr>
              <w:t>form.</w:t>
            </w:r>
            <w:r w:rsidRPr="007C5A24">
              <w:rPr>
                <w:bCs/>
                <w:lang w:val="en-GB"/>
              </w:rPr>
              <w:t xml:space="preserve"> The number of these subjects defines the total number of subjects </w:t>
            </w:r>
            <w:r w:rsidR="0045215F" w:rsidRPr="007C5A24">
              <w:rPr>
                <w:bCs/>
                <w:lang w:val="en-GB"/>
              </w:rPr>
              <w:t>enrolled.</w:t>
            </w:r>
            <w:r w:rsidRPr="007C5A24">
              <w:rPr>
                <w:bCs/>
                <w:lang w:val="en-GB"/>
              </w:rPr>
              <w:t xml:space="preserve"> Of this population have been described demographic and clinical information collected at the study visit.</w:t>
            </w:r>
          </w:p>
          <w:p w14:paraId="138520E1" w14:textId="5B962981" w:rsidR="007C5A24" w:rsidRPr="007C5A24" w:rsidRDefault="007C5A24" w:rsidP="0045215F">
            <w:pPr>
              <w:numPr>
                <w:ilvl w:val="2"/>
                <w:numId w:val="4"/>
              </w:numPr>
              <w:suppressLineNumbers/>
              <w:tabs>
                <w:tab w:val="left" w:pos="960"/>
              </w:tabs>
              <w:ind w:left="315"/>
              <w:jc w:val="both"/>
              <w:rPr>
                <w:bCs/>
                <w:lang w:val="en-GB"/>
              </w:rPr>
            </w:pPr>
            <w:r w:rsidRPr="007C5A24">
              <w:rPr>
                <w:bCs/>
                <w:lang w:val="en-GB"/>
              </w:rPr>
              <w:t xml:space="preserve">Safety set </w:t>
            </w:r>
            <w:r w:rsidR="0045215F" w:rsidRPr="007C5A24">
              <w:rPr>
                <w:bCs/>
                <w:lang w:val="en-GB"/>
              </w:rPr>
              <w:t>‘:</w:t>
            </w:r>
            <w:r w:rsidRPr="007C5A24">
              <w:rPr>
                <w:bCs/>
                <w:lang w:val="en-GB"/>
              </w:rPr>
              <w:t xml:space="preserve"> this group includes all subjects who received at least one dose of investigational </w:t>
            </w:r>
            <w:r w:rsidR="0045215F" w:rsidRPr="007C5A24">
              <w:rPr>
                <w:bCs/>
                <w:lang w:val="en-GB"/>
              </w:rPr>
              <w:t>product.</w:t>
            </w:r>
            <w:r w:rsidRPr="007C5A24">
              <w:rPr>
                <w:bCs/>
                <w:lang w:val="en-GB"/>
              </w:rPr>
              <w:t xml:space="preserve"> Out of this population have been carried out all assessments of safety parameters and tolerability.</w:t>
            </w:r>
          </w:p>
          <w:p w14:paraId="754B23B6" w14:textId="552304A8" w:rsidR="007C5A24" w:rsidRPr="007C5A24" w:rsidRDefault="007C5A24" w:rsidP="0045215F">
            <w:pPr>
              <w:numPr>
                <w:ilvl w:val="2"/>
                <w:numId w:val="4"/>
              </w:numPr>
              <w:suppressLineNumbers/>
              <w:tabs>
                <w:tab w:val="left" w:pos="960"/>
              </w:tabs>
              <w:ind w:left="315"/>
              <w:jc w:val="both"/>
              <w:rPr>
                <w:bCs/>
                <w:lang w:val="en-GB"/>
              </w:rPr>
            </w:pPr>
            <w:r w:rsidRPr="007C5A24">
              <w:rPr>
                <w:bCs/>
                <w:lang w:val="en-GB"/>
              </w:rPr>
              <w:lastRenderedPageBreak/>
              <w:t>Intention -to-treat ' (</w:t>
            </w:r>
            <w:r w:rsidR="0045215F" w:rsidRPr="007C5A24">
              <w:rPr>
                <w:bCs/>
                <w:lang w:val="en-GB"/>
              </w:rPr>
              <w:t>ITT)</w:t>
            </w:r>
            <w:r w:rsidRPr="007C5A24">
              <w:rPr>
                <w:bCs/>
                <w:lang w:val="en-GB"/>
              </w:rPr>
              <w:t>: This set includes all randomized subjects who received at least one dose of the drug and of which there is at least one data for the evaluation of efficacy parameters (</w:t>
            </w:r>
            <w:r w:rsidR="0045215F">
              <w:rPr>
                <w:bCs/>
                <w:lang w:val="en-GB"/>
              </w:rPr>
              <w:t>NPT</w:t>
            </w:r>
            <w:r w:rsidRPr="007C5A24">
              <w:rPr>
                <w:bCs/>
                <w:lang w:val="en-GB"/>
              </w:rPr>
              <w:t>).</w:t>
            </w:r>
          </w:p>
          <w:p w14:paraId="5EA6045C" w14:textId="7377AFE3" w:rsidR="007C5A24" w:rsidRPr="0045215F" w:rsidRDefault="007C5A24" w:rsidP="0045215F">
            <w:pPr>
              <w:numPr>
                <w:ilvl w:val="2"/>
                <w:numId w:val="4"/>
              </w:numPr>
              <w:suppressLineNumbers/>
              <w:tabs>
                <w:tab w:val="left" w:pos="960"/>
              </w:tabs>
              <w:ind w:left="315"/>
              <w:jc w:val="both"/>
              <w:rPr>
                <w:b/>
                <w:bCs/>
                <w:lang w:val="en-GB"/>
              </w:rPr>
            </w:pPr>
            <w:r w:rsidRPr="007C5A24">
              <w:rPr>
                <w:bCs/>
                <w:lang w:val="en-GB"/>
              </w:rPr>
              <w:t xml:space="preserve">Per- protocol set </w:t>
            </w:r>
            <w:r w:rsidR="0045215F" w:rsidRPr="007C5A24">
              <w:rPr>
                <w:bCs/>
                <w:lang w:val="en-GB"/>
              </w:rPr>
              <w:t>‘:</w:t>
            </w:r>
            <w:r w:rsidRPr="007C5A24">
              <w:rPr>
                <w:bCs/>
                <w:lang w:val="en-GB"/>
              </w:rPr>
              <w:t xml:space="preserve"> this population gathers all the subjects included in the ITT group who completed the study met the criteria for inclusion / </w:t>
            </w:r>
            <w:r w:rsidR="0045215F" w:rsidRPr="007C5A24">
              <w:rPr>
                <w:bCs/>
                <w:lang w:val="en-GB"/>
              </w:rPr>
              <w:t>exclusion,</w:t>
            </w:r>
            <w:r w:rsidRPr="007C5A24">
              <w:rPr>
                <w:bCs/>
                <w:lang w:val="en-GB"/>
              </w:rPr>
              <w:t xml:space="preserve"> taken not less than 80% of the therapy and who have no major protocol violations.</w:t>
            </w:r>
          </w:p>
          <w:p w14:paraId="51A38310" w14:textId="1C5682EE" w:rsidR="0045215F" w:rsidRDefault="0045215F" w:rsidP="0045215F">
            <w:pPr>
              <w:suppressLineNumbers/>
              <w:tabs>
                <w:tab w:val="left" w:pos="960"/>
              </w:tabs>
              <w:jc w:val="both"/>
              <w:rPr>
                <w:b/>
                <w:bCs/>
                <w:lang w:val="en-GB"/>
              </w:rPr>
            </w:pPr>
          </w:p>
          <w:p w14:paraId="470631E2" w14:textId="77777777" w:rsidR="0045215F" w:rsidRPr="0045215F" w:rsidRDefault="0045215F" w:rsidP="0045215F">
            <w:pPr>
              <w:suppressLineNumbers/>
              <w:tabs>
                <w:tab w:val="left" w:pos="960"/>
              </w:tabs>
              <w:jc w:val="both"/>
              <w:rPr>
                <w:b/>
                <w:bCs/>
                <w:lang w:val="en-GB"/>
              </w:rPr>
            </w:pPr>
            <w:r w:rsidRPr="0045215F">
              <w:rPr>
                <w:bCs/>
                <w:lang w:val="en-GB"/>
              </w:rPr>
              <w:t>Other parameters taken into account (not covered by the study protocol) were</w:t>
            </w:r>
            <w:r w:rsidRPr="0045215F">
              <w:rPr>
                <w:b/>
                <w:bCs/>
                <w:lang w:val="en-GB"/>
              </w:rPr>
              <w:t>:</w:t>
            </w:r>
          </w:p>
          <w:p w14:paraId="53B4871D" w14:textId="22681E44" w:rsidR="0045215F" w:rsidRPr="0045215F" w:rsidRDefault="0045215F" w:rsidP="0045215F">
            <w:pPr>
              <w:numPr>
                <w:ilvl w:val="0"/>
                <w:numId w:val="5"/>
              </w:numPr>
              <w:suppressLineNumbers/>
              <w:tabs>
                <w:tab w:val="left" w:pos="960"/>
              </w:tabs>
              <w:jc w:val="both"/>
              <w:rPr>
                <w:lang w:val="en-GB"/>
              </w:rPr>
            </w:pPr>
            <w:r w:rsidRPr="0045215F">
              <w:rPr>
                <w:lang w:val="en-GB"/>
              </w:rPr>
              <w:t>clinical improvement, defined as the frequency of patients improved from the first (V1) after (V4) in each treatment group. For improved means the patient to achieve the same initial symptoms (V1) had to receive a higher dose level V4, or, if the test was not continued, the patient who in V4 at the same dose of V1 had a score cumulative lower</w:t>
            </w:r>
          </w:p>
          <w:p w14:paraId="4FB03F79" w14:textId="0F5DD9D8" w:rsidR="0045215F" w:rsidRPr="0045215F" w:rsidRDefault="0045215F" w:rsidP="0045215F">
            <w:pPr>
              <w:suppressLineNumbers/>
              <w:tabs>
                <w:tab w:val="left" w:pos="960"/>
              </w:tabs>
              <w:jc w:val="both"/>
              <w:rPr>
                <w:lang w:val="en-GB"/>
              </w:rPr>
            </w:pPr>
          </w:p>
          <w:p w14:paraId="377FD9ED" w14:textId="77777777" w:rsidR="0045215F" w:rsidRPr="0045215F" w:rsidRDefault="0045215F" w:rsidP="0045215F">
            <w:pPr>
              <w:numPr>
                <w:ilvl w:val="0"/>
                <w:numId w:val="5"/>
              </w:numPr>
              <w:suppressLineNumbers/>
              <w:tabs>
                <w:tab w:val="left" w:pos="960"/>
              </w:tabs>
              <w:jc w:val="both"/>
              <w:rPr>
                <w:lang w:val="en-GB"/>
              </w:rPr>
            </w:pPr>
            <w:r w:rsidRPr="0045215F">
              <w:rPr>
                <w:lang w:val="en-GB"/>
              </w:rPr>
              <w:t>Analysis of the dose achieved in the provocation test: Associated with the definition of improvement referred to above, it was also evaluated the effectiveness by analyzing the highest dose reached at visit 4</w:t>
            </w:r>
          </w:p>
          <w:p w14:paraId="3ED83230" w14:textId="77777777" w:rsidR="0045215F" w:rsidRPr="0045215F" w:rsidRDefault="0045215F" w:rsidP="0045215F">
            <w:pPr>
              <w:suppressLineNumbers/>
              <w:tabs>
                <w:tab w:val="left" w:pos="960"/>
              </w:tabs>
              <w:jc w:val="both"/>
              <w:rPr>
                <w:lang w:val="en-GB"/>
              </w:rPr>
            </w:pPr>
          </w:p>
          <w:p w14:paraId="070A3428" w14:textId="645C0E42" w:rsidR="0045215F" w:rsidRPr="0045215F" w:rsidRDefault="0045215F" w:rsidP="0045215F">
            <w:pPr>
              <w:numPr>
                <w:ilvl w:val="0"/>
                <w:numId w:val="5"/>
              </w:numPr>
              <w:suppressLineNumbers/>
              <w:tabs>
                <w:tab w:val="left" w:pos="960"/>
              </w:tabs>
              <w:jc w:val="both"/>
              <w:rPr>
                <w:lang w:val="en-GB"/>
              </w:rPr>
            </w:pPr>
            <w:r w:rsidRPr="0045215F">
              <w:rPr>
                <w:lang w:val="en-GB"/>
              </w:rPr>
              <w:t xml:space="preserve">Global assessment of treatment: A data collected at visit 4 and not mentioned in the statistical section is the global assessment of treatment which consists in the evaluation of the efficacy and tolerability assessment by both the investigator and patient for both. The scale for assessing the efficacy consists in the following scale: 0 = not effective, 1 = Slightly effective, 2 = Effectiveness discreet, 3 Efficacy = good, 4 Effectiveness: very good. Score for the assessment of tolerability consists in the following scale: 0 = Poor, 1 = Adequate, 2 = Fair, 3 = Good, 4 = Excellent. </w:t>
            </w:r>
          </w:p>
          <w:p w14:paraId="3718EB04" w14:textId="76CE308A" w:rsidR="007B267B" w:rsidRPr="00020FEA" w:rsidRDefault="007C5A24" w:rsidP="007C5A24">
            <w:pPr>
              <w:suppressLineNumbers/>
              <w:tabs>
                <w:tab w:val="left" w:pos="960"/>
              </w:tabs>
              <w:jc w:val="both"/>
              <w:rPr>
                <w:lang w:val="en-GB"/>
              </w:rPr>
            </w:pPr>
            <w:r>
              <w:rPr>
                <w:lang w:val="en-GB"/>
              </w:rPr>
              <w:tab/>
            </w:r>
          </w:p>
        </w:tc>
      </w:tr>
      <w:tr w:rsidR="007B267B" w:rsidRPr="00E126EF" w14:paraId="3956779D" w14:textId="77777777" w:rsidTr="0030079A">
        <w:trPr>
          <w:gridAfter w:val="1"/>
          <w:wAfter w:w="10" w:type="dxa"/>
        </w:trPr>
        <w:tc>
          <w:tcPr>
            <w:tcW w:w="2689" w:type="dxa"/>
          </w:tcPr>
          <w:p w14:paraId="669BC6E2" w14:textId="1F5D78DB" w:rsidR="007B267B" w:rsidRPr="00020FEA" w:rsidRDefault="007B267B" w:rsidP="007B267B">
            <w:pPr>
              <w:rPr>
                <w:b/>
                <w:bCs/>
                <w:lang w:val="en-GB"/>
              </w:rPr>
            </w:pPr>
            <w:r w:rsidRPr="00020FEA">
              <w:rPr>
                <w:b/>
                <w:bCs/>
              </w:rPr>
              <w:lastRenderedPageBreak/>
              <w:t>Efficacy results:</w:t>
            </w:r>
          </w:p>
        </w:tc>
        <w:tc>
          <w:tcPr>
            <w:tcW w:w="7081" w:type="dxa"/>
          </w:tcPr>
          <w:p w14:paraId="15B74454" w14:textId="77777777" w:rsidR="0045215F" w:rsidRDefault="0045215F" w:rsidP="0045215F">
            <w:pPr>
              <w:suppressLineNumbers/>
              <w:spacing w:line="259" w:lineRule="auto"/>
              <w:jc w:val="both"/>
              <w:rPr>
                <w:rFonts w:ascii="Times New Roman" w:eastAsiaTheme="minorEastAsia" w:hAnsi="Times New Roman" w:cs="Times New Roman"/>
                <w:bCs/>
                <w:color w:val="000000"/>
                <w:szCs w:val="24"/>
                <w:lang w:val="en-GB"/>
              </w:rPr>
            </w:pPr>
            <w:r w:rsidRPr="0045215F">
              <w:rPr>
                <w:rFonts w:ascii="Times New Roman" w:eastAsiaTheme="minorEastAsia" w:hAnsi="Times New Roman" w:cs="Times New Roman"/>
                <w:bCs/>
                <w:color w:val="000000"/>
                <w:szCs w:val="24"/>
                <w:lang w:val="en-GB"/>
              </w:rPr>
              <w:t xml:space="preserve">The study has seen the enrolment of a total of 73 subjects. From the 73 subjects enrolled, 71% were randomized, and 29% were screened failures. Thirty-six percent of patients did not complete the study were randomly assigned here 5 (2 came out at visit 1, visit 2 at 2:01 at time 3, for all adverse event). </w:t>
            </w:r>
          </w:p>
          <w:p w14:paraId="6A8AB423" w14:textId="59B82B8C" w:rsidR="0045215F" w:rsidRPr="00063516" w:rsidRDefault="0045215F" w:rsidP="0045215F">
            <w:pPr>
              <w:suppressLineNumbers/>
              <w:spacing w:line="259" w:lineRule="auto"/>
              <w:jc w:val="both"/>
              <w:rPr>
                <w:rFonts w:ascii="Times New Roman" w:eastAsiaTheme="minorEastAsia" w:hAnsi="Times New Roman" w:cs="Times New Roman"/>
                <w:bCs/>
                <w:color w:val="000000"/>
                <w:szCs w:val="24"/>
                <w:lang w:val="en-GB"/>
              </w:rPr>
            </w:pPr>
            <w:r w:rsidRPr="00063516">
              <w:rPr>
                <w:rFonts w:ascii="Times New Roman" w:eastAsiaTheme="minorEastAsia" w:hAnsi="Times New Roman" w:cs="Times New Roman"/>
                <w:bCs/>
                <w:color w:val="000000"/>
                <w:szCs w:val="24"/>
                <w:lang w:val="en-GB"/>
              </w:rPr>
              <w:t>The ITT population is of 52 subjects. The subjects who completed the study and 47 represent the PP population</w:t>
            </w:r>
          </w:p>
          <w:p w14:paraId="096B8ADB" w14:textId="7DBAA3BC" w:rsidR="0045215F" w:rsidRPr="00063516" w:rsidRDefault="0045215F" w:rsidP="0045215F">
            <w:pPr>
              <w:suppressLineNumbers/>
              <w:spacing w:line="259" w:lineRule="auto"/>
              <w:jc w:val="both"/>
              <w:rPr>
                <w:rFonts w:ascii="Times New Roman" w:eastAsiaTheme="minorEastAsia" w:hAnsi="Times New Roman" w:cs="Times New Roman"/>
                <w:bCs/>
                <w:color w:val="000000"/>
                <w:szCs w:val="24"/>
                <w:lang w:val="en-GB"/>
              </w:rPr>
            </w:pPr>
          </w:p>
          <w:p w14:paraId="335024E7" w14:textId="77777777" w:rsidR="0045215F" w:rsidRPr="0045215F" w:rsidRDefault="0045215F" w:rsidP="0045215F">
            <w:pPr>
              <w:suppressLineNumbers/>
              <w:spacing w:line="259" w:lineRule="auto"/>
              <w:jc w:val="both"/>
              <w:rPr>
                <w:rFonts w:ascii="Times New Roman" w:eastAsiaTheme="minorEastAsia" w:hAnsi="Times New Roman" w:cs="Times New Roman"/>
                <w:b/>
                <w:color w:val="000000"/>
                <w:szCs w:val="24"/>
                <w:u w:val="single"/>
                <w:lang w:val="en-GB"/>
              </w:rPr>
            </w:pPr>
            <w:r w:rsidRPr="0045215F">
              <w:rPr>
                <w:rFonts w:ascii="Times New Roman" w:eastAsiaTheme="minorEastAsia" w:hAnsi="Times New Roman" w:cs="Times New Roman"/>
                <w:b/>
                <w:color w:val="000000"/>
                <w:szCs w:val="24"/>
                <w:u w:val="single"/>
                <w:lang w:val="en-GB"/>
              </w:rPr>
              <w:t>Efficacy (ITT)</w:t>
            </w:r>
          </w:p>
          <w:p w14:paraId="71B066CC" w14:textId="2E85652B" w:rsidR="00063516" w:rsidRDefault="009D7862" w:rsidP="00063516">
            <w:pPr>
              <w:suppressLineNumbers/>
              <w:spacing w:line="259" w:lineRule="auto"/>
              <w:jc w:val="both"/>
              <w:rPr>
                <w:rFonts w:ascii="Times New Roman" w:eastAsiaTheme="minorEastAsia" w:hAnsi="Times New Roman" w:cs="Times New Roman"/>
                <w:bCs/>
                <w:color w:val="000000"/>
                <w:szCs w:val="24"/>
                <w:lang w:val="en-GB"/>
              </w:rPr>
            </w:pPr>
            <w:r w:rsidRPr="009D7862">
              <w:rPr>
                <w:rFonts w:ascii="Times New Roman" w:eastAsiaTheme="minorEastAsia" w:hAnsi="Times New Roman" w:cs="Times New Roman"/>
                <w:b/>
                <w:color w:val="000000"/>
                <w:szCs w:val="24"/>
                <w:lang w:val="en-GB"/>
              </w:rPr>
              <w:t>NPT</w:t>
            </w:r>
            <w:r>
              <w:rPr>
                <w:rFonts w:ascii="Times New Roman" w:eastAsiaTheme="minorEastAsia" w:hAnsi="Times New Roman" w:cs="Times New Roman"/>
                <w:b/>
                <w:color w:val="000000"/>
                <w:szCs w:val="24"/>
                <w:lang w:val="en-GB"/>
              </w:rPr>
              <w:t>:</w:t>
            </w:r>
            <w:r>
              <w:rPr>
                <w:rFonts w:ascii="Times New Roman" w:eastAsiaTheme="minorEastAsia" w:hAnsi="Times New Roman" w:cs="Times New Roman"/>
                <w:bCs/>
                <w:color w:val="000000"/>
                <w:szCs w:val="24"/>
                <w:lang w:val="en-GB"/>
              </w:rPr>
              <w:t xml:space="preserve"> </w:t>
            </w:r>
            <w:r w:rsidR="00063516">
              <w:rPr>
                <w:rFonts w:ascii="Times New Roman" w:eastAsiaTheme="minorEastAsia" w:hAnsi="Times New Roman" w:cs="Times New Roman"/>
                <w:bCs/>
                <w:color w:val="000000"/>
                <w:szCs w:val="24"/>
                <w:lang w:val="en-GB"/>
              </w:rPr>
              <w:t>D</w:t>
            </w:r>
            <w:r w:rsidR="00063516" w:rsidRPr="00063516">
              <w:rPr>
                <w:rFonts w:ascii="Times New Roman" w:eastAsiaTheme="minorEastAsia" w:hAnsi="Times New Roman" w:cs="Times New Roman"/>
                <w:bCs/>
                <w:color w:val="000000"/>
                <w:szCs w:val="24"/>
                <w:lang w:val="en-GB"/>
              </w:rPr>
              <w:t xml:space="preserve">escriptive statistics of the </w:t>
            </w:r>
            <w:r w:rsidR="00063516">
              <w:rPr>
                <w:rFonts w:ascii="Times New Roman" w:eastAsiaTheme="minorEastAsia" w:hAnsi="Times New Roman" w:cs="Times New Roman"/>
                <w:bCs/>
                <w:color w:val="000000"/>
                <w:szCs w:val="24"/>
                <w:lang w:val="en-GB"/>
              </w:rPr>
              <w:t>NPT</w:t>
            </w:r>
            <w:r w:rsidR="00063516" w:rsidRPr="00063516">
              <w:rPr>
                <w:rFonts w:ascii="Times New Roman" w:eastAsiaTheme="minorEastAsia" w:hAnsi="Times New Roman" w:cs="Times New Roman"/>
                <w:bCs/>
                <w:color w:val="000000"/>
                <w:szCs w:val="24"/>
                <w:lang w:val="en-GB"/>
              </w:rPr>
              <w:t xml:space="preserve"> score for each treatment group </w:t>
            </w:r>
            <w:r w:rsidR="006C5927">
              <w:rPr>
                <w:rFonts w:ascii="Times New Roman" w:eastAsiaTheme="minorEastAsia" w:hAnsi="Times New Roman" w:cs="Times New Roman"/>
                <w:bCs/>
                <w:color w:val="000000"/>
                <w:szCs w:val="24"/>
                <w:lang w:val="en-GB"/>
              </w:rPr>
              <w:t>showed    higher b</w:t>
            </w:r>
            <w:r w:rsidR="006C5927" w:rsidRPr="006C5927">
              <w:rPr>
                <w:rFonts w:ascii="Times New Roman" w:eastAsiaTheme="minorEastAsia" w:hAnsi="Times New Roman" w:cs="Times New Roman"/>
                <w:bCs/>
                <w:color w:val="000000"/>
                <w:szCs w:val="24"/>
                <w:lang w:val="en-GB"/>
              </w:rPr>
              <w:t xml:space="preserve">aseline values on average than the values </w:t>
            </w:r>
            <w:r w:rsidR="006C5927">
              <w:rPr>
                <w:rFonts w:ascii="Times New Roman" w:eastAsiaTheme="minorEastAsia" w:hAnsi="Times New Roman" w:cs="Times New Roman"/>
                <w:bCs/>
                <w:color w:val="000000"/>
                <w:szCs w:val="24"/>
                <w:lang w:val="en-GB"/>
              </w:rPr>
              <w:t>at</w:t>
            </w:r>
            <w:r w:rsidR="006C5927" w:rsidRPr="006C5927">
              <w:rPr>
                <w:rFonts w:ascii="Times New Roman" w:eastAsiaTheme="minorEastAsia" w:hAnsi="Times New Roman" w:cs="Times New Roman"/>
                <w:bCs/>
                <w:color w:val="000000"/>
                <w:szCs w:val="24"/>
                <w:lang w:val="en-GB"/>
              </w:rPr>
              <w:t xml:space="preserve"> visit 4</w:t>
            </w:r>
            <w:r w:rsidR="006C5927">
              <w:rPr>
                <w:rFonts w:ascii="Times New Roman" w:eastAsiaTheme="minorEastAsia" w:hAnsi="Times New Roman" w:cs="Times New Roman"/>
                <w:bCs/>
                <w:color w:val="000000"/>
                <w:szCs w:val="24"/>
                <w:lang w:val="en-GB"/>
              </w:rPr>
              <w:t>.</w:t>
            </w:r>
            <w:r w:rsidR="007A448F">
              <w:rPr>
                <w:rFonts w:ascii="Times New Roman" w:eastAsiaTheme="minorEastAsia" w:hAnsi="Times New Roman" w:cs="Times New Roman"/>
                <w:bCs/>
                <w:color w:val="000000"/>
                <w:szCs w:val="24"/>
                <w:lang w:val="en-GB"/>
              </w:rPr>
              <w:t xml:space="preserve"> </w:t>
            </w:r>
            <w:r w:rsidR="00063516">
              <w:rPr>
                <w:rFonts w:ascii="Times New Roman" w:eastAsiaTheme="minorEastAsia" w:hAnsi="Times New Roman" w:cs="Times New Roman"/>
                <w:bCs/>
                <w:color w:val="000000"/>
                <w:szCs w:val="24"/>
                <w:lang w:val="en-GB"/>
              </w:rPr>
              <w:t xml:space="preserve">The </w:t>
            </w:r>
            <w:r w:rsidR="00063516" w:rsidRPr="00063516">
              <w:rPr>
                <w:rFonts w:ascii="Times New Roman" w:eastAsiaTheme="minorEastAsia" w:hAnsi="Times New Roman" w:cs="Times New Roman"/>
                <w:bCs/>
                <w:color w:val="000000"/>
                <w:szCs w:val="24"/>
                <w:lang w:val="en-GB"/>
              </w:rPr>
              <w:t xml:space="preserve">variance </w:t>
            </w:r>
            <w:r w:rsidR="007A448F">
              <w:rPr>
                <w:rFonts w:ascii="Times New Roman" w:eastAsiaTheme="minorEastAsia" w:hAnsi="Times New Roman" w:cs="Times New Roman"/>
                <w:bCs/>
                <w:color w:val="000000"/>
                <w:szCs w:val="24"/>
                <w:lang w:val="en-GB"/>
              </w:rPr>
              <w:t>wa</w:t>
            </w:r>
            <w:r w:rsidR="00063516" w:rsidRPr="00063516">
              <w:rPr>
                <w:rFonts w:ascii="Times New Roman" w:eastAsiaTheme="minorEastAsia" w:hAnsi="Times New Roman" w:cs="Times New Roman"/>
                <w:bCs/>
                <w:color w:val="000000"/>
                <w:szCs w:val="24"/>
                <w:lang w:val="en-GB"/>
              </w:rPr>
              <w:t>s higher</w:t>
            </w:r>
            <w:r>
              <w:rPr>
                <w:rFonts w:ascii="Times New Roman" w:eastAsiaTheme="minorEastAsia" w:hAnsi="Times New Roman" w:cs="Times New Roman"/>
                <w:bCs/>
                <w:color w:val="000000"/>
                <w:szCs w:val="24"/>
                <w:lang w:val="en-GB"/>
              </w:rPr>
              <w:t xml:space="preserve"> at</w:t>
            </w:r>
            <w:r w:rsidR="00063516" w:rsidRPr="00063516">
              <w:rPr>
                <w:rFonts w:ascii="Times New Roman" w:eastAsiaTheme="minorEastAsia" w:hAnsi="Times New Roman" w:cs="Times New Roman"/>
                <w:bCs/>
                <w:color w:val="000000"/>
                <w:szCs w:val="24"/>
                <w:lang w:val="en-GB"/>
              </w:rPr>
              <w:t xml:space="preserve"> baseline for the three groups</w:t>
            </w:r>
            <w:r w:rsidR="00FF7E0E">
              <w:rPr>
                <w:rFonts w:ascii="Times New Roman" w:eastAsiaTheme="minorEastAsia" w:hAnsi="Times New Roman" w:cs="Times New Roman"/>
                <w:bCs/>
                <w:color w:val="000000"/>
                <w:szCs w:val="24"/>
                <w:lang w:val="en-GB"/>
              </w:rPr>
              <w:t>; at</w:t>
            </w:r>
            <w:r w:rsidR="00063516" w:rsidRPr="00063516">
              <w:rPr>
                <w:rFonts w:ascii="Times New Roman" w:eastAsiaTheme="minorEastAsia" w:hAnsi="Times New Roman" w:cs="Times New Roman"/>
                <w:bCs/>
                <w:color w:val="000000"/>
                <w:szCs w:val="24"/>
                <w:lang w:val="en-GB"/>
              </w:rPr>
              <w:t xml:space="preserve"> visit 4 the variance of the group treated with Lais 300 is much higher, and that the distribution of </w:t>
            </w:r>
            <w:r w:rsidRPr="009D7862">
              <w:rPr>
                <w:rFonts w:ascii="Times New Roman" w:eastAsiaTheme="minorEastAsia" w:hAnsi="Times New Roman" w:cs="Times New Roman"/>
                <w:bCs/>
                <w:color w:val="000000"/>
                <w:szCs w:val="24"/>
                <w:lang w:val="en-GB"/>
              </w:rPr>
              <w:t xml:space="preserve">NPT </w:t>
            </w:r>
            <w:r w:rsidR="00063516" w:rsidRPr="00063516">
              <w:rPr>
                <w:rFonts w:ascii="Times New Roman" w:eastAsiaTheme="minorEastAsia" w:hAnsi="Times New Roman" w:cs="Times New Roman"/>
                <w:bCs/>
                <w:color w:val="000000"/>
                <w:szCs w:val="24"/>
                <w:lang w:val="en-GB"/>
              </w:rPr>
              <w:t>for the groups treated with Lais 1000 and Lais 2000 was similar. The exclusion of three subjects’ outliers further decreases the variance particularly in the group treated with Lais 1000. Interaction between the weighted scores at Visit 1 of treatment was statistically significant (p = 0.06)</w:t>
            </w:r>
            <w:r w:rsidR="00232770">
              <w:rPr>
                <w:rFonts w:ascii="Times New Roman" w:eastAsiaTheme="minorEastAsia" w:hAnsi="Times New Roman" w:cs="Times New Roman"/>
                <w:bCs/>
                <w:color w:val="000000"/>
                <w:szCs w:val="24"/>
                <w:lang w:val="en-GB"/>
              </w:rPr>
              <w:t xml:space="preserve">. </w:t>
            </w:r>
            <w:r w:rsidR="00232770" w:rsidRPr="00232770">
              <w:rPr>
                <w:rFonts w:ascii="Times New Roman" w:eastAsiaTheme="minorEastAsia" w:hAnsi="Times New Roman" w:cs="Times New Roman"/>
                <w:bCs/>
                <w:color w:val="000000"/>
                <w:szCs w:val="24"/>
                <w:lang w:val="en-GB"/>
              </w:rPr>
              <w:t>Because the gradients for the three treatment groups are not the same and to be able to compare formally the three treatment groups, were chosen the values recorded with the TPN of 4 and 6</w:t>
            </w:r>
            <w:r w:rsidR="00232770">
              <w:rPr>
                <w:rFonts w:ascii="Times New Roman" w:eastAsiaTheme="minorEastAsia" w:hAnsi="Times New Roman" w:cs="Times New Roman"/>
                <w:bCs/>
                <w:color w:val="000000"/>
                <w:szCs w:val="24"/>
                <w:lang w:val="en-GB"/>
              </w:rPr>
              <w:t xml:space="preserve"> (</w:t>
            </w:r>
            <w:r w:rsidR="00232770" w:rsidRPr="00232770">
              <w:rPr>
                <w:rFonts w:ascii="Times New Roman" w:eastAsiaTheme="minorEastAsia" w:hAnsi="Times New Roman" w:cs="Times New Roman"/>
                <w:bCs/>
                <w:color w:val="000000"/>
                <w:szCs w:val="24"/>
                <w:lang w:val="en-GB"/>
              </w:rPr>
              <w:t>correspond</w:t>
            </w:r>
            <w:r w:rsidR="00232770">
              <w:rPr>
                <w:rFonts w:ascii="Times New Roman" w:eastAsiaTheme="minorEastAsia" w:hAnsi="Times New Roman" w:cs="Times New Roman"/>
                <w:bCs/>
                <w:color w:val="000000"/>
                <w:szCs w:val="24"/>
                <w:lang w:val="en-GB"/>
              </w:rPr>
              <w:t>ing</w:t>
            </w:r>
            <w:r w:rsidR="00232770" w:rsidRPr="00232770">
              <w:rPr>
                <w:rFonts w:ascii="Times New Roman" w:eastAsiaTheme="minorEastAsia" w:hAnsi="Times New Roman" w:cs="Times New Roman"/>
                <w:bCs/>
                <w:color w:val="000000"/>
                <w:szCs w:val="24"/>
                <w:lang w:val="en-GB"/>
              </w:rPr>
              <w:t xml:space="preserve"> to the 50th and 75th percentiles of the weighted scores at Visit 1</w:t>
            </w:r>
            <w:r w:rsidR="00232770">
              <w:rPr>
                <w:rFonts w:ascii="Times New Roman" w:eastAsiaTheme="minorEastAsia" w:hAnsi="Times New Roman" w:cs="Times New Roman"/>
                <w:bCs/>
                <w:color w:val="000000"/>
                <w:szCs w:val="24"/>
                <w:lang w:val="en-GB"/>
              </w:rPr>
              <w:t>)</w:t>
            </w:r>
            <w:r w:rsidR="00232770" w:rsidRPr="00232770">
              <w:rPr>
                <w:rFonts w:ascii="Times New Roman" w:eastAsiaTheme="minorEastAsia" w:hAnsi="Times New Roman" w:cs="Times New Roman"/>
                <w:bCs/>
                <w:color w:val="000000"/>
                <w:szCs w:val="24"/>
                <w:lang w:val="en-GB"/>
              </w:rPr>
              <w:t xml:space="preserve">. </w:t>
            </w:r>
            <w:r w:rsidR="00063516" w:rsidRPr="00063516">
              <w:rPr>
                <w:rFonts w:ascii="Times New Roman" w:eastAsiaTheme="minorEastAsia" w:hAnsi="Times New Roman" w:cs="Times New Roman"/>
                <w:bCs/>
                <w:color w:val="000000"/>
                <w:szCs w:val="24"/>
                <w:lang w:val="en-GB"/>
              </w:rPr>
              <w:t xml:space="preserve"> </w:t>
            </w:r>
            <w:r w:rsidR="00232770">
              <w:rPr>
                <w:rFonts w:ascii="Times New Roman" w:eastAsiaTheme="minorEastAsia" w:hAnsi="Times New Roman" w:cs="Times New Roman"/>
                <w:bCs/>
                <w:color w:val="000000"/>
                <w:szCs w:val="24"/>
                <w:lang w:val="en-GB"/>
              </w:rPr>
              <w:t>R</w:t>
            </w:r>
            <w:r w:rsidR="00232770" w:rsidRPr="00232770">
              <w:rPr>
                <w:rFonts w:ascii="Times New Roman" w:eastAsiaTheme="minorEastAsia" w:hAnsi="Times New Roman" w:cs="Times New Roman"/>
                <w:bCs/>
                <w:color w:val="000000"/>
                <w:szCs w:val="24"/>
                <w:lang w:val="en-GB"/>
              </w:rPr>
              <w:t xml:space="preserve">esults indicate a statistically significant difference between Lais 300 </w:t>
            </w:r>
            <w:r w:rsidR="00232770" w:rsidRPr="00232770">
              <w:rPr>
                <w:rFonts w:ascii="Times New Roman" w:eastAsiaTheme="minorEastAsia" w:hAnsi="Times New Roman" w:cs="Times New Roman"/>
                <w:bCs/>
                <w:color w:val="000000"/>
                <w:szCs w:val="24"/>
                <w:lang w:val="en-GB"/>
              </w:rPr>
              <w:lastRenderedPageBreak/>
              <w:t>UA and Lais UA 2000 when the baseline is equal to 6 with a confidence interval equal to (-4.0, -0.43)</w:t>
            </w:r>
            <w:r w:rsidR="00232770">
              <w:rPr>
                <w:rFonts w:ascii="Times New Roman" w:eastAsiaTheme="minorEastAsia" w:hAnsi="Times New Roman" w:cs="Times New Roman"/>
                <w:bCs/>
                <w:color w:val="000000"/>
                <w:szCs w:val="24"/>
                <w:lang w:val="en-GB"/>
              </w:rPr>
              <w:t>.</w:t>
            </w:r>
          </w:p>
          <w:p w14:paraId="6351B70A" w14:textId="77777777" w:rsidR="00D2510E" w:rsidRDefault="00D2510E" w:rsidP="00063516">
            <w:pPr>
              <w:suppressLineNumbers/>
              <w:spacing w:line="259" w:lineRule="auto"/>
              <w:jc w:val="both"/>
              <w:rPr>
                <w:rFonts w:ascii="Times New Roman" w:eastAsiaTheme="minorEastAsia" w:hAnsi="Times New Roman" w:cs="Times New Roman"/>
                <w:bCs/>
                <w:color w:val="000000"/>
                <w:szCs w:val="24"/>
                <w:lang w:val="en-GB"/>
              </w:rPr>
            </w:pPr>
          </w:p>
          <w:p w14:paraId="71FDA62C" w14:textId="4BD90E66" w:rsidR="00D2510E" w:rsidRPr="00D2510E" w:rsidRDefault="00D2510E" w:rsidP="00063516">
            <w:pPr>
              <w:suppressLineNumbers/>
              <w:spacing w:line="259" w:lineRule="auto"/>
              <w:jc w:val="both"/>
              <w:rPr>
                <w:rFonts w:ascii="Times New Roman" w:eastAsiaTheme="minorEastAsia" w:hAnsi="Times New Roman" w:cs="Times New Roman"/>
                <w:b/>
                <w:color w:val="000000"/>
                <w:szCs w:val="24"/>
                <w:lang w:val="en-GB"/>
              </w:rPr>
            </w:pPr>
            <w:r w:rsidRPr="00D2510E">
              <w:rPr>
                <w:rFonts w:ascii="Times New Roman" w:eastAsiaTheme="minorEastAsia" w:hAnsi="Times New Roman" w:cs="Times New Roman"/>
                <w:b/>
                <w:color w:val="000000"/>
                <w:szCs w:val="24"/>
                <w:lang w:val="en-GB"/>
              </w:rPr>
              <w:t>NPIF</w:t>
            </w:r>
          </w:p>
          <w:p w14:paraId="77A79AC5" w14:textId="094F542F" w:rsidR="00D2510E" w:rsidRPr="00D2510E" w:rsidRDefault="00D2510E" w:rsidP="00D2510E">
            <w:pPr>
              <w:suppressLineNumbers/>
              <w:spacing w:line="259" w:lineRule="auto"/>
              <w:jc w:val="both"/>
              <w:rPr>
                <w:rFonts w:ascii="Times New Roman" w:eastAsiaTheme="minorEastAsia" w:hAnsi="Times New Roman" w:cs="Times New Roman"/>
                <w:bCs/>
                <w:color w:val="000000"/>
                <w:szCs w:val="24"/>
                <w:lang w:val="en-US"/>
              </w:rPr>
            </w:pPr>
            <w:r>
              <w:rPr>
                <w:rFonts w:ascii="Times New Roman" w:eastAsiaTheme="minorEastAsia" w:hAnsi="Times New Roman" w:cs="Times New Roman"/>
                <w:bCs/>
                <w:color w:val="000000"/>
                <w:szCs w:val="24"/>
                <w:lang w:val="en-GB"/>
              </w:rPr>
              <w:t>T</w:t>
            </w:r>
            <w:r w:rsidRPr="00D2510E">
              <w:rPr>
                <w:rFonts w:ascii="Times New Roman" w:eastAsiaTheme="minorEastAsia" w:hAnsi="Times New Roman" w:cs="Times New Roman"/>
                <w:bCs/>
                <w:color w:val="000000"/>
                <w:szCs w:val="24"/>
                <w:lang w:val="en-GB"/>
              </w:rPr>
              <w:t>he descriptive data values ​​NPIF among the three groups and the first and last visit</w:t>
            </w:r>
            <w:r>
              <w:rPr>
                <w:rFonts w:ascii="Times New Roman" w:eastAsiaTheme="minorEastAsia" w:hAnsi="Times New Roman" w:cs="Times New Roman"/>
                <w:bCs/>
                <w:color w:val="000000"/>
                <w:szCs w:val="24"/>
                <w:lang w:val="en-GB"/>
              </w:rPr>
              <w:t xml:space="preserve"> </w:t>
            </w:r>
            <w:r w:rsidRPr="00D2510E">
              <w:rPr>
                <w:rFonts w:ascii="Times New Roman" w:eastAsiaTheme="minorEastAsia" w:hAnsi="Times New Roman" w:cs="Times New Roman"/>
                <w:bCs/>
                <w:color w:val="000000"/>
                <w:szCs w:val="24"/>
                <w:lang w:val="en-GB"/>
              </w:rPr>
              <w:t>shows the difference between the base and the last value of NPIF within the same visit for each treatment group. These differences are called diff1 and diff2 to Visit 1 and Visit 4, respectively. The fall of the stream is much lower than at Visit 4 to Visit 1 for all treatments: 74% to 300 Lais, 40% for Lais 1000 and 42% for Lais 2000. Interaction between the weighted scores at Visit 1 treatment was not statistically significant (p = 0.27).</w:t>
            </w:r>
          </w:p>
          <w:p w14:paraId="73614042" w14:textId="08E6D0E0" w:rsidR="00D2510E" w:rsidRPr="00D2510E" w:rsidRDefault="00D2510E" w:rsidP="00063516">
            <w:pPr>
              <w:suppressLineNumbers/>
              <w:spacing w:line="259" w:lineRule="auto"/>
              <w:jc w:val="both"/>
              <w:rPr>
                <w:rFonts w:ascii="Times New Roman" w:eastAsiaTheme="minorEastAsia" w:hAnsi="Times New Roman" w:cs="Times New Roman"/>
                <w:bCs/>
                <w:color w:val="000000"/>
                <w:szCs w:val="24"/>
                <w:lang w:val="en-US"/>
              </w:rPr>
            </w:pPr>
            <w:r w:rsidRPr="00D2510E">
              <w:rPr>
                <w:rFonts w:ascii="Times New Roman" w:eastAsiaTheme="minorEastAsia" w:hAnsi="Times New Roman" w:cs="Times New Roman"/>
                <w:bCs/>
                <w:color w:val="000000"/>
                <w:szCs w:val="24"/>
                <w:lang w:val="en-GB"/>
              </w:rPr>
              <w:t>As the development of the regression lines for the three treatment groups are the same, it brings a traditional model ANCOVA with treatment and the score NPIF obtained at Visit 1.</w:t>
            </w:r>
          </w:p>
          <w:p w14:paraId="7C285BA1" w14:textId="5E29FF4F" w:rsidR="0045215F" w:rsidRDefault="00D2510E" w:rsidP="0045215F">
            <w:pPr>
              <w:suppressLineNumbers/>
              <w:spacing w:line="259" w:lineRule="auto"/>
              <w:jc w:val="both"/>
              <w:rPr>
                <w:rFonts w:ascii="Times New Roman" w:eastAsiaTheme="minorEastAsia" w:hAnsi="Times New Roman" w:cs="Times New Roman"/>
                <w:bCs/>
                <w:color w:val="000000"/>
                <w:szCs w:val="24"/>
                <w:lang w:val="en-GB"/>
              </w:rPr>
            </w:pPr>
            <w:r w:rsidRPr="00D2510E">
              <w:rPr>
                <w:rFonts w:ascii="Times New Roman" w:eastAsiaTheme="minorEastAsia" w:hAnsi="Times New Roman" w:cs="Times New Roman"/>
                <w:bCs/>
                <w:color w:val="000000"/>
                <w:szCs w:val="24"/>
                <w:lang w:val="en-GB"/>
              </w:rPr>
              <w:t xml:space="preserve">The results between treatments show a statistically significant difference between Lais 300 and Lais 2000 (p = 0.0164), whereas no differences are observed statistically significant differences between Lais 300 </w:t>
            </w:r>
            <w:proofErr w:type="gramStart"/>
            <w:r w:rsidRPr="00D2510E">
              <w:rPr>
                <w:rFonts w:ascii="Times New Roman" w:eastAsiaTheme="minorEastAsia" w:hAnsi="Times New Roman" w:cs="Times New Roman"/>
                <w:bCs/>
                <w:color w:val="000000"/>
                <w:szCs w:val="24"/>
                <w:lang w:val="en-GB"/>
              </w:rPr>
              <w:t>and  Lais</w:t>
            </w:r>
            <w:proofErr w:type="gramEnd"/>
            <w:r w:rsidRPr="00D2510E">
              <w:rPr>
                <w:rFonts w:ascii="Times New Roman" w:eastAsiaTheme="minorEastAsia" w:hAnsi="Times New Roman" w:cs="Times New Roman"/>
                <w:bCs/>
                <w:color w:val="000000"/>
                <w:szCs w:val="24"/>
                <w:lang w:val="en-GB"/>
              </w:rPr>
              <w:t xml:space="preserve">  1000 and Lais 1000 with Lais  2000</w:t>
            </w:r>
          </w:p>
          <w:p w14:paraId="0C3461EE" w14:textId="509D8DF9" w:rsidR="00D2510E" w:rsidRDefault="00D2510E" w:rsidP="0045215F">
            <w:pPr>
              <w:suppressLineNumbers/>
              <w:spacing w:line="259" w:lineRule="auto"/>
              <w:jc w:val="both"/>
              <w:rPr>
                <w:rFonts w:ascii="Times New Roman" w:eastAsiaTheme="minorEastAsia" w:hAnsi="Times New Roman" w:cs="Times New Roman"/>
                <w:bCs/>
                <w:color w:val="000000"/>
                <w:szCs w:val="24"/>
                <w:lang w:val="en-GB"/>
              </w:rPr>
            </w:pPr>
          </w:p>
          <w:p w14:paraId="4070D43A" w14:textId="77777777" w:rsidR="00D2510E" w:rsidRPr="00D2510E" w:rsidRDefault="00D2510E" w:rsidP="00D2510E">
            <w:pPr>
              <w:suppressLineNumbers/>
              <w:spacing w:line="259" w:lineRule="auto"/>
              <w:jc w:val="both"/>
              <w:rPr>
                <w:rFonts w:ascii="Times New Roman" w:eastAsiaTheme="minorEastAsia" w:hAnsi="Times New Roman" w:cs="Times New Roman"/>
                <w:b/>
                <w:bCs/>
                <w:iCs/>
                <w:color w:val="000000"/>
                <w:szCs w:val="24"/>
                <w:lang w:val="en-US"/>
              </w:rPr>
            </w:pPr>
            <w:bookmarkStart w:id="2" w:name="_Toc390429443"/>
            <w:r w:rsidRPr="00D2510E">
              <w:rPr>
                <w:rFonts w:ascii="Times New Roman" w:eastAsiaTheme="minorEastAsia" w:hAnsi="Times New Roman" w:cs="Times New Roman"/>
                <w:b/>
                <w:bCs/>
                <w:iCs/>
                <w:color w:val="000000"/>
                <w:szCs w:val="24"/>
                <w:lang w:val="en-US"/>
              </w:rPr>
              <w:t>Efficacy conclusion</w:t>
            </w:r>
            <w:bookmarkEnd w:id="2"/>
          </w:p>
          <w:p w14:paraId="475C713C" w14:textId="2E8EA189" w:rsidR="00D2510E" w:rsidRPr="0045215F" w:rsidRDefault="00D2510E" w:rsidP="00D2510E">
            <w:pPr>
              <w:suppressLineNumbers/>
              <w:spacing w:line="259" w:lineRule="auto"/>
              <w:jc w:val="both"/>
              <w:rPr>
                <w:rFonts w:ascii="Times New Roman" w:eastAsiaTheme="minorEastAsia" w:hAnsi="Times New Roman" w:cs="Times New Roman"/>
                <w:bCs/>
                <w:color w:val="000000"/>
                <w:szCs w:val="24"/>
                <w:lang w:val="en-GB"/>
              </w:rPr>
            </w:pPr>
            <w:r w:rsidRPr="00D2510E">
              <w:rPr>
                <w:rFonts w:ascii="Times New Roman" w:eastAsiaTheme="minorEastAsia" w:hAnsi="Times New Roman" w:cs="Times New Roman"/>
                <w:bCs/>
                <w:color w:val="000000"/>
                <w:szCs w:val="24"/>
                <w:lang w:val="en-GB"/>
              </w:rPr>
              <w:t xml:space="preserve">The three treatments induce a reduction of the values of the score of the TPN and NPIF substantially similar. As regards the fall of the peak flow nasal (NPIF) after provocation test is very </w:t>
            </w:r>
            <w:r w:rsidR="00F43D93">
              <w:rPr>
                <w:rFonts w:ascii="Times New Roman" w:eastAsiaTheme="minorEastAsia" w:hAnsi="Times New Roman" w:cs="Times New Roman"/>
                <w:bCs/>
                <w:color w:val="000000"/>
                <w:szCs w:val="24"/>
                <w:lang w:val="en-GB"/>
              </w:rPr>
              <w:t>lowe</w:t>
            </w:r>
            <w:r w:rsidRPr="00D2510E">
              <w:rPr>
                <w:rFonts w:ascii="Times New Roman" w:eastAsiaTheme="minorEastAsia" w:hAnsi="Times New Roman" w:cs="Times New Roman"/>
                <w:bCs/>
                <w:color w:val="000000"/>
                <w:szCs w:val="24"/>
                <w:lang w:val="en-GB"/>
              </w:rPr>
              <w:t>r compared to Visit 4 to Visit 1 for all three treatments: 74% for Lais 300, 40% for Lais 1000 and 42% for Lais 2000 (analysis in the ITT population). The same trend is also observed in the analysis of the PP population. As far as the maximum tolerated dose to TPN, the percentage of subjects who improved and the evaluation of the overall improvement in the statistical analysis showed no significant differences among the three groups.</w:t>
            </w:r>
          </w:p>
          <w:p w14:paraId="0129BD79" w14:textId="2CA9E6EC" w:rsidR="007B267B" w:rsidRPr="00063516" w:rsidRDefault="007B267B" w:rsidP="004E54E2">
            <w:pPr>
              <w:suppressLineNumbers/>
              <w:spacing w:line="259" w:lineRule="auto"/>
              <w:jc w:val="both"/>
              <w:rPr>
                <w:rFonts w:ascii="Times New Roman" w:eastAsiaTheme="minorEastAsia" w:hAnsi="Times New Roman" w:cs="Times New Roman"/>
                <w:bCs/>
                <w:color w:val="000000"/>
                <w:szCs w:val="24"/>
                <w:lang w:val="en-GB"/>
              </w:rPr>
            </w:pPr>
          </w:p>
        </w:tc>
      </w:tr>
      <w:tr w:rsidR="007B267B" w:rsidRPr="00E67AC1" w14:paraId="7965249C" w14:textId="77777777" w:rsidTr="0030079A">
        <w:trPr>
          <w:gridAfter w:val="1"/>
          <w:wAfter w:w="10" w:type="dxa"/>
        </w:trPr>
        <w:tc>
          <w:tcPr>
            <w:tcW w:w="2689" w:type="dxa"/>
          </w:tcPr>
          <w:p w14:paraId="7D5E53B7" w14:textId="766BF781" w:rsidR="007B267B" w:rsidRPr="00020FEA" w:rsidRDefault="007B267B" w:rsidP="007B267B">
            <w:pPr>
              <w:rPr>
                <w:b/>
                <w:bCs/>
                <w:lang w:val="en-GB"/>
              </w:rPr>
            </w:pPr>
            <w:r w:rsidRPr="00020FEA">
              <w:rPr>
                <w:b/>
                <w:bCs/>
              </w:rPr>
              <w:lastRenderedPageBreak/>
              <w:t>Safety results:</w:t>
            </w:r>
          </w:p>
        </w:tc>
        <w:tc>
          <w:tcPr>
            <w:tcW w:w="7081" w:type="dxa"/>
          </w:tcPr>
          <w:p w14:paraId="4F618E29" w14:textId="77777777" w:rsidR="00261837" w:rsidRPr="00261837" w:rsidRDefault="00261837" w:rsidP="00261837">
            <w:pPr>
              <w:suppressLineNumbers/>
              <w:jc w:val="both"/>
              <w:rPr>
                <w:b/>
                <w:bCs/>
                <w:iCs/>
                <w:lang w:val="en-US"/>
              </w:rPr>
            </w:pPr>
            <w:bookmarkStart w:id="3" w:name="_Toc390429446"/>
            <w:r w:rsidRPr="00261837">
              <w:rPr>
                <w:b/>
                <w:bCs/>
                <w:iCs/>
                <w:lang w:val="en-US"/>
              </w:rPr>
              <w:t>Brief Summary of Adverse Events</w:t>
            </w:r>
            <w:bookmarkEnd w:id="3"/>
          </w:p>
          <w:p w14:paraId="6C978CA4" w14:textId="77777777" w:rsidR="00261837" w:rsidRPr="00261837" w:rsidRDefault="00261837" w:rsidP="00261837">
            <w:pPr>
              <w:suppressLineNumbers/>
              <w:jc w:val="both"/>
              <w:rPr>
                <w:bCs/>
                <w:lang w:val="en-GB"/>
              </w:rPr>
            </w:pPr>
            <w:r w:rsidRPr="00261837">
              <w:rPr>
                <w:bCs/>
                <w:lang w:val="en-GB"/>
              </w:rPr>
              <w:t>During the conduct of the study there were a total of 42 adverse events, 3 of which were severe, but none related to the study drug. From 15 moderate adverse events, one has a probable relationship with the drug (Lais 1000: allergic rhinoconjunctivitis) and another has a certain relationship with the drug (Lais, 2000: rhinopharyngitis). As for the 24 adverse events of mild intensity, the relation of one with the study drug is given (Lais 1000: tingly Nasal / pharyngeal) and 4 (3 Lais 1000: NAUSEA, sneezing and EPISODIC SLIT AFTER A FEW MINUTES AFTER MILD RHINITIS DAILY SLIT and 1 300 Lais: EPISODIC ITCH NSALE FEW MINUTES AFTER TAKING SLIT, AUTORISOLTOSI IN MINUTES) have a probable relationship and 3 have a possible relationship (Lais, 2000: REDNESS EYES, EYES ITCH, DIFFICULTY 'RESPIRATORY). For a more detailed description of adverse events, please refer to the respective sections of the Statistical Report.</w:t>
            </w:r>
          </w:p>
          <w:p w14:paraId="6B1E581C" w14:textId="77777777" w:rsidR="00261837" w:rsidRDefault="00261837" w:rsidP="00261837">
            <w:pPr>
              <w:suppressLineNumbers/>
              <w:jc w:val="both"/>
              <w:rPr>
                <w:bCs/>
                <w:lang w:val="en-GB"/>
              </w:rPr>
            </w:pPr>
          </w:p>
          <w:p w14:paraId="09A67B4D" w14:textId="405893CD" w:rsidR="00261837" w:rsidRDefault="00261837" w:rsidP="00261837">
            <w:pPr>
              <w:suppressLineNumbers/>
              <w:jc w:val="both"/>
              <w:rPr>
                <w:bCs/>
                <w:lang w:val="en-GB"/>
              </w:rPr>
            </w:pPr>
            <w:r w:rsidRPr="00261837">
              <w:rPr>
                <w:bCs/>
                <w:lang w:val="en-GB"/>
              </w:rPr>
              <w:t xml:space="preserve">The rate of adverse events among patients treated with Lais 1000 is 61.1%, while the proportions are 35.3% and 41.2% among patients treated with 300 </w:t>
            </w:r>
            <w:proofErr w:type="gramStart"/>
            <w:r w:rsidRPr="00261837">
              <w:rPr>
                <w:bCs/>
                <w:lang w:val="en-GB"/>
              </w:rPr>
              <w:t>Lais  and</w:t>
            </w:r>
            <w:proofErr w:type="gramEnd"/>
            <w:r w:rsidRPr="00261837">
              <w:rPr>
                <w:bCs/>
                <w:lang w:val="en-GB"/>
              </w:rPr>
              <w:t xml:space="preserve"> Lais 2000 respectively. The statistical comparison between the incidence in the group Lais 300 and the other two treatment groups are shown below. The comparison of the incidence in the group Lais 300 vs. Lais </w:t>
            </w:r>
            <w:proofErr w:type="gramStart"/>
            <w:r w:rsidRPr="00261837">
              <w:rPr>
                <w:bCs/>
                <w:lang w:val="en-GB"/>
              </w:rPr>
              <w:t>1000  results</w:t>
            </w:r>
            <w:proofErr w:type="gramEnd"/>
            <w:r w:rsidRPr="00261837">
              <w:rPr>
                <w:bCs/>
                <w:lang w:val="en-GB"/>
              </w:rPr>
              <w:t xml:space="preserve"> in Odds ratio of 0.377 with a confidence interval equal to (0.088,1.371). The comparison between the incidence in the group Lais 300 </w:t>
            </w:r>
            <w:r w:rsidRPr="00261837">
              <w:rPr>
                <w:bCs/>
                <w:lang w:val="en-GB"/>
              </w:rPr>
              <w:lastRenderedPageBreak/>
              <w:t xml:space="preserve">vs. the incidence in the group Lais 2000 results in an Odds Ratio equal to 0.779 with a confidence interval equal (0.195,3.118). </w:t>
            </w:r>
            <w:r w:rsidRPr="00261837">
              <w:rPr>
                <w:bCs/>
                <w:lang w:val="en-US"/>
              </w:rPr>
              <w:t xml:space="preserve">The results are not statistically significant. </w:t>
            </w:r>
            <w:r w:rsidRPr="00261837">
              <w:rPr>
                <w:bCs/>
                <w:lang w:val="en-GB"/>
              </w:rPr>
              <w:t>To note that the treatment compliance for all three groups in the study was more than good (&gt; 94%).</w:t>
            </w:r>
          </w:p>
          <w:p w14:paraId="212AF964" w14:textId="77777777" w:rsidR="00785AFC" w:rsidRDefault="00785AFC" w:rsidP="00261837">
            <w:pPr>
              <w:suppressLineNumbers/>
              <w:jc w:val="both"/>
              <w:rPr>
                <w:bCs/>
                <w:lang w:val="en-GB"/>
              </w:rPr>
            </w:pPr>
          </w:p>
          <w:p w14:paraId="6517D148" w14:textId="77777777" w:rsidR="00261837" w:rsidRPr="00261837" w:rsidRDefault="00261837" w:rsidP="00261837">
            <w:pPr>
              <w:suppressLineNumbers/>
              <w:jc w:val="both"/>
              <w:rPr>
                <w:b/>
                <w:bCs/>
                <w:iCs/>
                <w:lang w:val="en-US"/>
              </w:rPr>
            </w:pPr>
            <w:bookmarkStart w:id="4" w:name="_Toc390429447"/>
            <w:r w:rsidRPr="00261837">
              <w:rPr>
                <w:b/>
                <w:bCs/>
                <w:iCs/>
                <w:lang w:val="en-US"/>
              </w:rPr>
              <w:t>SAFETY CONCLUSIONS</w:t>
            </w:r>
            <w:bookmarkEnd w:id="4"/>
          </w:p>
          <w:p w14:paraId="16748883" w14:textId="77777777" w:rsidR="007B267B" w:rsidRDefault="00261837" w:rsidP="004E54E2">
            <w:pPr>
              <w:suppressLineNumbers/>
              <w:jc w:val="both"/>
              <w:rPr>
                <w:bCs/>
                <w:lang w:val="en-US"/>
              </w:rPr>
            </w:pPr>
            <w:r w:rsidRPr="00261837">
              <w:rPr>
                <w:bCs/>
                <w:lang w:val="en-GB"/>
              </w:rPr>
              <w:t xml:space="preserve">The present study did not reveal any particular problems relating to safety for all three doses tested. </w:t>
            </w:r>
            <w:r w:rsidRPr="00261837">
              <w:rPr>
                <w:bCs/>
                <w:lang w:val="en-US"/>
              </w:rPr>
              <w:t xml:space="preserve">None of the three reported by the drug. </w:t>
            </w:r>
          </w:p>
          <w:p w14:paraId="26BE9BA1" w14:textId="0F67A6BE" w:rsidR="00DD1E69" w:rsidRPr="00DD1E69" w:rsidRDefault="00DD1E69" w:rsidP="004E54E2">
            <w:pPr>
              <w:suppressLineNumbers/>
              <w:jc w:val="both"/>
              <w:rPr>
                <w:bCs/>
                <w:lang w:val="en-US"/>
              </w:rPr>
            </w:pPr>
          </w:p>
        </w:tc>
      </w:tr>
      <w:tr w:rsidR="007B267B" w:rsidRPr="00E126EF" w14:paraId="7FDF0C07" w14:textId="77777777" w:rsidTr="0030079A">
        <w:trPr>
          <w:gridAfter w:val="1"/>
          <w:wAfter w:w="10" w:type="dxa"/>
        </w:trPr>
        <w:tc>
          <w:tcPr>
            <w:tcW w:w="2689" w:type="dxa"/>
          </w:tcPr>
          <w:p w14:paraId="075BB7B9" w14:textId="48B206C8" w:rsidR="007B267B" w:rsidRPr="00020FEA" w:rsidRDefault="007B267B" w:rsidP="007B267B">
            <w:pPr>
              <w:rPr>
                <w:b/>
                <w:bCs/>
                <w:lang w:val="en-GB"/>
              </w:rPr>
            </w:pPr>
            <w:r w:rsidRPr="00020FEA">
              <w:rPr>
                <w:b/>
                <w:bCs/>
              </w:rPr>
              <w:lastRenderedPageBreak/>
              <w:t>Conclusion:</w:t>
            </w:r>
          </w:p>
        </w:tc>
        <w:tc>
          <w:tcPr>
            <w:tcW w:w="7081" w:type="dxa"/>
          </w:tcPr>
          <w:p w14:paraId="04691275" w14:textId="60D989DA" w:rsidR="00335BA2" w:rsidRDefault="00335BA2" w:rsidP="00335BA2">
            <w:pPr>
              <w:suppressLineNumbers/>
              <w:spacing w:line="259" w:lineRule="auto"/>
              <w:jc w:val="both"/>
              <w:rPr>
                <w:bCs/>
                <w:lang w:val="en-GB"/>
              </w:rPr>
            </w:pPr>
            <w:r w:rsidRPr="00335BA2">
              <w:rPr>
                <w:bCs/>
                <w:lang w:val="en-GB"/>
              </w:rPr>
              <w:t xml:space="preserve">This </w:t>
            </w:r>
            <w:proofErr w:type="gramStart"/>
            <w:r w:rsidRPr="00335BA2">
              <w:rPr>
                <w:bCs/>
                <w:lang w:val="en-GB"/>
              </w:rPr>
              <w:t>multicenter,  randomized</w:t>
            </w:r>
            <w:proofErr w:type="gramEnd"/>
            <w:r w:rsidRPr="00335BA2">
              <w:rPr>
                <w:bCs/>
                <w:lang w:val="en-GB"/>
              </w:rPr>
              <w:t xml:space="preserve"> , double-blind , parallel-group study evaluated the efficacy and safety of three different and incremental doses of a monomeric allergoid of Ambrosia ( ragweed Lais ) in oral tablet formulation . Of the 73 subjects enrolled, 71% (total of 52 </w:t>
            </w:r>
            <w:proofErr w:type="gramStart"/>
            <w:r w:rsidRPr="00335BA2">
              <w:rPr>
                <w:bCs/>
                <w:lang w:val="en-GB"/>
              </w:rPr>
              <w:t>subjects :</w:t>
            </w:r>
            <w:proofErr w:type="gramEnd"/>
            <w:r w:rsidRPr="00335BA2">
              <w:rPr>
                <w:bCs/>
                <w:lang w:val="en-GB"/>
              </w:rPr>
              <w:t xml:space="preserve"> ITT population ) were randomized and 29% ( 21 subjects ) were screened failures . The Thirty-six percent of patients </w:t>
            </w:r>
            <w:proofErr w:type="gramStart"/>
            <w:r w:rsidRPr="00335BA2">
              <w:rPr>
                <w:bCs/>
                <w:lang w:val="en-GB"/>
              </w:rPr>
              <w:t>( a</w:t>
            </w:r>
            <w:proofErr w:type="gramEnd"/>
            <w:r w:rsidRPr="00335BA2">
              <w:rPr>
                <w:bCs/>
                <w:lang w:val="en-GB"/>
              </w:rPr>
              <w:t xml:space="preserve"> total of 26 subjects) did not complete the study , 5 of which were randomized ( 2 came out at visit 1 , visit 2 at 2:01 at time 3, for all adverse event ) . Patients who completed the study are therefore 47 (PP population). In the ITT analysis, with regard to the primary endpoint (development of symptoms to score NPT) and the average for all three groups evaluated showed a reduction from baseline. We observe a significant difference in favor of the evaluation between Lais 2000 and Lais 300 regarding the evolution of the score of severity of TPN when evaluating the relative values ​​at doses in the range of scores resulted in </w:t>
            </w:r>
            <w:proofErr w:type="gramStart"/>
            <w:r w:rsidRPr="00335BA2">
              <w:rPr>
                <w:bCs/>
                <w:lang w:val="en-GB"/>
              </w:rPr>
              <w:t>4:06 .</w:t>
            </w:r>
            <w:proofErr w:type="gramEnd"/>
            <w:r w:rsidRPr="00335BA2">
              <w:rPr>
                <w:bCs/>
                <w:lang w:val="en-GB"/>
              </w:rPr>
              <w:t xml:space="preserve"> This finding is also confirmed in the analysis on the PP population.</w:t>
            </w:r>
          </w:p>
          <w:p w14:paraId="148A580D" w14:textId="1A6094C3" w:rsidR="00335BA2" w:rsidRDefault="00335BA2" w:rsidP="00335BA2">
            <w:pPr>
              <w:suppressLineNumbers/>
              <w:spacing w:line="259" w:lineRule="auto"/>
              <w:jc w:val="both"/>
              <w:rPr>
                <w:bCs/>
                <w:lang w:val="en-GB"/>
              </w:rPr>
            </w:pPr>
          </w:p>
          <w:p w14:paraId="20E14BB2" w14:textId="0EC6ED24" w:rsidR="00335BA2" w:rsidRPr="00335BA2" w:rsidRDefault="00335BA2" w:rsidP="00335BA2">
            <w:pPr>
              <w:suppressLineNumbers/>
              <w:spacing w:line="259" w:lineRule="auto"/>
              <w:jc w:val="both"/>
              <w:rPr>
                <w:bCs/>
                <w:lang w:val="en-GB"/>
              </w:rPr>
            </w:pPr>
            <w:r w:rsidRPr="00335BA2">
              <w:rPr>
                <w:bCs/>
                <w:lang w:val="en-GB"/>
              </w:rPr>
              <w:t xml:space="preserve">As regards the fall of the peak flow nasal </w:t>
            </w:r>
            <w:proofErr w:type="gramStart"/>
            <w:r w:rsidRPr="00335BA2">
              <w:rPr>
                <w:bCs/>
                <w:lang w:val="en-GB"/>
              </w:rPr>
              <w:t>( NPIF</w:t>
            </w:r>
            <w:proofErr w:type="gramEnd"/>
            <w:r w:rsidRPr="00335BA2">
              <w:rPr>
                <w:bCs/>
                <w:lang w:val="en-GB"/>
              </w:rPr>
              <w:t xml:space="preserve"> ) after provocation test is very </w:t>
            </w:r>
            <w:r w:rsidR="00C2173B">
              <w:rPr>
                <w:bCs/>
                <w:lang w:val="en-GB"/>
              </w:rPr>
              <w:t>lower</w:t>
            </w:r>
            <w:r w:rsidRPr="00335BA2">
              <w:rPr>
                <w:bCs/>
                <w:lang w:val="en-GB"/>
              </w:rPr>
              <w:t xml:space="preserve"> compared to Visit 4 to Visit 1 for all three treatments : 74 % for Lais 300, 40 % for Lais 1000 and 42 % for Lais 2000 ( analysis in the ITT population). The same trend is also observed in the analysis of the PP population. As far as the maximum tolerated dose to TPN, the percentage of subjects who improved and the evaluation of the overall improvement in the statistical analysis showed no significant differences among the three groups. In the evaluation of these adverse events were lower in the group Lais 300 than the other two groups, but these differences were not statistically significant. In conclusion, the study showed that all three doses of allergoid ragweed (Ambrosia Lais) used are accompanied by a reduction in symptom score after nasal provocation test compared to baseline. There is a significant difference between the group treated with 300 AU compared to the group treated with the highest dose (Lais 2000 </w:t>
            </w:r>
            <w:proofErr w:type="gramStart"/>
            <w:r w:rsidRPr="00335BA2">
              <w:rPr>
                <w:bCs/>
                <w:lang w:val="en-GB"/>
              </w:rPr>
              <w:t>AU )</w:t>
            </w:r>
            <w:proofErr w:type="gramEnd"/>
            <w:r w:rsidRPr="00335BA2">
              <w:rPr>
                <w:bCs/>
                <w:lang w:val="en-GB"/>
              </w:rPr>
              <w:t xml:space="preserve"> as regards the evolution of the severity scores of TPN when evaluating the values relating to doses in the range of scores caused by 4:06 . All three doses significantly reduced the magnitude of the fall of the peak flow after nasal provocation test without a significant difference is observed between the three dosages even though there was a clear dose-dependent trend.</w:t>
            </w:r>
          </w:p>
          <w:p w14:paraId="64A3ED9A" w14:textId="359CE35B" w:rsidR="007B267B" w:rsidRPr="00020FEA" w:rsidRDefault="00335BA2" w:rsidP="00DD1E69">
            <w:pPr>
              <w:suppressLineNumbers/>
              <w:spacing w:line="259" w:lineRule="auto"/>
              <w:jc w:val="both"/>
              <w:rPr>
                <w:lang w:val="en-GB"/>
              </w:rPr>
            </w:pPr>
            <w:r w:rsidRPr="00335BA2">
              <w:rPr>
                <w:bCs/>
                <w:lang w:val="en-GB"/>
              </w:rPr>
              <w:t xml:space="preserve">As far as the maximum tolerated dose to TPN, the percentage of subjects who improved and the evaluation of the overall improvement in the statistical analysis showed no significant differences among the three groups. The three doses from the point of view of tolerability have not shown significant differences. There were no serious adverse events attributable to study </w:t>
            </w:r>
            <w:r w:rsidRPr="00335BA2">
              <w:rPr>
                <w:bCs/>
                <w:lang w:val="en-GB"/>
              </w:rPr>
              <w:lastRenderedPageBreak/>
              <w:t>treatment. However, interpreting the results, it is necessary to point out that the ITT population and PP appear to be lower than the calculated sample size for the study (at least 84 evaluable subjects in total).</w:t>
            </w:r>
          </w:p>
        </w:tc>
      </w:tr>
      <w:tr w:rsidR="007B267B" w:rsidRPr="00E126EF" w14:paraId="1C3AA827" w14:textId="77777777" w:rsidTr="0030079A">
        <w:tc>
          <w:tcPr>
            <w:tcW w:w="9780" w:type="dxa"/>
            <w:gridSpan w:val="3"/>
          </w:tcPr>
          <w:p w14:paraId="353A64D2" w14:textId="5FC1B798" w:rsidR="007B267B" w:rsidRPr="004E54E2" w:rsidRDefault="004E54E2" w:rsidP="004E54E2">
            <w:pPr>
              <w:suppressLineNumbers/>
              <w:jc w:val="both"/>
              <w:rPr>
                <w:i/>
                <w:iCs/>
                <w:lang w:val="en-GB"/>
              </w:rPr>
            </w:pPr>
            <w:r w:rsidRPr="004E54E2">
              <w:rPr>
                <w:i/>
                <w:iCs/>
                <w:lang w:val="en-GB"/>
              </w:rPr>
              <w:lastRenderedPageBreak/>
              <w:t>This trial was conducted in compliance with the principles of ICH Good Clinical Practice.</w:t>
            </w:r>
          </w:p>
        </w:tc>
      </w:tr>
      <w:tr w:rsidR="004E54E2" w:rsidRPr="00E126EF" w14:paraId="23716C49" w14:textId="77777777" w:rsidTr="0030079A">
        <w:tc>
          <w:tcPr>
            <w:tcW w:w="9780" w:type="dxa"/>
            <w:gridSpan w:val="3"/>
          </w:tcPr>
          <w:p w14:paraId="0583917F" w14:textId="2F83D111" w:rsidR="004E54E2" w:rsidRPr="004E54E2" w:rsidRDefault="004E54E2" w:rsidP="004E54E2">
            <w:pPr>
              <w:suppressLineNumbers/>
              <w:jc w:val="both"/>
              <w:rPr>
                <w:i/>
                <w:iCs/>
                <w:lang w:val="en-GB"/>
              </w:rPr>
            </w:pPr>
            <w:r w:rsidRPr="004E54E2">
              <w:rPr>
                <w:i/>
                <w:iCs/>
                <w:lang w:val="en-GB"/>
              </w:rPr>
              <w:t>Date of the report: September 17th, 2012</w:t>
            </w:r>
          </w:p>
        </w:tc>
      </w:tr>
    </w:tbl>
    <w:p w14:paraId="1FA7EFFA" w14:textId="77777777" w:rsidR="007B267B" w:rsidRPr="007B267B" w:rsidRDefault="007B267B" w:rsidP="00DD1E69">
      <w:pPr>
        <w:rPr>
          <w:lang w:val="en-GB"/>
        </w:rPr>
      </w:pPr>
    </w:p>
    <w:sectPr w:rsidR="007B267B" w:rsidRPr="007B267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A5E74" w14:textId="77777777" w:rsidR="00DD1E69" w:rsidRDefault="00DD1E69" w:rsidP="00DD1E69">
      <w:pPr>
        <w:spacing w:after="0" w:line="240" w:lineRule="auto"/>
      </w:pPr>
      <w:r>
        <w:separator/>
      </w:r>
    </w:p>
  </w:endnote>
  <w:endnote w:type="continuationSeparator" w:id="0">
    <w:p w14:paraId="557973DB" w14:textId="77777777" w:rsidR="00DD1E69" w:rsidRDefault="00DD1E69" w:rsidP="00DD1E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A1868" w14:textId="77777777" w:rsidR="00DD1E69" w:rsidRDefault="00DD1E69" w:rsidP="00DD1E69">
      <w:pPr>
        <w:spacing w:after="0" w:line="240" w:lineRule="auto"/>
      </w:pPr>
      <w:r>
        <w:separator/>
      </w:r>
    </w:p>
  </w:footnote>
  <w:footnote w:type="continuationSeparator" w:id="0">
    <w:p w14:paraId="55744383" w14:textId="77777777" w:rsidR="00DD1E69" w:rsidRDefault="00DD1E69" w:rsidP="00DD1E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96951"/>
    <w:multiLevelType w:val="hybridMultilevel"/>
    <w:tmpl w:val="418AB288"/>
    <w:lvl w:ilvl="0" w:tplc="04100011">
      <w:start w:val="1"/>
      <w:numFmt w:val="decimal"/>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 w15:restartNumberingAfterBreak="0">
    <w:nsid w:val="523506E5"/>
    <w:multiLevelType w:val="hybridMultilevel"/>
    <w:tmpl w:val="7024B3E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7105A61"/>
    <w:multiLevelType w:val="hybridMultilevel"/>
    <w:tmpl w:val="21F8AB4A"/>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 w15:restartNumberingAfterBreak="0">
    <w:nsid w:val="64D50418"/>
    <w:multiLevelType w:val="hybridMultilevel"/>
    <w:tmpl w:val="45EE0CF2"/>
    <w:lvl w:ilvl="0" w:tplc="EC56353C">
      <w:start w:val="15"/>
      <w:numFmt w:val="bullet"/>
      <w:lvlText w:val="­"/>
      <w:lvlJc w:val="left"/>
      <w:pPr>
        <w:ind w:left="1146" w:hanging="360"/>
      </w:pPr>
      <w:rPr>
        <w:rFonts w:ascii="Courier New" w:hAnsi="Courier New" w:hint="default"/>
      </w:rPr>
    </w:lvl>
    <w:lvl w:ilvl="1" w:tplc="04100003">
      <w:start w:val="1"/>
      <w:numFmt w:val="bullet"/>
      <w:lvlText w:val="o"/>
      <w:lvlJc w:val="left"/>
      <w:pPr>
        <w:ind w:left="1866" w:hanging="360"/>
      </w:pPr>
      <w:rPr>
        <w:rFonts w:ascii="Courier New" w:hAnsi="Courier New" w:cs="Courier New" w:hint="default"/>
      </w:rPr>
    </w:lvl>
    <w:lvl w:ilvl="2" w:tplc="EC56353C">
      <w:start w:val="15"/>
      <w:numFmt w:val="bullet"/>
      <w:lvlText w:val="­"/>
      <w:lvlJc w:val="left"/>
      <w:pPr>
        <w:ind w:left="2586" w:hanging="360"/>
      </w:pPr>
      <w:rPr>
        <w:rFonts w:ascii="Courier New" w:hAnsi="Courier New"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4" w15:restartNumberingAfterBreak="0">
    <w:nsid w:val="71436921"/>
    <w:multiLevelType w:val="hybridMultilevel"/>
    <w:tmpl w:val="27E4A7EE"/>
    <w:lvl w:ilvl="0" w:tplc="04100001">
      <w:start w:val="1"/>
      <w:numFmt w:val="bullet"/>
      <w:lvlText w:val=""/>
      <w:lvlJc w:val="left"/>
      <w:pPr>
        <w:ind w:left="1080" w:hanging="360"/>
      </w:pPr>
      <w:rPr>
        <w:rFonts w:ascii="Symbol" w:hAnsi="Symbol" w:hint="default"/>
      </w:rPr>
    </w:lvl>
    <w:lvl w:ilvl="1" w:tplc="EC56353C">
      <w:start w:val="15"/>
      <w:numFmt w:val="bullet"/>
      <w:lvlText w:val="­"/>
      <w:lvlJc w:val="left"/>
      <w:pPr>
        <w:ind w:left="1800" w:hanging="360"/>
      </w:pPr>
      <w:rPr>
        <w:rFonts w:ascii="Courier New" w:hAnsi="Courier New" w:hint="default"/>
      </w:rPr>
    </w:lvl>
    <w:lvl w:ilvl="2" w:tplc="BF1E5A0A">
      <w:start w:val="3"/>
      <w:numFmt w:val="bullet"/>
      <w:lvlText w:val="-"/>
      <w:lvlJc w:val="left"/>
      <w:pPr>
        <w:ind w:left="2520" w:hanging="360"/>
      </w:pPr>
      <w:rPr>
        <w:rFonts w:ascii="Arial Narrow" w:eastAsiaTheme="minorEastAsia" w:hAnsi="Arial Narrow" w:cs="Times New Roman"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046"/>
    <w:rsid w:val="00054F15"/>
    <w:rsid w:val="00063516"/>
    <w:rsid w:val="0012659F"/>
    <w:rsid w:val="001270FD"/>
    <w:rsid w:val="0017705D"/>
    <w:rsid w:val="001902F6"/>
    <w:rsid w:val="001B4A7D"/>
    <w:rsid w:val="00232770"/>
    <w:rsid w:val="00261837"/>
    <w:rsid w:val="0030079A"/>
    <w:rsid w:val="00335BA2"/>
    <w:rsid w:val="003D7887"/>
    <w:rsid w:val="0045215F"/>
    <w:rsid w:val="004A1D22"/>
    <w:rsid w:val="004E54E2"/>
    <w:rsid w:val="005B15CA"/>
    <w:rsid w:val="006A3E41"/>
    <w:rsid w:val="006B0C6B"/>
    <w:rsid w:val="006C5927"/>
    <w:rsid w:val="00785AFC"/>
    <w:rsid w:val="007A448F"/>
    <w:rsid w:val="007B267B"/>
    <w:rsid w:val="007C5A24"/>
    <w:rsid w:val="008429BB"/>
    <w:rsid w:val="008453FA"/>
    <w:rsid w:val="00955997"/>
    <w:rsid w:val="009D7862"/>
    <w:rsid w:val="00BC12C3"/>
    <w:rsid w:val="00C2173B"/>
    <w:rsid w:val="00C24AED"/>
    <w:rsid w:val="00CA5FAF"/>
    <w:rsid w:val="00CB2787"/>
    <w:rsid w:val="00D2510E"/>
    <w:rsid w:val="00DD1E69"/>
    <w:rsid w:val="00E126EF"/>
    <w:rsid w:val="00E22184"/>
    <w:rsid w:val="00E67AC1"/>
    <w:rsid w:val="00E96FD1"/>
    <w:rsid w:val="00F43D93"/>
    <w:rsid w:val="00F51046"/>
    <w:rsid w:val="00FF7E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315BB"/>
  <w15:chartTrackingRefBased/>
  <w15:docId w15:val="{DE20BC13-9A32-4000-8064-E4C2CCA12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7B2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DD1E6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D1E69"/>
  </w:style>
  <w:style w:type="paragraph" w:styleId="Pidipagina">
    <w:name w:val="footer"/>
    <w:basedOn w:val="Normale"/>
    <w:link w:val="PidipaginaCarattere"/>
    <w:uiPriority w:val="99"/>
    <w:unhideWhenUsed/>
    <w:rsid w:val="00DD1E6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D1E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6</Pages>
  <Words>2208</Words>
  <Characters>12587</Characters>
  <Application>Microsoft Office Word</Application>
  <DocSecurity>0</DocSecurity>
  <Lines>104</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Vecchietti Riccardo</dc:creator>
  <cp:keywords/>
  <dc:description/>
  <cp:lastModifiedBy>Enrico Compalati</cp:lastModifiedBy>
  <cp:revision>22</cp:revision>
  <dcterms:created xsi:type="dcterms:W3CDTF">2021-09-09T12:03:00Z</dcterms:created>
  <dcterms:modified xsi:type="dcterms:W3CDTF">2021-10-04T10:13:00Z</dcterms:modified>
</cp:coreProperties>
</file>