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3" w:type="pct"/>
        <w:jc w:val="center"/>
        <w:tblLook w:val="0000" w:firstRow="0" w:lastRow="0" w:firstColumn="0" w:lastColumn="0" w:noHBand="0" w:noVBand="0"/>
      </w:tblPr>
      <w:tblGrid>
        <w:gridCol w:w="2604"/>
        <w:gridCol w:w="1250"/>
        <w:gridCol w:w="1295"/>
        <w:gridCol w:w="1250"/>
        <w:gridCol w:w="1295"/>
        <w:gridCol w:w="1672"/>
      </w:tblGrid>
      <w:tr w:rsidR="004F31F4" w:rsidRPr="005E2FDD" w:rsidTr="00A34FD5">
        <w:trPr>
          <w:tblHeader/>
          <w:jc w:val="center"/>
        </w:trPr>
        <w:tc>
          <w:tcPr>
            <w:tcW w:w="5000" w:type="pct"/>
            <w:gridSpan w:val="6"/>
            <w:tcBorders>
              <w:bottom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Caption"/>
              <w:tabs>
                <w:tab w:val="clear" w:pos="2160"/>
                <w:tab w:val="left" w:pos="1695"/>
              </w:tabs>
              <w:ind w:left="1695" w:hanging="1695"/>
            </w:pPr>
            <w:bookmarkStart w:id="0" w:name="_Ref436825632"/>
            <w:bookmarkStart w:id="1" w:name="_Toc458041737"/>
            <w:bookmarkStart w:id="2" w:name="_Toc458042672"/>
            <w:bookmarkStart w:id="3" w:name="_Toc458136739"/>
            <w:bookmarkStart w:id="4" w:name="_Toc458146656"/>
            <w:bookmarkStart w:id="5" w:name="_Toc484744236"/>
            <w:r w:rsidRPr="00960F4E">
              <w:t>Table </w:t>
            </w:r>
            <w:r w:rsidRPr="00960F4E">
              <w:fldChar w:fldCharType="begin"/>
            </w:r>
            <w:r w:rsidRPr="00960F4E">
              <w:instrText xml:space="preserve"> STYLEREF "3" \n \w </w:instrText>
            </w:r>
            <w:r w:rsidRPr="00960F4E">
              <w:fldChar w:fldCharType="separate"/>
            </w:r>
            <w:r>
              <w:rPr>
                <w:noProof/>
              </w:rPr>
              <w:t>11.5.2</w:t>
            </w:r>
            <w:r w:rsidRPr="00960F4E">
              <w:rPr>
                <w:noProof/>
              </w:rPr>
              <w:fldChar w:fldCharType="end"/>
            </w:r>
            <w:r w:rsidRPr="00960F4E">
              <w:t>-</w:t>
            </w:r>
            <w:r w:rsidRPr="00960F4E">
              <w:fldChar w:fldCharType="begin"/>
            </w:r>
            <w:r w:rsidRPr="00960F4E">
              <w:instrText xml:space="preserve"> SEQ Table \s 3 </w:instrText>
            </w:r>
            <w:r w:rsidRPr="00960F4E">
              <w:fldChar w:fldCharType="separate"/>
            </w:r>
            <w:r>
              <w:rPr>
                <w:noProof/>
              </w:rPr>
              <w:t>4</w:t>
            </w:r>
            <w:r w:rsidRPr="00960F4E">
              <w:rPr>
                <w:noProof/>
              </w:rPr>
              <w:fldChar w:fldCharType="end"/>
            </w:r>
            <w:bookmarkEnd w:id="0"/>
            <w:r w:rsidRPr="00960F4E">
              <w:tab/>
            </w:r>
            <w:bookmarkStart w:id="6" w:name="_GoBack"/>
            <w:r w:rsidRPr="00960F4E">
              <w:t>Best Overall Response to Treatment (Intent-to-Treat Set)</w:t>
            </w:r>
            <w:bookmarkEnd w:id="1"/>
            <w:bookmarkEnd w:id="2"/>
            <w:bookmarkEnd w:id="3"/>
            <w:bookmarkEnd w:id="4"/>
            <w:bookmarkEnd w:id="5"/>
            <w:bookmarkEnd w:id="6"/>
          </w:p>
        </w:tc>
      </w:tr>
      <w:tr w:rsidR="004F31F4" w:rsidRPr="005E2FDD" w:rsidTr="00A34FD5">
        <w:trPr>
          <w:tblHeader/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  <w:tabs>
                <w:tab w:val="left" w:pos="329"/>
              </w:tabs>
              <w:jc w:val="left"/>
            </w:pPr>
            <w:r w:rsidRPr="005E2FDD">
              <w:t xml:space="preserve"> </w:t>
            </w:r>
          </w:p>
        </w:tc>
        <w:tc>
          <w:tcPr>
            <w:tcW w:w="26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</w:pPr>
            <w:r w:rsidRPr="005E2FDD">
              <w:t>Randomized Treatment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  <w:rPr>
                <w:vertAlign w:val="superscript"/>
              </w:rPr>
            </w:pPr>
            <w:r w:rsidRPr="005E2FDD">
              <w:t>Crossover Portion</w:t>
            </w:r>
          </w:p>
        </w:tc>
      </w:tr>
      <w:tr w:rsidR="004F31F4" w:rsidRPr="005E2FDD" w:rsidTr="00A34FD5">
        <w:trPr>
          <w:tblHeader/>
          <w:jc w:val="center"/>
        </w:trPr>
        <w:tc>
          <w:tcPr>
            <w:tcW w:w="1422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  <w:tabs>
                <w:tab w:val="left" w:pos="329"/>
              </w:tabs>
              <w:jc w:val="left"/>
            </w:pP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</w:pPr>
            <w:proofErr w:type="spellStart"/>
            <w:r w:rsidRPr="005E2FDD">
              <w:t>Mogamulizumab</w:t>
            </w:r>
            <w:proofErr w:type="spellEnd"/>
          </w:p>
          <w:p w:rsidR="004F31F4" w:rsidRPr="005E2FDD" w:rsidRDefault="004F31F4" w:rsidP="00A34FD5">
            <w:pPr>
              <w:pStyle w:val="TableHeader"/>
              <w:keepLines w:val="0"/>
            </w:pPr>
            <w:r w:rsidRPr="005E2FDD">
              <w:t>(1.0 mg/kg)</w:t>
            </w:r>
          </w:p>
          <w:p w:rsidR="004F31F4" w:rsidRPr="005E2FDD" w:rsidRDefault="004F31F4" w:rsidP="00A34FD5">
            <w:pPr>
              <w:pStyle w:val="TableHeader"/>
              <w:keepLines w:val="0"/>
            </w:pPr>
            <w:r w:rsidRPr="005E2FDD">
              <w:t xml:space="preserve">N=47 </w:t>
            </w:r>
          </w:p>
        </w:tc>
        <w:tc>
          <w:tcPr>
            <w:tcW w:w="1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  <w:rPr>
                <w:vertAlign w:val="superscript"/>
              </w:rPr>
            </w:pPr>
            <w:r w:rsidRPr="005E2FDD">
              <w:t>Investigator’s Choice</w:t>
            </w:r>
          </w:p>
          <w:p w:rsidR="004F31F4" w:rsidRPr="005E2FDD" w:rsidRDefault="004F31F4" w:rsidP="00A34FD5">
            <w:pPr>
              <w:pStyle w:val="TableHeader"/>
              <w:keepLines w:val="0"/>
            </w:pPr>
            <w:r w:rsidRPr="005E2FDD">
              <w:t>N=24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</w:pPr>
            <w:proofErr w:type="spellStart"/>
            <w:r w:rsidRPr="005E2FDD">
              <w:t>Mogamulizumab</w:t>
            </w:r>
            <w:proofErr w:type="spellEnd"/>
          </w:p>
          <w:p w:rsidR="004F31F4" w:rsidRPr="005E2FDD" w:rsidRDefault="004F31F4" w:rsidP="00A34FD5">
            <w:pPr>
              <w:pStyle w:val="TableHeader"/>
              <w:keepLines w:val="0"/>
            </w:pPr>
            <w:r w:rsidRPr="005E2FDD">
              <w:t>(1.0 mg/kg)</w:t>
            </w:r>
          </w:p>
          <w:p w:rsidR="004F31F4" w:rsidRPr="005E2FDD" w:rsidRDefault="004F31F4" w:rsidP="00A34FD5">
            <w:pPr>
              <w:pStyle w:val="TableHeader"/>
              <w:keepLines w:val="0"/>
            </w:pPr>
            <w:r w:rsidRPr="005E2FDD">
              <w:t>N=18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rPr>
                <w:b/>
              </w:rPr>
            </w:pPr>
            <w:r w:rsidRPr="005E2FDD">
              <w:rPr>
                <w:b/>
              </w:rPr>
              <w:t>Response Status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Investigator</w:t>
            </w:r>
            <w:r w:rsidRPr="005E2FDD">
              <w:rPr>
                <w:b/>
              </w:rPr>
              <w:br/>
              <w:t>Assessment</w:t>
            </w:r>
            <w:r w:rsidRPr="005E2FDD">
              <w:rPr>
                <w:b/>
              </w:rPr>
              <w:br/>
              <w:t>n=47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Independent</w:t>
            </w:r>
            <w:r w:rsidRPr="005E2FDD">
              <w:rPr>
                <w:b/>
              </w:rPr>
              <w:br/>
              <w:t>Review</w:t>
            </w:r>
            <w:r w:rsidRPr="005E2FDD">
              <w:rPr>
                <w:b/>
              </w:rPr>
              <w:br/>
              <w:t>n=47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Investigator</w:t>
            </w:r>
            <w:r w:rsidRPr="005E2FDD">
              <w:rPr>
                <w:b/>
              </w:rPr>
              <w:br/>
              <w:t>Assessment</w:t>
            </w:r>
            <w:r w:rsidRPr="005E2FDD">
              <w:rPr>
                <w:b/>
              </w:rPr>
              <w:br/>
              <w:t>n=24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Independent</w:t>
            </w:r>
            <w:r w:rsidRPr="005E2FDD">
              <w:rPr>
                <w:b/>
              </w:rPr>
              <w:br/>
              <w:t>Review</w:t>
            </w:r>
            <w:r w:rsidRPr="005E2FDD">
              <w:rPr>
                <w:b/>
              </w:rPr>
              <w:br/>
              <w:t>n=24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Investigator</w:t>
            </w:r>
            <w:r w:rsidRPr="005E2FDD">
              <w:rPr>
                <w:b/>
              </w:rPr>
              <w:br/>
              <w:t xml:space="preserve">Assessment </w:t>
            </w:r>
            <w:r w:rsidRPr="005E2FDD">
              <w:rPr>
                <w:b/>
              </w:rPr>
              <w:br/>
              <w:t>n=18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288"/>
                <w:tab w:val="left" w:pos="725"/>
              </w:tabs>
              <w:rPr>
                <w:b/>
              </w:rPr>
            </w:pPr>
            <w:r w:rsidRPr="005E2FDD">
              <w:rPr>
                <w:b/>
              </w:rPr>
              <w:t>Best Overall Response (n [%]):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288"/>
                <w:tab w:val="left" w:pos="725"/>
              </w:tabs>
              <w:rPr>
                <w:b/>
              </w:rPr>
            </w:pPr>
            <w:r w:rsidRPr="005E2FDD">
              <w:rPr>
                <w:b/>
              </w:rPr>
              <w:t xml:space="preserve">Complete Response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  <w:vertAlign w:val="superscript"/>
              </w:rPr>
            </w:pPr>
            <w:r w:rsidRPr="005E2FDD">
              <w:rPr>
                <w:b/>
              </w:rPr>
              <w:t>1 (2.1)</w:t>
            </w:r>
            <w:r w:rsidRPr="005E2FDD">
              <w:rPr>
                <w:b/>
                <w:vertAlign w:val="superscript"/>
              </w:rPr>
              <w:t>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2 (4.3)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0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  <w:rPr>
                <w:b/>
              </w:rPr>
            </w:pPr>
            <w:r w:rsidRPr="005E2FDD">
              <w:rPr>
                <w:b/>
              </w:rPr>
              <w:t>0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</w:pPr>
            <w:r w:rsidRPr="005E2FDD">
              <w:tab/>
              <w:t>Confirmed CR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1 (2.1)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</w:pPr>
            <w:r w:rsidRPr="005E2FDD">
              <w:t>0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  <w:rPr>
                <w:b/>
              </w:rPr>
            </w:pPr>
            <w:r w:rsidRPr="005E2FDD">
              <w:rPr>
                <w:b/>
              </w:rPr>
              <w:t>Uncertified Complete Response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2 (4.3)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0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  <w:rPr>
                <w:b/>
              </w:rPr>
            </w:pPr>
            <w:r w:rsidRPr="005E2FDD">
              <w:rPr>
                <w:b/>
              </w:rPr>
              <w:t>1 (5.6)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</w:pPr>
            <w:r w:rsidRPr="005E2FDD">
              <w:tab/>
              <w:t xml:space="preserve">Confirmed </w:t>
            </w:r>
            <w:proofErr w:type="spellStart"/>
            <w:r w:rsidRPr="005E2FDD">
              <w:t>CRu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1 (2.1)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</w:pPr>
            <w:r w:rsidRPr="005E2FDD">
              <w:t>0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  <w:rPr>
                <w:b/>
              </w:rPr>
            </w:pPr>
            <w:r w:rsidRPr="005E2FDD">
              <w:rPr>
                <w:b/>
              </w:rPr>
              <w:t>Partial Response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13 (27.7)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11 (23.4)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0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2 (8.3)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  <w:rPr>
                <w:b/>
              </w:rPr>
            </w:pPr>
            <w:r w:rsidRPr="005E2FDD">
              <w:rPr>
                <w:b/>
              </w:rPr>
              <w:t>2 (11.1)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</w:pPr>
            <w:r w:rsidRPr="005E2FDD">
              <w:tab/>
              <w:t>Confirmed PR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5 (10.6)</w:t>
            </w:r>
            <w:r w:rsidRPr="005E2FDD">
              <w:rPr>
                <w:vertAlign w:val="superscript"/>
              </w:rPr>
              <w:t>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4 (8.5)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</w:pPr>
            <w:r w:rsidRPr="005E2FDD">
              <w:t>1 (5.6)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  <w:rPr>
                <w:b/>
              </w:rPr>
            </w:pPr>
            <w:r w:rsidRPr="005E2FDD">
              <w:rPr>
                <w:b/>
              </w:rPr>
              <w:t xml:space="preserve">Stable Disease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2 (4.3)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6 (25.0)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4 (16.7)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  <w:rPr>
                <w:b/>
              </w:rPr>
            </w:pPr>
            <w:r w:rsidRPr="005E2FDD">
              <w:rPr>
                <w:b/>
              </w:rPr>
              <w:t>1 (5.6)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  <w:rPr>
                <w:b/>
              </w:rPr>
            </w:pPr>
            <w:r w:rsidRPr="005E2FDD">
              <w:rPr>
                <w:b/>
              </w:rPr>
              <w:t>Relapsed Disease or Progressive Disease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12 (25.5)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16 (34.0)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11 (45.8)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13 (54.2)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  <w:rPr>
                <w:b/>
              </w:rPr>
            </w:pPr>
            <w:r w:rsidRPr="005E2FDD">
              <w:rPr>
                <w:b/>
              </w:rPr>
              <w:t>6 (33.3)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  <w:rPr>
                <w:b/>
                <w:vertAlign w:val="superscript"/>
              </w:rPr>
            </w:pPr>
            <w:r w:rsidRPr="005E2FDD">
              <w:rPr>
                <w:b/>
              </w:rPr>
              <w:t xml:space="preserve">Not </w:t>
            </w:r>
            <w:proofErr w:type="spellStart"/>
            <w:r w:rsidRPr="005E2FDD">
              <w:rPr>
                <w:b/>
              </w:rPr>
              <w:t>Assessable</w:t>
            </w:r>
            <w:r w:rsidRPr="005E2FDD">
              <w:rPr>
                <w:b/>
                <w:vertAlign w:val="superscript"/>
              </w:rPr>
              <w:t>b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17 (36.2)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18 (38.3)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7 (29.2)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5 (20.8)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  <w:rPr>
                <w:b/>
              </w:rPr>
            </w:pPr>
            <w:r w:rsidRPr="005E2FDD">
              <w:rPr>
                <w:b/>
              </w:rPr>
              <w:t>8 (44.4)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tabs>
                <w:tab w:val="left" w:pos="191"/>
              </w:tabs>
            </w:pPr>
            <w:r w:rsidRPr="005E2FDD">
              <w:rPr>
                <w:b/>
              </w:rPr>
              <w:tab/>
            </w:r>
            <w:r w:rsidRPr="005E2FDD">
              <w:t>Clinical Progression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6 (12.8)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5 (20.8)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</w:pPr>
            <w:r w:rsidRPr="005E2FDD">
              <w:t>1 (4.2)</w:t>
            </w:r>
          </w:p>
        </w:tc>
        <w:tc>
          <w:tcPr>
            <w:tcW w:w="90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</w:pPr>
            <w:r w:rsidRPr="005E2FDD">
              <w:t>6 (33.3)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rPr>
                <w:b/>
              </w:rPr>
            </w:pPr>
            <w:r w:rsidRPr="005E2FDD">
              <w:rPr>
                <w:b/>
              </w:rPr>
              <w:t>Overall Response Rate (Confirmed and Unconfirmed)</w:t>
            </w:r>
          </w:p>
        </w:tc>
        <w:tc>
          <w:tcPr>
            <w:tcW w:w="69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16 (34.0)</w:t>
            </w:r>
          </w:p>
        </w:tc>
        <w:tc>
          <w:tcPr>
            <w:tcW w:w="652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5E2FDD">
              <w:rPr>
                <w:b/>
              </w:rPr>
              <w:t>13 (27.7)</w:t>
            </w:r>
          </w:p>
        </w:tc>
        <w:tc>
          <w:tcPr>
            <w:tcW w:w="67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</w:pPr>
            <w:r w:rsidRPr="005E2FDD">
              <w:t>0</w:t>
            </w:r>
          </w:p>
        </w:tc>
        <w:tc>
          <w:tcPr>
            <w:tcW w:w="65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Header"/>
              <w:keepLines w:val="0"/>
            </w:pPr>
            <w:r w:rsidRPr="005E2FDD">
              <w:t>2 (8.3)</w:t>
            </w:r>
          </w:p>
        </w:tc>
        <w:tc>
          <w:tcPr>
            <w:tcW w:w="90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  <w:rPr>
                <w:b/>
              </w:rPr>
            </w:pPr>
            <w:r w:rsidRPr="005E2FDD">
              <w:rPr>
                <w:b/>
              </w:rPr>
              <w:t>3 (16.7)</w:t>
            </w:r>
          </w:p>
        </w:tc>
      </w:tr>
      <w:tr w:rsidR="004F31F4" w:rsidRPr="005E2FDD" w:rsidTr="00A34FD5">
        <w:trPr>
          <w:jc w:val="center"/>
        </w:trPr>
        <w:tc>
          <w:tcPr>
            <w:tcW w:w="1422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8A23A6" w:rsidRDefault="004F31F4" w:rsidP="00A34FD5">
            <w:pPr>
              <w:pStyle w:val="TableText"/>
              <w:keepNext/>
              <w:rPr>
                <w:b/>
              </w:rPr>
            </w:pPr>
            <w:r w:rsidRPr="008A23A6">
              <w:rPr>
                <w:b/>
              </w:rPr>
              <w:t>Overall Response Rate Confirmed</w:t>
            </w:r>
          </w:p>
        </w:tc>
        <w:tc>
          <w:tcPr>
            <w:tcW w:w="69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8A23A6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8A23A6">
              <w:rPr>
                <w:b/>
              </w:rPr>
              <w:t>7 (14.9)</w:t>
            </w:r>
          </w:p>
        </w:tc>
        <w:tc>
          <w:tcPr>
            <w:tcW w:w="652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8A23A6" w:rsidRDefault="004F31F4" w:rsidP="00A34FD5">
            <w:pPr>
              <w:pStyle w:val="TableText"/>
              <w:keepNext/>
              <w:jc w:val="center"/>
              <w:rPr>
                <w:b/>
              </w:rPr>
            </w:pPr>
            <w:r w:rsidRPr="008A23A6">
              <w:rPr>
                <w:b/>
              </w:rPr>
              <w:t>5 (10.6)</w:t>
            </w:r>
          </w:p>
        </w:tc>
        <w:tc>
          <w:tcPr>
            <w:tcW w:w="67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8A23A6" w:rsidRDefault="004F31F4" w:rsidP="00A34FD5">
            <w:pPr>
              <w:pStyle w:val="TableHeader"/>
              <w:keepLines w:val="0"/>
            </w:pPr>
            <w:r w:rsidRPr="008A23A6">
              <w:t>0</w:t>
            </w:r>
          </w:p>
        </w:tc>
        <w:tc>
          <w:tcPr>
            <w:tcW w:w="65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F31F4" w:rsidRPr="008A23A6" w:rsidRDefault="004F31F4" w:rsidP="00A34FD5">
            <w:pPr>
              <w:pStyle w:val="TableHeader"/>
              <w:keepLines w:val="0"/>
            </w:pPr>
            <w:r w:rsidRPr="008A23A6">
              <w:t>0</w:t>
            </w:r>
          </w:p>
        </w:tc>
        <w:tc>
          <w:tcPr>
            <w:tcW w:w="90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:rsidR="004F31F4" w:rsidRPr="005E2FDD" w:rsidRDefault="004F31F4" w:rsidP="00A34FD5">
            <w:pPr>
              <w:pStyle w:val="TableText"/>
              <w:keepNext/>
              <w:keepLines/>
              <w:jc w:val="center"/>
              <w:rPr>
                <w:b/>
              </w:rPr>
            </w:pPr>
            <w:r w:rsidRPr="008A23A6">
              <w:rPr>
                <w:b/>
              </w:rPr>
              <w:t>1 (5.6)</w:t>
            </w:r>
          </w:p>
        </w:tc>
      </w:tr>
      <w:tr w:rsidR="004F31F4" w:rsidRPr="005E2FDD" w:rsidTr="00A34FD5">
        <w:tblPrEx>
          <w:tblBorders>
            <w:top w:val="single" w:sz="4" w:space="0" w:color="auto"/>
          </w:tblBorders>
        </w:tblPrEx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31F4" w:rsidRPr="005E2FDD" w:rsidRDefault="004F31F4" w:rsidP="00A34FD5">
            <w:pPr>
              <w:pStyle w:val="TableNoteInfo"/>
              <w:keepNext/>
            </w:pPr>
            <w:proofErr w:type="gramStart"/>
            <w:r w:rsidRPr="005E2FDD">
              <w:t>a</w:t>
            </w:r>
            <w:proofErr w:type="gramEnd"/>
            <w:r w:rsidRPr="005E2FDD">
              <w:t>:</w:t>
            </w:r>
            <w:r w:rsidRPr="005E2FDD">
              <w:tab/>
              <w:t xml:space="preserve">One subject (022-006) had a confirmed PR, but the best overall response was unconfirmed CR at the time of the data cut-off date. </w:t>
            </w:r>
          </w:p>
          <w:p w:rsidR="004F31F4" w:rsidRPr="005E2FDD" w:rsidRDefault="004F31F4" w:rsidP="00A34FD5">
            <w:pPr>
              <w:pStyle w:val="TableNoteInfo"/>
              <w:keepNext/>
            </w:pPr>
            <w:proofErr w:type="gramStart"/>
            <w:r w:rsidRPr="005E2FDD">
              <w:t>b</w:t>
            </w:r>
            <w:proofErr w:type="gramEnd"/>
            <w:r w:rsidRPr="005E2FDD">
              <w:t>:</w:t>
            </w:r>
            <w:r w:rsidRPr="005E2FDD">
              <w:tab/>
              <w:t>If there was no</w:t>
            </w:r>
            <w:r>
              <w:t xml:space="preserve"> post-baseline tumor</w:t>
            </w:r>
            <w:r w:rsidRPr="005E2FDD">
              <w:t xml:space="preserve"> assessment </w:t>
            </w:r>
            <w:r>
              <w:t xml:space="preserve">or the responses for all post-baseline tumor assessments were not assessable (not evaluable), </w:t>
            </w:r>
            <w:r w:rsidRPr="005E2FDD">
              <w:t xml:space="preserve">the best overall response was classified as </w:t>
            </w:r>
            <w:r>
              <w:t>“</w:t>
            </w:r>
            <w:r w:rsidRPr="005E2FDD">
              <w:t>not assessable</w:t>
            </w:r>
            <w:r>
              <w:t>” for the subject</w:t>
            </w:r>
            <w:r w:rsidRPr="005E2FDD">
              <w:t>.</w:t>
            </w:r>
          </w:p>
          <w:p w:rsidR="004F31F4" w:rsidRDefault="004F31F4" w:rsidP="00A34FD5">
            <w:pPr>
              <w:pStyle w:val="TableNoteInfo"/>
              <w:keepNext/>
              <w:tabs>
                <w:tab w:val="clear" w:pos="216"/>
              </w:tabs>
              <w:ind w:left="3" w:hanging="3"/>
            </w:pPr>
            <w:r w:rsidRPr="005E2FDD">
              <w:t xml:space="preserve">CR=complete response; </w:t>
            </w:r>
            <w:proofErr w:type="spellStart"/>
            <w:r w:rsidRPr="005E2FDD">
              <w:t>CRu</w:t>
            </w:r>
            <w:proofErr w:type="spellEnd"/>
            <w:r w:rsidRPr="005E2FDD">
              <w:t xml:space="preserve">=uncertified complete response; PR=partial response </w:t>
            </w:r>
          </w:p>
          <w:p w:rsidR="004F31F4" w:rsidRPr="005E2FDD" w:rsidRDefault="004F31F4" w:rsidP="00A34FD5">
            <w:pPr>
              <w:pStyle w:val="TableNoteInfo"/>
              <w:keepNext/>
              <w:tabs>
                <w:tab w:val="clear" w:pos="216"/>
              </w:tabs>
              <w:ind w:left="3" w:hanging="3"/>
            </w:pPr>
            <w:r w:rsidRPr="005E2FDD">
              <w:t>Source:  Tables</w:t>
            </w:r>
            <w:r w:rsidRPr="005E2FDD">
              <w:rPr>
                <w:color w:val="FF0000"/>
              </w:rPr>
              <w:t xml:space="preserve"> 14.2.1.2</w:t>
            </w:r>
            <w:r w:rsidRPr="005E2FDD">
              <w:t xml:space="preserve"> and </w:t>
            </w:r>
            <w:r w:rsidRPr="005E2FDD">
              <w:rPr>
                <w:color w:val="FF0000"/>
              </w:rPr>
              <w:t>14.2.1.7</w:t>
            </w:r>
            <w:r w:rsidRPr="005E2FDD">
              <w:t>; Listings</w:t>
            </w:r>
            <w:r w:rsidRPr="005E2FDD">
              <w:rPr>
                <w:color w:val="FF0000"/>
              </w:rPr>
              <w:t xml:space="preserve"> 16.2.6.19</w:t>
            </w:r>
            <w:r w:rsidRPr="005E2FDD">
              <w:t xml:space="preserve">, </w:t>
            </w:r>
            <w:r w:rsidRPr="005E2FDD">
              <w:rPr>
                <w:color w:val="FF0000"/>
              </w:rPr>
              <w:t>16.2.6.20</w:t>
            </w:r>
            <w:r w:rsidRPr="005E2FDD">
              <w:t xml:space="preserve">, and </w:t>
            </w:r>
            <w:r w:rsidRPr="005E2FDD">
              <w:rPr>
                <w:color w:val="FF0000"/>
              </w:rPr>
              <w:t xml:space="preserve">16.2.6.21 </w:t>
            </w:r>
          </w:p>
          <w:p w:rsidR="004F31F4" w:rsidRPr="005E2FDD" w:rsidRDefault="004F31F4" w:rsidP="00A34FD5">
            <w:pPr>
              <w:pStyle w:val="TableNoteInfo"/>
              <w:keepNext/>
              <w:rPr>
                <w:vertAlign w:val="superscript"/>
              </w:rPr>
            </w:pPr>
          </w:p>
        </w:tc>
      </w:tr>
    </w:tbl>
    <w:p w:rsidR="00D40C6D" w:rsidRDefault="004F31F4"/>
    <w:sectPr w:rsidR="00D40C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1F4"/>
    <w:rsid w:val="00310720"/>
    <w:rsid w:val="003C7E39"/>
    <w:rsid w:val="004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BDCF1E-A172-47E0-BB8D-C46E00B3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1F4"/>
    <w:pPr>
      <w:spacing w:before="120" w:after="120" w:line="300" w:lineRule="auto"/>
    </w:pPr>
    <w:rPr>
      <w:rFonts w:ascii="Times New Roman" w:eastAsia="MS Mincho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link w:val="TableTextChar1"/>
    <w:rsid w:val="004F31F4"/>
    <w:pPr>
      <w:spacing w:before="0" w:after="0" w:line="260" w:lineRule="exact"/>
    </w:pPr>
    <w:rPr>
      <w:sz w:val="20"/>
    </w:rPr>
  </w:style>
  <w:style w:type="character" w:customStyle="1" w:styleId="TableTextChar1">
    <w:name w:val="Table Text Char1"/>
    <w:basedOn w:val="DefaultParagraphFont"/>
    <w:link w:val="TableText"/>
    <w:locked/>
    <w:rsid w:val="004F31F4"/>
    <w:rPr>
      <w:rFonts w:ascii="Times New Roman" w:eastAsia="MS Mincho" w:hAnsi="Times New Roman" w:cs="Times New Roman"/>
      <w:sz w:val="20"/>
      <w:szCs w:val="20"/>
    </w:rPr>
  </w:style>
  <w:style w:type="paragraph" w:customStyle="1" w:styleId="TableHeader">
    <w:name w:val="Table Header"/>
    <w:basedOn w:val="Normal"/>
    <w:rsid w:val="004F31F4"/>
    <w:pPr>
      <w:keepNext/>
      <w:keepLines/>
      <w:spacing w:before="0" w:after="0" w:line="260" w:lineRule="exact"/>
      <w:jc w:val="center"/>
    </w:pPr>
    <w:rPr>
      <w:b/>
      <w:sz w:val="20"/>
    </w:rPr>
  </w:style>
  <w:style w:type="paragraph" w:customStyle="1" w:styleId="TableNoteInfo">
    <w:name w:val="Table Note Info"/>
    <w:basedOn w:val="Normal"/>
    <w:link w:val="TableNoteInfoChar"/>
    <w:rsid w:val="004F31F4"/>
    <w:pPr>
      <w:tabs>
        <w:tab w:val="left" w:pos="216"/>
      </w:tabs>
      <w:spacing w:before="0" w:after="0" w:line="260" w:lineRule="exact"/>
      <w:ind w:left="216" w:hanging="216"/>
    </w:pPr>
    <w:rPr>
      <w:sz w:val="18"/>
    </w:rPr>
  </w:style>
  <w:style w:type="character" w:customStyle="1" w:styleId="TableNoteInfoChar">
    <w:name w:val="Table Note Info Char"/>
    <w:link w:val="TableNoteInfo"/>
    <w:rsid w:val="004F31F4"/>
    <w:rPr>
      <w:rFonts w:ascii="Times New Roman" w:eastAsia="MS Mincho" w:hAnsi="Times New Roman" w:cs="Times New Roman"/>
      <w:sz w:val="18"/>
      <w:szCs w:val="20"/>
    </w:rPr>
  </w:style>
  <w:style w:type="paragraph" w:styleId="Caption">
    <w:name w:val="caption"/>
    <w:basedOn w:val="Normal"/>
    <w:next w:val="Normal"/>
    <w:link w:val="CaptionChar"/>
    <w:qFormat/>
    <w:rsid w:val="004F31F4"/>
    <w:pPr>
      <w:keepNext/>
      <w:keepLines/>
      <w:tabs>
        <w:tab w:val="left" w:pos="2160"/>
      </w:tabs>
      <w:spacing w:line="240" w:lineRule="auto"/>
      <w:ind w:left="2160" w:hanging="2160"/>
    </w:pPr>
    <w:rPr>
      <w:b/>
      <w:bCs/>
    </w:rPr>
  </w:style>
  <w:style w:type="character" w:customStyle="1" w:styleId="CaptionChar">
    <w:name w:val="Caption Char"/>
    <w:link w:val="Caption"/>
    <w:rsid w:val="004F31F4"/>
    <w:rPr>
      <w:rFonts w:ascii="Times New Roman" w:eastAsia="MS Mincho" w:hAnsi="Times New Roman" w:cs="Times New Roman"/>
      <w:b/>
      <w:b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Colleen Sullivan</dc:creator>
  <cp:keywords/>
  <dc:description/>
  <cp:lastModifiedBy>Colleen Sullivan</cp:lastModifiedBy>
  <cp:revision>1</cp:revision>
  <dcterms:created xsi:type="dcterms:W3CDTF">2018-01-10T16:32:00Z</dcterms:created>
  <dcterms:modified xsi:type="dcterms:W3CDTF">2018-01-10T16:38:00Z</dcterms:modified>
</cp:coreProperties>
</file>