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167F" w:rsidRPr="006353B9" w:rsidRDefault="003B167F" w:rsidP="003B167F">
      <w:pPr>
        <w:pStyle w:val="Heading1"/>
      </w:pPr>
      <w:bookmarkStart w:id="0" w:name="_Toc501022013"/>
      <w:r w:rsidRPr="006353B9">
        <w:t>TITLE PAGE</w:t>
      </w:r>
      <w:bookmarkEnd w:id="0"/>
      <w:r w:rsidRPr="006353B9">
        <w:t xml:space="preserve"> </w:t>
      </w:r>
    </w:p>
    <w:p w:rsidR="003B167F" w:rsidRPr="006353B9" w:rsidRDefault="003B167F" w:rsidP="003B167F">
      <w:pPr>
        <w:pStyle w:val="Normal1"/>
        <w:jc w:val="both"/>
        <w:rPr>
          <w:b/>
          <w:color w:val="auto"/>
          <w:lang w:val="en-US"/>
        </w:rPr>
      </w:pPr>
    </w:p>
    <w:p w:rsidR="003B167F" w:rsidRPr="003B167F" w:rsidRDefault="003B167F" w:rsidP="003B167F">
      <w:pPr>
        <w:jc w:val="both"/>
        <w:rPr>
          <w:b/>
          <w:lang w:val="en-US"/>
        </w:rPr>
      </w:pPr>
      <w:r w:rsidRPr="003B167F">
        <w:rPr>
          <w:b/>
          <w:lang w:val="en-US"/>
        </w:rPr>
        <w:t xml:space="preserve">A randomized phase II study to explore the efficacy and feasibility of upfront rotations between </w:t>
      </w:r>
      <w:proofErr w:type="spellStart"/>
      <w:r w:rsidRPr="003B167F">
        <w:rPr>
          <w:b/>
          <w:lang w:val="en-US"/>
        </w:rPr>
        <w:t>SUNitinib</w:t>
      </w:r>
      <w:proofErr w:type="spellEnd"/>
      <w:r w:rsidRPr="003B167F">
        <w:rPr>
          <w:b/>
          <w:lang w:val="en-US"/>
        </w:rPr>
        <w:t xml:space="preserve"> and </w:t>
      </w:r>
      <w:proofErr w:type="spellStart"/>
      <w:r w:rsidRPr="003B167F">
        <w:rPr>
          <w:b/>
          <w:lang w:val="en-US"/>
        </w:rPr>
        <w:t>Everolimus</w:t>
      </w:r>
      <w:proofErr w:type="spellEnd"/>
      <w:r w:rsidRPr="003B167F">
        <w:rPr>
          <w:b/>
          <w:lang w:val="en-US"/>
        </w:rPr>
        <w:t xml:space="preserve"> versus sequential treatment of </w:t>
      </w:r>
      <w:proofErr w:type="spellStart"/>
      <w:r w:rsidRPr="003B167F">
        <w:rPr>
          <w:b/>
          <w:lang w:val="en-US"/>
        </w:rPr>
        <w:t>fiRst</w:t>
      </w:r>
      <w:proofErr w:type="spellEnd"/>
      <w:r w:rsidRPr="003B167F">
        <w:rPr>
          <w:b/>
          <w:lang w:val="en-US"/>
        </w:rPr>
        <w:t xml:space="preserve"> </w:t>
      </w:r>
      <w:proofErr w:type="spellStart"/>
      <w:r w:rsidRPr="003B167F">
        <w:rPr>
          <w:b/>
          <w:lang w:val="en-US"/>
        </w:rPr>
        <w:t>lIne</w:t>
      </w:r>
      <w:proofErr w:type="spellEnd"/>
      <w:r w:rsidRPr="003B167F">
        <w:rPr>
          <w:b/>
          <w:lang w:val="en-US"/>
        </w:rPr>
        <w:t xml:space="preserve"> </w:t>
      </w:r>
      <w:proofErr w:type="spellStart"/>
      <w:r w:rsidRPr="003B167F">
        <w:rPr>
          <w:b/>
          <w:lang w:val="en-US"/>
        </w:rPr>
        <w:t>Sunitinib</w:t>
      </w:r>
      <w:proofErr w:type="spellEnd"/>
      <w:r w:rsidRPr="003B167F">
        <w:rPr>
          <w:b/>
          <w:lang w:val="en-US"/>
        </w:rPr>
        <w:t xml:space="preserve"> and Second line </w:t>
      </w:r>
      <w:proofErr w:type="spellStart"/>
      <w:r w:rsidRPr="003B167F">
        <w:rPr>
          <w:b/>
          <w:lang w:val="en-US"/>
        </w:rPr>
        <w:t>EverolimuS</w:t>
      </w:r>
      <w:proofErr w:type="spellEnd"/>
      <w:r w:rsidRPr="003B167F">
        <w:rPr>
          <w:b/>
          <w:lang w:val="en-US"/>
        </w:rPr>
        <w:t xml:space="preserve"> until progression in </w:t>
      </w:r>
      <w:proofErr w:type="gramStart"/>
      <w:r w:rsidRPr="003B167F">
        <w:rPr>
          <w:b/>
          <w:lang w:val="en-US"/>
        </w:rPr>
        <w:t>patients</w:t>
      </w:r>
      <w:proofErr w:type="gramEnd"/>
      <w:r w:rsidRPr="003B167F">
        <w:rPr>
          <w:b/>
          <w:lang w:val="en-US"/>
        </w:rPr>
        <w:t xml:space="preserve"> metastatic clear cell renal cancer</w:t>
      </w:r>
      <w:r w:rsidR="00CD404E">
        <w:rPr>
          <w:b/>
          <w:lang w:val="en-US"/>
        </w:rPr>
        <w:t xml:space="preserve"> </w:t>
      </w:r>
      <w:r w:rsidR="00CD404E" w:rsidRPr="00CD404E">
        <w:rPr>
          <w:b/>
          <w:lang w:val="en-US"/>
        </w:rPr>
        <w:t>(The SUNRISES study: CRAD001LIC34T)</w:t>
      </w:r>
    </w:p>
    <w:p w:rsidR="003B167F" w:rsidRPr="006353B9" w:rsidRDefault="003B167F" w:rsidP="003B167F">
      <w:pPr>
        <w:pStyle w:val="Normal1"/>
        <w:jc w:val="both"/>
        <w:rPr>
          <w:color w:val="auto"/>
          <w:lang w:val="en-US"/>
        </w:rPr>
      </w:pPr>
    </w:p>
    <w:tbl>
      <w:tblPr>
        <w:tblW w:w="8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59"/>
        <w:gridCol w:w="5079"/>
      </w:tblGrid>
      <w:tr w:rsidR="003B167F" w:rsidRPr="00AC180A"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Sponsor:</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APRO (Spanish Oncology Research group)</w:t>
            </w:r>
          </w:p>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Business address: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proofErr w:type="spellStart"/>
            <w:r w:rsidRPr="003B167F">
              <w:rPr>
                <w:rFonts w:asciiTheme="minorHAnsi" w:hAnsiTheme="minorHAnsi" w:cstheme="minorHAnsi"/>
                <w:color w:val="auto"/>
                <w:lang w:val="en-US"/>
              </w:rPr>
              <w:t>Vilarrubias</w:t>
            </w:r>
            <w:proofErr w:type="spellEnd"/>
            <w:r w:rsidRPr="003B167F">
              <w:rPr>
                <w:rFonts w:asciiTheme="minorHAnsi" w:hAnsiTheme="minorHAnsi" w:cstheme="minorHAnsi"/>
                <w:color w:val="auto"/>
                <w:lang w:val="en-US"/>
              </w:rPr>
              <w:t xml:space="preserve"> nº20- Sabadell,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s-ES"/>
              </w:rPr>
            </w:pPr>
            <w:r w:rsidRPr="003B167F">
              <w:rPr>
                <w:rFonts w:asciiTheme="minorHAnsi" w:hAnsiTheme="minorHAnsi" w:cstheme="minorHAnsi"/>
                <w:color w:val="auto"/>
                <w:lang w:val="es-ES"/>
              </w:rPr>
              <w:t xml:space="preserve">08201 Barcelona, Spain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s-ES"/>
              </w:rPr>
            </w:pPr>
            <w:r w:rsidRPr="003B167F">
              <w:rPr>
                <w:rFonts w:asciiTheme="minorHAnsi" w:hAnsiTheme="minorHAnsi" w:cstheme="minorHAnsi"/>
                <w:color w:val="auto"/>
                <w:lang w:val="es-ES"/>
              </w:rPr>
              <w:t xml:space="preserve">Postal </w:t>
            </w:r>
            <w:proofErr w:type="spellStart"/>
            <w:r w:rsidRPr="003B167F">
              <w:rPr>
                <w:rFonts w:asciiTheme="minorHAnsi" w:hAnsiTheme="minorHAnsi" w:cstheme="minorHAnsi"/>
                <w:color w:val="auto"/>
                <w:lang w:val="es-ES"/>
              </w:rPr>
              <w:t>address</w:t>
            </w:r>
            <w:proofErr w:type="spellEnd"/>
            <w:r w:rsidRPr="003B167F">
              <w:rPr>
                <w:rFonts w:asciiTheme="minorHAnsi" w:hAnsiTheme="minorHAnsi" w:cstheme="minorHAnsi"/>
                <w:color w:val="auto"/>
                <w:lang w:val="es-ES"/>
              </w:rPr>
              <w:t xml:space="preserve">: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s-ES"/>
              </w:rPr>
              <w:t xml:space="preserve">Hospital del Mar. </w:t>
            </w:r>
            <w:r w:rsidRPr="003B167F">
              <w:rPr>
                <w:rFonts w:asciiTheme="minorHAnsi" w:hAnsiTheme="minorHAnsi" w:cstheme="minorHAnsi"/>
                <w:color w:val="auto"/>
                <w:lang w:val="en-US"/>
              </w:rPr>
              <w:t xml:space="preserve">Oncology Unit- (Dr Bellmunt)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proofErr w:type="spellStart"/>
            <w:r w:rsidRPr="003B167F">
              <w:rPr>
                <w:rFonts w:asciiTheme="minorHAnsi" w:hAnsiTheme="minorHAnsi" w:cstheme="minorHAnsi"/>
                <w:color w:val="auto"/>
                <w:lang w:val="en-US"/>
              </w:rPr>
              <w:t>Passeig</w:t>
            </w:r>
            <w:proofErr w:type="spellEnd"/>
            <w:r w:rsidRPr="003B167F">
              <w:rPr>
                <w:rFonts w:asciiTheme="minorHAnsi" w:hAnsiTheme="minorHAnsi" w:cstheme="minorHAnsi"/>
                <w:color w:val="auto"/>
                <w:lang w:val="en-US"/>
              </w:rPr>
              <w:t xml:space="preserve"> </w:t>
            </w:r>
            <w:proofErr w:type="spellStart"/>
            <w:r w:rsidRPr="003B167F">
              <w:rPr>
                <w:rFonts w:asciiTheme="minorHAnsi" w:hAnsiTheme="minorHAnsi" w:cstheme="minorHAnsi"/>
                <w:color w:val="auto"/>
                <w:lang w:val="en-US"/>
              </w:rPr>
              <w:t>Marítim</w:t>
            </w:r>
            <w:proofErr w:type="spellEnd"/>
            <w:r w:rsidRPr="003B167F">
              <w:rPr>
                <w:rFonts w:asciiTheme="minorHAnsi" w:hAnsiTheme="minorHAnsi" w:cstheme="minorHAnsi"/>
                <w:color w:val="auto"/>
                <w:lang w:val="en-US"/>
              </w:rPr>
              <w:t xml:space="preserve"> 25-29. 08003 Barcelona, Spain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Phone: +34 93 248 30 00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Fax: +34 93 248 32 54 </w:t>
            </w:r>
          </w:p>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e-mail: </w:t>
            </w:r>
            <w:hyperlink r:id="rId8" w:history="1">
              <w:r w:rsidR="003B13F8" w:rsidRPr="00DE5284">
                <w:rPr>
                  <w:rStyle w:val="Hyperlink"/>
                  <w:rFonts w:asciiTheme="minorHAnsi" w:hAnsiTheme="minorHAnsi" w:cstheme="minorHAnsi"/>
                  <w:lang w:val="en-US"/>
                </w:rPr>
                <w:t>oncologia.apro@gmail.com</w:t>
              </w:r>
            </w:hyperlink>
            <w:r w:rsidR="003B13F8">
              <w:rPr>
                <w:rFonts w:asciiTheme="minorHAnsi" w:hAnsiTheme="minorHAnsi" w:cstheme="minorHAnsi"/>
                <w:color w:val="auto"/>
                <w:lang w:val="en-US"/>
              </w:rPr>
              <w:t xml:space="preserve"> </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Test Drug:</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roofErr w:type="spellStart"/>
            <w:r w:rsidRPr="003B167F">
              <w:rPr>
                <w:rFonts w:asciiTheme="minorHAnsi" w:hAnsiTheme="minorHAnsi" w:cstheme="minorHAnsi"/>
                <w:color w:val="auto"/>
                <w:lang w:val="en-US"/>
              </w:rPr>
              <w:t>SUNitinib</w:t>
            </w:r>
            <w:proofErr w:type="spellEnd"/>
            <w:r w:rsidRPr="003B167F">
              <w:rPr>
                <w:rFonts w:asciiTheme="minorHAnsi" w:hAnsiTheme="minorHAnsi" w:cstheme="minorHAnsi"/>
                <w:color w:val="auto"/>
                <w:lang w:val="en-US"/>
              </w:rPr>
              <w:t xml:space="preserve"> and </w:t>
            </w:r>
            <w:proofErr w:type="spellStart"/>
            <w:r w:rsidRPr="003B167F">
              <w:rPr>
                <w:rFonts w:asciiTheme="minorHAnsi" w:hAnsiTheme="minorHAnsi" w:cstheme="minorHAnsi"/>
                <w:color w:val="auto"/>
                <w:lang w:val="en-US"/>
              </w:rPr>
              <w:t>Everolimus</w:t>
            </w:r>
            <w:proofErr w:type="spellEnd"/>
          </w:p>
        </w:tc>
      </w:tr>
      <w:tr w:rsidR="003B167F" w:rsidRPr="00AC180A"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Indication Studied:</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metastatic clear cell renal cancer</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Protocol Number:</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CRAD001LIC34T</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EUDRACT Number</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2012-001337-13</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Study Phase:</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IV/II</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Study Initiation Date:</w:t>
            </w:r>
          </w:p>
        </w:tc>
        <w:tc>
          <w:tcPr>
            <w:tcW w:w="5079" w:type="dxa"/>
            <w:tcBorders>
              <w:top w:val="nil"/>
              <w:left w:val="nil"/>
              <w:bottom w:val="nil"/>
              <w:right w:val="nil"/>
            </w:tcBorders>
            <w:tcMar>
              <w:top w:w="100" w:type="dxa"/>
              <w:left w:w="100" w:type="dxa"/>
              <w:bottom w:w="100" w:type="dxa"/>
              <w:right w:w="100" w:type="dxa"/>
            </w:tcMar>
          </w:tcPr>
          <w:p w:rsidR="003B167F" w:rsidRPr="004C4835" w:rsidRDefault="003B167F" w:rsidP="004C4835">
            <w:pPr>
              <w:spacing w:line="240" w:lineRule="auto"/>
              <w:jc w:val="both"/>
              <w:rPr>
                <w:rFonts w:asciiTheme="minorHAnsi" w:eastAsia="Times New Roman" w:hAnsiTheme="minorHAnsi" w:cstheme="minorHAnsi"/>
                <w:color w:val="auto"/>
                <w:lang w:val="en-US"/>
              </w:rPr>
            </w:pPr>
            <w:r w:rsidRPr="003B167F">
              <w:rPr>
                <w:rFonts w:asciiTheme="minorHAnsi" w:eastAsia="Times New Roman" w:hAnsiTheme="minorHAnsi" w:cstheme="minorHAnsi"/>
                <w:color w:val="auto"/>
                <w:shd w:val="clear" w:color="auto" w:fill="FFFFFF"/>
                <w:lang w:val="en-US"/>
              </w:rPr>
              <w:t xml:space="preserve">FPI: 12-Feb-2013 </w:t>
            </w:r>
          </w:p>
        </w:tc>
      </w:tr>
      <w:tr w:rsidR="003B167F" w:rsidRPr="00AC180A"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Date of Early Termination:</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spacing w:line="240" w:lineRule="auto"/>
              <w:jc w:val="both"/>
              <w:rPr>
                <w:rFonts w:asciiTheme="minorHAnsi" w:eastAsia="Times New Roman" w:hAnsiTheme="minorHAnsi" w:cstheme="minorHAnsi"/>
                <w:color w:val="auto"/>
                <w:shd w:val="clear" w:color="auto" w:fill="FFFFFF"/>
                <w:lang w:val="en-US"/>
              </w:rPr>
            </w:pPr>
            <w:r w:rsidRPr="003B167F">
              <w:rPr>
                <w:rFonts w:asciiTheme="minorHAnsi" w:eastAsia="Times New Roman" w:hAnsiTheme="minorHAnsi" w:cstheme="minorHAnsi"/>
                <w:color w:val="auto"/>
                <w:shd w:val="clear" w:color="auto" w:fill="FFFFFF"/>
                <w:lang w:val="en-US"/>
              </w:rPr>
              <w:t xml:space="preserve">Date of the Amendment for premature study discontinuation is 26-Oct-2016, </w:t>
            </w:r>
          </w:p>
          <w:p w:rsidR="003B167F" w:rsidRPr="003B167F" w:rsidRDefault="004C4835" w:rsidP="00541836">
            <w:pPr>
              <w:spacing w:line="240" w:lineRule="auto"/>
              <w:jc w:val="both"/>
              <w:rPr>
                <w:rFonts w:asciiTheme="minorHAnsi" w:hAnsiTheme="minorHAnsi" w:cstheme="minorHAnsi"/>
                <w:color w:val="auto"/>
                <w:lang w:val="en-US"/>
              </w:rPr>
            </w:pPr>
            <w:r>
              <w:rPr>
                <w:rFonts w:asciiTheme="minorHAnsi" w:eastAsia="Times New Roman" w:hAnsiTheme="minorHAnsi" w:cstheme="minorHAnsi"/>
                <w:color w:val="auto"/>
                <w:shd w:val="clear" w:color="auto" w:fill="FFFFFF"/>
                <w:lang w:val="en-US"/>
              </w:rPr>
              <w:t>L</w:t>
            </w:r>
            <w:r w:rsidR="003B167F" w:rsidRPr="003B167F">
              <w:rPr>
                <w:rFonts w:asciiTheme="minorHAnsi" w:eastAsia="Times New Roman" w:hAnsiTheme="minorHAnsi" w:cstheme="minorHAnsi"/>
                <w:color w:val="auto"/>
                <w:shd w:val="clear" w:color="auto" w:fill="FFFFFF"/>
                <w:lang w:val="en-US"/>
              </w:rPr>
              <w:t xml:space="preserve">ast regulatory approval for this early termination was given by French EC on 25-Jan-2017. </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Study Completion Date:</w:t>
            </w:r>
          </w:p>
        </w:tc>
        <w:tc>
          <w:tcPr>
            <w:tcW w:w="5079" w:type="dxa"/>
            <w:tcBorders>
              <w:top w:val="nil"/>
              <w:left w:val="nil"/>
              <w:bottom w:val="nil"/>
              <w:right w:val="nil"/>
            </w:tcBorders>
            <w:tcMar>
              <w:top w:w="100" w:type="dxa"/>
              <w:left w:w="100" w:type="dxa"/>
              <w:bottom w:w="100" w:type="dxa"/>
              <w:right w:w="100" w:type="dxa"/>
            </w:tcMar>
          </w:tcPr>
          <w:p w:rsidR="003B167F" w:rsidRPr="004C4835" w:rsidRDefault="003B167F" w:rsidP="004C4835">
            <w:pPr>
              <w:spacing w:line="240" w:lineRule="auto"/>
              <w:jc w:val="both"/>
              <w:rPr>
                <w:rFonts w:asciiTheme="minorHAnsi" w:eastAsia="Times New Roman" w:hAnsiTheme="minorHAnsi" w:cstheme="minorHAnsi"/>
                <w:color w:val="auto"/>
              </w:rPr>
            </w:pPr>
            <w:r w:rsidRPr="003B167F">
              <w:rPr>
                <w:rFonts w:asciiTheme="minorHAnsi" w:eastAsia="Times New Roman" w:hAnsiTheme="minorHAnsi" w:cstheme="minorHAnsi"/>
                <w:color w:val="auto"/>
                <w:shd w:val="clear" w:color="auto" w:fill="FFFFFF"/>
              </w:rPr>
              <w:t>06 April 2017</w:t>
            </w:r>
          </w:p>
        </w:tc>
      </w:tr>
      <w:tr w:rsidR="003B167F" w:rsidRPr="00AC180A"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Coordinating Investigator(s):</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Joaquim Bellmunt, MD/PhD </w:t>
            </w:r>
          </w:p>
          <w:p w:rsidR="003B167F" w:rsidRPr="003B167F" w:rsidRDefault="003B167F" w:rsidP="009A2182">
            <w:pPr>
              <w:spacing w:line="240" w:lineRule="auto"/>
              <w:jc w:val="both"/>
              <w:rPr>
                <w:rFonts w:asciiTheme="minorHAnsi" w:eastAsia="Times New Roman" w:hAnsiTheme="minorHAnsi" w:cstheme="minorHAnsi"/>
                <w:color w:val="auto"/>
                <w:shd w:val="clear" w:color="auto" w:fill="FFFFFF"/>
                <w:lang w:val="en-US"/>
              </w:rPr>
            </w:pPr>
            <w:r w:rsidRPr="003B167F">
              <w:rPr>
                <w:rFonts w:asciiTheme="minorHAnsi" w:eastAsia="Times New Roman" w:hAnsiTheme="minorHAnsi" w:cstheme="minorHAnsi"/>
                <w:color w:val="auto"/>
                <w:shd w:val="clear" w:color="auto" w:fill="FFFFFF"/>
                <w:lang w:val="en-US"/>
              </w:rPr>
              <w:t>Hospital del Mar (Spain)</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Phone: +34 93 2483137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Fax: +34 93 2483366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e-mail: </w:t>
            </w:r>
            <w:hyperlink r:id="rId9" w:history="1">
              <w:r w:rsidR="003B13F8" w:rsidRPr="00DE5284">
                <w:rPr>
                  <w:rStyle w:val="Hyperlink"/>
                  <w:rFonts w:asciiTheme="minorHAnsi" w:hAnsiTheme="minorHAnsi" w:cstheme="minorHAnsi"/>
                  <w:lang w:val="en-US"/>
                </w:rPr>
                <w:t>jbellmunt@parcdesalutmar.cat</w:t>
              </w:r>
            </w:hyperlink>
            <w:r w:rsidR="003B13F8">
              <w:rPr>
                <w:rFonts w:asciiTheme="minorHAnsi" w:hAnsiTheme="minorHAnsi" w:cstheme="minorHAnsi"/>
                <w:color w:val="auto"/>
                <w:lang w:val="en-US"/>
              </w:rPr>
              <w:t xml:space="preserve"> </w:t>
            </w:r>
            <w:r w:rsidRPr="003B167F">
              <w:rPr>
                <w:rFonts w:asciiTheme="minorHAnsi" w:hAnsiTheme="minorHAnsi" w:cstheme="minorHAnsi"/>
                <w:color w:val="auto"/>
                <w:lang w:val="en-US"/>
              </w:rPr>
              <w:t xml:space="preserve"> </w:t>
            </w:r>
          </w:p>
          <w:p w:rsidR="003B167F" w:rsidRDefault="003B167F" w:rsidP="009A2182">
            <w:pPr>
              <w:autoSpaceDE w:val="0"/>
              <w:autoSpaceDN w:val="0"/>
              <w:adjustRightInd w:val="0"/>
              <w:spacing w:line="240" w:lineRule="auto"/>
              <w:jc w:val="both"/>
              <w:rPr>
                <w:rFonts w:asciiTheme="minorHAnsi" w:hAnsiTheme="minorHAnsi" w:cstheme="minorHAnsi"/>
                <w:color w:val="auto"/>
                <w:lang w:val="en-US"/>
              </w:rPr>
            </w:pPr>
          </w:p>
          <w:p w:rsidR="004C4835" w:rsidRDefault="004C4835" w:rsidP="009A2182">
            <w:pPr>
              <w:autoSpaceDE w:val="0"/>
              <w:autoSpaceDN w:val="0"/>
              <w:adjustRightInd w:val="0"/>
              <w:spacing w:line="240" w:lineRule="auto"/>
              <w:jc w:val="both"/>
              <w:rPr>
                <w:rFonts w:asciiTheme="minorHAnsi" w:hAnsiTheme="minorHAnsi" w:cstheme="minorHAnsi"/>
                <w:color w:val="auto"/>
                <w:lang w:val="en-US"/>
              </w:rPr>
            </w:pPr>
          </w:p>
          <w:p w:rsidR="004C4835" w:rsidRPr="003B167F" w:rsidRDefault="004C4835" w:rsidP="009A2182">
            <w:pPr>
              <w:autoSpaceDE w:val="0"/>
              <w:autoSpaceDN w:val="0"/>
              <w:adjustRightInd w:val="0"/>
              <w:spacing w:line="240" w:lineRule="auto"/>
              <w:jc w:val="both"/>
              <w:rPr>
                <w:rFonts w:asciiTheme="minorHAnsi" w:hAnsiTheme="minorHAnsi" w:cstheme="minorHAnsi"/>
                <w:color w:val="auto"/>
                <w:lang w:val="en-US"/>
              </w:rPr>
            </w:pP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lastRenderedPageBreak/>
              <w:t xml:space="preserve">Alain </w:t>
            </w:r>
            <w:proofErr w:type="spellStart"/>
            <w:r w:rsidRPr="003B167F">
              <w:rPr>
                <w:rFonts w:asciiTheme="minorHAnsi" w:hAnsiTheme="minorHAnsi" w:cstheme="minorHAnsi"/>
                <w:color w:val="auto"/>
                <w:lang w:val="en-US"/>
              </w:rPr>
              <w:t>Ravaud</w:t>
            </w:r>
            <w:proofErr w:type="spellEnd"/>
            <w:r w:rsidRPr="003B167F">
              <w:rPr>
                <w:rFonts w:asciiTheme="minorHAnsi" w:hAnsiTheme="minorHAnsi" w:cstheme="minorHAnsi"/>
                <w:color w:val="auto"/>
                <w:lang w:val="en-US"/>
              </w:rPr>
              <w:t xml:space="preserve"> MD/PhD </w:t>
            </w:r>
          </w:p>
          <w:p w:rsidR="003B167F" w:rsidRPr="003B167F" w:rsidRDefault="003B167F" w:rsidP="009A2182">
            <w:pPr>
              <w:autoSpaceDE w:val="0"/>
              <w:autoSpaceDN w:val="0"/>
              <w:adjustRightInd w:val="0"/>
              <w:spacing w:line="240" w:lineRule="auto"/>
              <w:jc w:val="both"/>
              <w:rPr>
                <w:rFonts w:asciiTheme="minorHAnsi" w:eastAsia="Times New Roman" w:hAnsiTheme="minorHAnsi" w:cstheme="minorHAnsi"/>
                <w:color w:val="auto"/>
                <w:lang w:val="en-US"/>
              </w:rPr>
            </w:pPr>
            <w:proofErr w:type="spellStart"/>
            <w:r w:rsidRPr="003B167F">
              <w:rPr>
                <w:rFonts w:asciiTheme="minorHAnsi" w:eastAsia="Times New Roman" w:hAnsiTheme="minorHAnsi" w:cstheme="minorHAnsi"/>
                <w:color w:val="auto"/>
                <w:lang w:val="en-US"/>
              </w:rPr>
              <w:t>Hôpital</w:t>
            </w:r>
            <w:proofErr w:type="spellEnd"/>
            <w:r w:rsidRPr="003B167F">
              <w:rPr>
                <w:rFonts w:asciiTheme="minorHAnsi" w:eastAsia="Times New Roman" w:hAnsiTheme="minorHAnsi" w:cstheme="minorHAnsi"/>
                <w:color w:val="auto"/>
                <w:lang w:val="en-US"/>
              </w:rPr>
              <w:t xml:space="preserve"> Saint André (France)</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Phone: + 33 5 56 79 58 08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Fax: +33 5 56 79 58 96 </w:t>
            </w:r>
          </w:p>
          <w:p w:rsidR="003B167F" w:rsidRPr="003B167F" w:rsidRDefault="003B167F" w:rsidP="003B13F8">
            <w:pPr>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e-mail: </w:t>
            </w:r>
            <w:hyperlink r:id="rId10" w:history="1">
              <w:r w:rsidRPr="003B13F8">
                <w:rPr>
                  <w:rStyle w:val="Hyperlink"/>
                  <w:rFonts w:asciiTheme="minorHAnsi" w:hAnsiTheme="minorHAnsi" w:cstheme="minorHAnsi"/>
                  <w:lang w:val="en-US"/>
                </w:rPr>
                <w:t>alain.ravaud@chu-bordeaux.fr</w:t>
              </w:r>
            </w:hyperlink>
            <w:r w:rsidR="003B13F8">
              <w:rPr>
                <w:rStyle w:val="Hyperlink"/>
                <w:rFonts w:asciiTheme="minorHAnsi" w:hAnsiTheme="minorHAnsi" w:cstheme="minorHAnsi"/>
                <w:color w:val="auto"/>
                <w:u w:val="none"/>
                <w:lang w:val="en-US"/>
              </w:rPr>
              <w:t xml:space="preserve"> </w:t>
            </w:r>
            <w:r w:rsidRPr="003B167F">
              <w:rPr>
                <w:rFonts w:asciiTheme="minorHAnsi" w:hAnsiTheme="minorHAnsi" w:cstheme="minorHAnsi"/>
                <w:color w:val="auto"/>
                <w:lang w:val="en-US"/>
              </w:rPr>
              <w:t xml:space="preserve"> </w:t>
            </w:r>
          </w:p>
        </w:tc>
      </w:tr>
      <w:tr w:rsidR="003B167F" w:rsidRPr="00AC180A"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Clinical Research Organization:</w:t>
            </w:r>
          </w:p>
        </w:tc>
        <w:tc>
          <w:tcPr>
            <w:tcW w:w="5079" w:type="dxa"/>
            <w:tcBorders>
              <w:top w:val="nil"/>
              <w:left w:val="nil"/>
              <w:bottom w:val="nil"/>
              <w:right w:val="nil"/>
            </w:tcBorders>
            <w:tcMar>
              <w:top w:w="100" w:type="dxa"/>
              <w:left w:w="100" w:type="dxa"/>
              <w:bottom w:w="100" w:type="dxa"/>
              <w:right w:w="100" w:type="dxa"/>
            </w:tcMar>
          </w:tcPr>
          <w:tbl>
            <w:tblPr>
              <w:tblW w:w="0" w:type="auto"/>
              <w:tblBorders>
                <w:top w:val="nil"/>
                <w:left w:val="nil"/>
                <w:bottom w:val="nil"/>
                <w:right w:val="nil"/>
              </w:tblBorders>
              <w:tblLayout w:type="fixed"/>
              <w:tblLook w:val="0000" w:firstRow="0" w:lastRow="0" w:firstColumn="0" w:lastColumn="0" w:noHBand="0" w:noVBand="0"/>
            </w:tblPr>
            <w:tblGrid>
              <w:gridCol w:w="3165"/>
            </w:tblGrid>
            <w:tr w:rsidR="003B167F" w:rsidRPr="003B167F" w:rsidTr="009A2182">
              <w:trPr>
                <w:trHeight w:val="109"/>
              </w:trPr>
              <w:tc>
                <w:tcPr>
                  <w:tcW w:w="3165" w:type="dxa"/>
                </w:tcPr>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PIVOTAL S.L. </w:t>
                  </w:r>
                </w:p>
              </w:tc>
            </w:tr>
            <w:tr w:rsidR="003B167F" w:rsidRPr="00AC180A" w:rsidTr="009A2182">
              <w:trPr>
                <w:trHeight w:val="316"/>
              </w:trPr>
              <w:tc>
                <w:tcPr>
                  <w:tcW w:w="3165" w:type="dxa"/>
                </w:tcPr>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s-ES"/>
                    </w:rPr>
                  </w:pPr>
                  <w:r w:rsidRPr="003B167F">
                    <w:rPr>
                      <w:rFonts w:asciiTheme="minorHAnsi" w:hAnsiTheme="minorHAnsi" w:cstheme="minorHAnsi"/>
                      <w:color w:val="auto"/>
                      <w:lang w:val="es-ES"/>
                    </w:rPr>
                    <w:t xml:space="preserve">c/ </w:t>
                  </w:r>
                  <w:proofErr w:type="spellStart"/>
                  <w:r w:rsidRPr="003B167F">
                    <w:rPr>
                      <w:rFonts w:asciiTheme="minorHAnsi" w:hAnsiTheme="minorHAnsi" w:cstheme="minorHAnsi"/>
                      <w:color w:val="auto"/>
                      <w:lang w:val="es-ES"/>
                    </w:rPr>
                    <w:t>Gobelas</w:t>
                  </w:r>
                  <w:proofErr w:type="spellEnd"/>
                  <w:r w:rsidRPr="003B167F">
                    <w:rPr>
                      <w:rFonts w:asciiTheme="minorHAnsi" w:hAnsiTheme="minorHAnsi" w:cstheme="minorHAnsi"/>
                      <w:color w:val="auto"/>
                      <w:lang w:val="es-ES"/>
                    </w:rPr>
                    <w:t xml:space="preserve"> 19. La Florida, 28023 </w:t>
                  </w:r>
                </w:p>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s-ES"/>
                    </w:rPr>
                  </w:pPr>
                  <w:r w:rsidRPr="003B167F">
                    <w:rPr>
                      <w:rFonts w:asciiTheme="minorHAnsi" w:hAnsiTheme="minorHAnsi" w:cstheme="minorHAnsi"/>
                      <w:color w:val="auto"/>
                      <w:lang w:val="es-ES"/>
                    </w:rPr>
                    <w:t xml:space="preserve">Madrid, Spain </w:t>
                  </w:r>
                </w:p>
              </w:tc>
            </w:tr>
            <w:tr w:rsidR="003B167F" w:rsidRPr="003B167F" w:rsidTr="009A2182">
              <w:trPr>
                <w:trHeight w:val="109"/>
              </w:trPr>
              <w:tc>
                <w:tcPr>
                  <w:tcW w:w="3165" w:type="dxa"/>
                </w:tcPr>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Phone: +34 917081250 </w:t>
                  </w:r>
                </w:p>
              </w:tc>
            </w:tr>
            <w:tr w:rsidR="003B167F" w:rsidRPr="003B167F" w:rsidTr="009A2182">
              <w:trPr>
                <w:trHeight w:val="109"/>
              </w:trPr>
              <w:tc>
                <w:tcPr>
                  <w:tcW w:w="3165" w:type="dxa"/>
                </w:tcPr>
                <w:p w:rsidR="003B167F" w:rsidRPr="003B167F" w:rsidRDefault="003B167F" w:rsidP="009A2182">
                  <w:pPr>
                    <w:autoSpaceDE w:val="0"/>
                    <w:autoSpaceDN w:val="0"/>
                    <w:adjustRightInd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 xml:space="preserve">Fax: +34 917081301 </w:t>
                  </w:r>
                </w:p>
              </w:tc>
            </w:tr>
          </w:tbl>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r w:rsidRPr="003B167F">
              <w:rPr>
                <w:rFonts w:asciiTheme="minorHAnsi" w:hAnsiTheme="minorHAnsi" w:cstheme="minorHAnsi"/>
                <w:color w:val="auto"/>
                <w:lang w:val="en-US"/>
              </w:rPr>
              <w:t>Report Date:</w:t>
            </w:r>
          </w:p>
        </w:tc>
        <w:tc>
          <w:tcPr>
            <w:tcW w:w="5079" w:type="dxa"/>
            <w:tcBorders>
              <w:top w:val="nil"/>
              <w:left w:val="nil"/>
              <w:bottom w:val="nil"/>
              <w:right w:val="nil"/>
            </w:tcBorders>
            <w:tcMar>
              <w:top w:w="100" w:type="dxa"/>
              <w:left w:w="100" w:type="dxa"/>
              <w:bottom w:w="100" w:type="dxa"/>
              <w:right w:w="100" w:type="dxa"/>
            </w:tcMar>
          </w:tcPr>
          <w:p w:rsidR="003B167F" w:rsidRPr="003B167F" w:rsidRDefault="004C4835" w:rsidP="009A2182">
            <w:pPr>
              <w:pStyle w:val="Normal1"/>
              <w:widowControl w:val="0"/>
              <w:spacing w:line="240" w:lineRule="auto"/>
              <w:jc w:val="both"/>
              <w:rPr>
                <w:rFonts w:asciiTheme="minorHAnsi" w:hAnsiTheme="minorHAnsi" w:cstheme="minorHAnsi"/>
                <w:color w:val="auto"/>
                <w:lang w:val="en-US"/>
              </w:rPr>
            </w:pPr>
            <w:r>
              <w:rPr>
                <w:rFonts w:asciiTheme="minorHAnsi" w:hAnsiTheme="minorHAnsi" w:cstheme="minorHAnsi"/>
                <w:color w:val="auto"/>
                <w:lang w:val="en-US"/>
              </w:rPr>
              <w:t>12 February 2018</w:t>
            </w:r>
          </w:p>
        </w:tc>
      </w:tr>
      <w:tr w:rsidR="003B167F" w:rsidRPr="006353B9" w:rsidTr="003B167F">
        <w:tc>
          <w:tcPr>
            <w:tcW w:w="355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tc>
        <w:tc>
          <w:tcPr>
            <w:tcW w:w="5079" w:type="dxa"/>
            <w:tcBorders>
              <w:top w:val="nil"/>
              <w:left w:val="nil"/>
              <w:bottom w:val="nil"/>
              <w:right w:val="nil"/>
            </w:tcBorders>
            <w:tcMar>
              <w:top w:w="100" w:type="dxa"/>
              <w:left w:w="100" w:type="dxa"/>
              <w:bottom w:w="100" w:type="dxa"/>
              <w:right w:w="100" w:type="dxa"/>
            </w:tcMar>
          </w:tcPr>
          <w:p w:rsidR="003B167F" w:rsidRPr="003B167F" w:rsidRDefault="003B167F" w:rsidP="009A2182">
            <w:pPr>
              <w:pStyle w:val="Normal1"/>
              <w:widowControl w:val="0"/>
              <w:spacing w:line="240" w:lineRule="auto"/>
              <w:jc w:val="both"/>
              <w:rPr>
                <w:rFonts w:asciiTheme="minorHAnsi" w:hAnsiTheme="minorHAnsi" w:cstheme="minorHAnsi"/>
                <w:color w:val="auto"/>
                <w:lang w:val="en-US"/>
              </w:rPr>
            </w:pPr>
          </w:p>
        </w:tc>
      </w:tr>
    </w:tbl>
    <w:p w:rsidR="003B167F" w:rsidRPr="006353B9" w:rsidRDefault="003B167F" w:rsidP="003B167F">
      <w:pPr>
        <w:pStyle w:val="Normal1"/>
        <w:jc w:val="both"/>
        <w:rPr>
          <w:b/>
          <w:color w:val="auto"/>
          <w:lang w:val="en-US"/>
        </w:rPr>
      </w:pPr>
      <w:r w:rsidRPr="006353B9">
        <w:rPr>
          <w:b/>
          <w:color w:val="auto"/>
          <w:lang w:val="en-US"/>
        </w:rPr>
        <w:t>This study was conducted in compliance with Good Clinical Practices, including the</w:t>
      </w:r>
      <w:r>
        <w:rPr>
          <w:b/>
          <w:color w:val="auto"/>
          <w:lang w:val="en-US"/>
        </w:rPr>
        <w:t xml:space="preserve"> </w:t>
      </w:r>
      <w:r w:rsidRPr="006353B9">
        <w:rPr>
          <w:b/>
          <w:color w:val="auto"/>
          <w:lang w:val="en-US"/>
        </w:rPr>
        <w:t>archiving of essential documents.</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jc w:val="both"/>
        <w:rPr>
          <w:color w:val="auto"/>
          <w:lang w:val="en-US"/>
        </w:rPr>
      </w:pPr>
      <w:r w:rsidRPr="006353B9">
        <w:rPr>
          <w:color w:val="auto"/>
          <w:lang w:val="en-US"/>
        </w:rPr>
        <w:br w:type="page"/>
      </w:r>
    </w:p>
    <w:p w:rsidR="003B13F8" w:rsidRDefault="003B13F8" w:rsidP="003B167F">
      <w:pPr>
        <w:pStyle w:val="Normal1"/>
        <w:jc w:val="both"/>
        <w:rPr>
          <w:b/>
          <w:color w:val="auto"/>
          <w:lang w:val="en-US"/>
        </w:rPr>
      </w:pPr>
    </w:p>
    <w:p w:rsidR="003B167F" w:rsidRPr="006353B9" w:rsidRDefault="003B167F" w:rsidP="003B167F">
      <w:pPr>
        <w:pStyle w:val="Normal1"/>
        <w:jc w:val="both"/>
        <w:rPr>
          <w:b/>
          <w:color w:val="auto"/>
          <w:lang w:val="en-US"/>
        </w:rPr>
      </w:pPr>
      <w:r w:rsidRPr="006353B9">
        <w:rPr>
          <w:b/>
          <w:color w:val="auto"/>
          <w:lang w:val="en-US"/>
        </w:rPr>
        <w:t>SIGNATURES</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u w:val="single"/>
          <w:lang w:val="en-US"/>
        </w:rPr>
      </w:pPr>
      <w:r w:rsidRPr="006353B9">
        <w:rPr>
          <w:color w:val="auto"/>
          <w:u w:val="single"/>
          <w:lang w:val="en-US"/>
        </w:rPr>
        <w:t>Sponsor</w:t>
      </w:r>
    </w:p>
    <w:p w:rsidR="003B167F" w:rsidRPr="006353B9" w:rsidRDefault="003B167F" w:rsidP="003B167F">
      <w:pPr>
        <w:pStyle w:val="Normal1"/>
        <w:jc w:val="both"/>
        <w:rPr>
          <w:color w:val="auto"/>
          <w:lang w:val="en-US"/>
        </w:rPr>
      </w:pPr>
    </w:p>
    <w:p w:rsidR="003B167F" w:rsidRPr="006353B9" w:rsidRDefault="003B167F" w:rsidP="003B13F8">
      <w:pPr>
        <w:pStyle w:val="Normal1"/>
        <w:jc w:val="both"/>
        <w:rPr>
          <w:color w:val="auto"/>
          <w:lang w:val="en-US"/>
        </w:rPr>
      </w:pPr>
      <w:r w:rsidRPr="006353B9">
        <w:rPr>
          <w:color w:val="auto"/>
          <w:lang w:val="en-US"/>
        </w:rPr>
        <w:t xml:space="preserve">This clinical study protocol numbered CRAD001LIC34T entitled </w:t>
      </w:r>
      <w:r w:rsidRPr="006353B9">
        <w:rPr>
          <w:b/>
          <w:i/>
          <w:color w:val="auto"/>
          <w:lang w:val="en-US"/>
        </w:rPr>
        <w:t>A randomized phase</w:t>
      </w:r>
      <w:r w:rsidR="003B13F8">
        <w:rPr>
          <w:b/>
          <w:i/>
          <w:color w:val="auto"/>
          <w:lang w:val="en-US"/>
        </w:rPr>
        <w:t xml:space="preserve"> </w:t>
      </w:r>
      <w:r w:rsidRPr="006353B9">
        <w:rPr>
          <w:b/>
          <w:i/>
          <w:color w:val="auto"/>
          <w:lang w:val="en-US"/>
        </w:rPr>
        <w:t xml:space="preserve">II study to explore the efficacy and feasibility of upfront rotations between </w:t>
      </w:r>
      <w:proofErr w:type="spellStart"/>
      <w:r w:rsidRPr="006353B9">
        <w:rPr>
          <w:b/>
          <w:i/>
          <w:color w:val="auto"/>
          <w:lang w:val="en-US"/>
        </w:rPr>
        <w:t>SUNitinib</w:t>
      </w:r>
      <w:proofErr w:type="spellEnd"/>
      <w:r w:rsidR="003B13F8">
        <w:rPr>
          <w:b/>
          <w:i/>
          <w:color w:val="auto"/>
          <w:lang w:val="en-US"/>
        </w:rPr>
        <w:t xml:space="preserve"> </w:t>
      </w:r>
      <w:r w:rsidRPr="006353B9">
        <w:rPr>
          <w:b/>
          <w:i/>
          <w:color w:val="auto"/>
          <w:lang w:val="en-US"/>
        </w:rPr>
        <w:t xml:space="preserve">and </w:t>
      </w:r>
      <w:proofErr w:type="spellStart"/>
      <w:r w:rsidRPr="006353B9">
        <w:rPr>
          <w:b/>
          <w:i/>
          <w:color w:val="auto"/>
          <w:lang w:val="en-US"/>
        </w:rPr>
        <w:t>Everolimus</w:t>
      </w:r>
      <w:proofErr w:type="spellEnd"/>
      <w:r w:rsidRPr="006353B9">
        <w:rPr>
          <w:b/>
          <w:i/>
          <w:color w:val="auto"/>
          <w:lang w:val="en-US"/>
        </w:rPr>
        <w:t xml:space="preserve"> versus sequential treatment of </w:t>
      </w:r>
      <w:proofErr w:type="spellStart"/>
      <w:r w:rsidRPr="006353B9">
        <w:rPr>
          <w:b/>
          <w:i/>
          <w:color w:val="auto"/>
          <w:lang w:val="en-US"/>
        </w:rPr>
        <w:t>fiRst</w:t>
      </w:r>
      <w:proofErr w:type="spellEnd"/>
      <w:r w:rsidRPr="006353B9">
        <w:rPr>
          <w:b/>
          <w:i/>
          <w:color w:val="auto"/>
          <w:lang w:val="en-US"/>
        </w:rPr>
        <w:t xml:space="preserve"> </w:t>
      </w:r>
      <w:proofErr w:type="spellStart"/>
      <w:r w:rsidRPr="006353B9">
        <w:rPr>
          <w:b/>
          <w:i/>
          <w:color w:val="auto"/>
          <w:lang w:val="en-US"/>
        </w:rPr>
        <w:t>lIne</w:t>
      </w:r>
      <w:proofErr w:type="spellEnd"/>
      <w:r w:rsidRPr="006353B9">
        <w:rPr>
          <w:b/>
          <w:i/>
          <w:color w:val="auto"/>
          <w:lang w:val="en-US"/>
        </w:rPr>
        <w:t xml:space="preserve"> </w:t>
      </w:r>
      <w:proofErr w:type="spellStart"/>
      <w:r w:rsidRPr="006353B9">
        <w:rPr>
          <w:b/>
          <w:i/>
          <w:color w:val="auto"/>
          <w:lang w:val="en-US"/>
        </w:rPr>
        <w:t>Sunitinib</w:t>
      </w:r>
      <w:proofErr w:type="spellEnd"/>
      <w:r w:rsidRPr="006353B9">
        <w:rPr>
          <w:b/>
          <w:i/>
          <w:color w:val="auto"/>
          <w:lang w:val="en-US"/>
        </w:rPr>
        <w:t xml:space="preserve"> and Second line</w:t>
      </w:r>
      <w:r w:rsidR="003B13F8">
        <w:rPr>
          <w:b/>
          <w:i/>
          <w:color w:val="auto"/>
          <w:lang w:val="en-US"/>
        </w:rPr>
        <w:t xml:space="preserve"> </w:t>
      </w:r>
      <w:proofErr w:type="spellStart"/>
      <w:r w:rsidRPr="006353B9">
        <w:rPr>
          <w:b/>
          <w:i/>
          <w:color w:val="auto"/>
          <w:lang w:val="en-US"/>
        </w:rPr>
        <w:t>EverolimuS</w:t>
      </w:r>
      <w:proofErr w:type="spellEnd"/>
      <w:r w:rsidRPr="006353B9">
        <w:rPr>
          <w:b/>
          <w:i/>
          <w:color w:val="auto"/>
          <w:lang w:val="en-US"/>
        </w:rPr>
        <w:t xml:space="preserve"> until progression in </w:t>
      </w:r>
      <w:proofErr w:type="gramStart"/>
      <w:r w:rsidRPr="006353B9">
        <w:rPr>
          <w:b/>
          <w:i/>
          <w:color w:val="auto"/>
          <w:lang w:val="en-US"/>
        </w:rPr>
        <w:t>patients</w:t>
      </w:r>
      <w:proofErr w:type="gramEnd"/>
      <w:r w:rsidRPr="006353B9">
        <w:rPr>
          <w:b/>
          <w:i/>
          <w:color w:val="auto"/>
          <w:lang w:val="en-US"/>
        </w:rPr>
        <w:t xml:space="preserve"> metastatic clear cell renal cancer (The</w:t>
      </w:r>
      <w:r w:rsidR="003B13F8">
        <w:rPr>
          <w:b/>
          <w:i/>
          <w:color w:val="auto"/>
          <w:lang w:val="en-US"/>
        </w:rPr>
        <w:t xml:space="preserve"> </w:t>
      </w:r>
      <w:r w:rsidRPr="006353B9">
        <w:rPr>
          <w:b/>
          <w:i/>
          <w:color w:val="auto"/>
          <w:lang w:val="en-US"/>
        </w:rPr>
        <w:t xml:space="preserve">SUNRISES study: CRAD001LIC34T) </w:t>
      </w:r>
      <w:r w:rsidRPr="006353B9">
        <w:rPr>
          <w:color w:val="auto"/>
          <w:lang w:val="en-US"/>
        </w:rPr>
        <w:t>with EUDRACT No. 2012-001337-13 was</w:t>
      </w:r>
      <w:r w:rsidR="003B13F8">
        <w:rPr>
          <w:color w:val="auto"/>
          <w:lang w:val="en-US"/>
        </w:rPr>
        <w:t xml:space="preserve"> </w:t>
      </w:r>
      <w:r w:rsidRPr="006353B9">
        <w:rPr>
          <w:color w:val="auto"/>
          <w:lang w:val="en-US"/>
        </w:rPr>
        <w:t>subject to critical review and has been approved by the Sponsor.</w:t>
      </w:r>
    </w:p>
    <w:p w:rsidR="003B167F" w:rsidRPr="006353B9" w:rsidRDefault="003B167F" w:rsidP="003B13F8">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Approved by:</w:t>
      </w:r>
    </w:p>
    <w:p w:rsidR="003B167F" w:rsidRPr="006353B9" w:rsidRDefault="003B167F" w:rsidP="003B167F">
      <w:pPr>
        <w:pStyle w:val="Normal1"/>
        <w:jc w:val="both"/>
        <w:rPr>
          <w:color w:val="auto"/>
          <w:lang w:val="en-US"/>
        </w:rPr>
      </w:pPr>
    </w:p>
    <w:tbl>
      <w:tblPr>
        <w:tblW w:w="880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
        <w:gridCol w:w="4001"/>
        <w:gridCol w:w="142"/>
        <w:gridCol w:w="4373"/>
        <w:gridCol w:w="142"/>
      </w:tblGrid>
      <w:tr w:rsidR="003B167F" w:rsidRPr="006353B9" w:rsidTr="003B13F8">
        <w:trPr>
          <w:gridAfter w:val="1"/>
          <w:wAfter w:w="142" w:type="dxa"/>
        </w:trPr>
        <w:tc>
          <w:tcPr>
            <w:tcW w:w="4143"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Default="003B167F" w:rsidP="009A2182">
            <w:pPr>
              <w:pStyle w:val="Normal1"/>
              <w:jc w:val="both"/>
              <w:rPr>
                <w:color w:val="auto"/>
                <w:lang w:val="en-US"/>
              </w:rPr>
            </w:pPr>
          </w:p>
          <w:p w:rsidR="003B13F8" w:rsidRPr="006353B9" w:rsidRDefault="003B13F8" w:rsidP="009A2182">
            <w:pPr>
              <w:pStyle w:val="Normal1"/>
              <w:jc w:val="both"/>
              <w:rPr>
                <w:color w:val="auto"/>
                <w:lang w:val="en-US"/>
              </w:rPr>
            </w:pPr>
          </w:p>
          <w:p w:rsidR="003B167F" w:rsidRPr="006353B9" w:rsidRDefault="003B167F" w:rsidP="009A2182">
            <w:pPr>
              <w:pStyle w:val="Normal1"/>
              <w:jc w:val="both"/>
              <w:rPr>
                <w:color w:val="auto"/>
                <w:lang w:val="en-US"/>
              </w:rPr>
            </w:pPr>
          </w:p>
          <w:p w:rsidR="003B167F" w:rsidRPr="006353B9" w:rsidRDefault="003B167F" w:rsidP="009A2182">
            <w:pPr>
              <w:pStyle w:val="Normal1"/>
              <w:jc w:val="both"/>
              <w:rPr>
                <w:color w:val="auto"/>
                <w:lang w:val="en-US"/>
              </w:rPr>
            </w:pPr>
            <w:r w:rsidRPr="006353B9">
              <w:rPr>
                <w:color w:val="auto"/>
                <w:lang w:val="en-US"/>
              </w:rPr>
              <w:t>__________________</w:t>
            </w:r>
          </w:p>
          <w:p w:rsidR="003B167F" w:rsidRPr="006353B9" w:rsidRDefault="003B167F" w:rsidP="009A2182">
            <w:pPr>
              <w:pStyle w:val="Normal1"/>
              <w:jc w:val="both"/>
              <w:rPr>
                <w:color w:val="auto"/>
                <w:lang w:val="en-US"/>
              </w:rPr>
            </w:pPr>
            <w:r w:rsidRPr="006353B9">
              <w:rPr>
                <w:color w:val="auto"/>
                <w:lang w:val="en-US"/>
              </w:rPr>
              <w:t>Signature</w:t>
            </w:r>
          </w:p>
        </w:tc>
        <w:tc>
          <w:tcPr>
            <w:tcW w:w="451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
        </w:tc>
      </w:tr>
      <w:tr w:rsidR="003B167F" w:rsidRPr="00AC180A" w:rsidTr="003B13F8">
        <w:trPr>
          <w:gridBefore w:val="1"/>
          <w:wBefore w:w="142" w:type="dxa"/>
        </w:trPr>
        <w:tc>
          <w:tcPr>
            <w:tcW w:w="4143"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
        </w:tc>
        <w:tc>
          <w:tcPr>
            <w:tcW w:w="451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
        </w:tc>
      </w:tr>
    </w:tbl>
    <w:p w:rsidR="003B167F" w:rsidRDefault="003B167F" w:rsidP="003B167F">
      <w:pPr>
        <w:pStyle w:val="Normal1"/>
        <w:jc w:val="both"/>
        <w:rPr>
          <w:color w:val="auto"/>
          <w:lang w:val="en-US"/>
        </w:rPr>
      </w:pPr>
    </w:p>
    <w:p w:rsidR="003B13F8" w:rsidRPr="006353B9" w:rsidRDefault="003B13F8" w:rsidP="003B167F">
      <w:pPr>
        <w:pStyle w:val="Normal1"/>
        <w:jc w:val="both"/>
        <w:rPr>
          <w:color w:val="auto"/>
          <w:lang w:val="en-US"/>
        </w:rPr>
      </w:pPr>
    </w:p>
    <w:tbl>
      <w:tblPr>
        <w:tblW w:w="9755"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35"/>
        <w:gridCol w:w="4620"/>
      </w:tblGrid>
      <w:tr w:rsidR="003B13F8" w:rsidRPr="006353B9" w:rsidTr="003B13F8">
        <w:tc>
          <w:tcPr>
            <w:tcW w:w="51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3F8" w:rsidRPr="006353B9" w:rsidRDefault="003B13F8" w:rsidP="003B13F8">
            <w:pPr>
              <w:pStyle w:val="Normal1"/>
              <w:jc w:val="both"/>
              <w:rPr>
                <w:color w:val="auto"/>
                <w:lang w:val="en-US"/>
              </w:rPr>
            </w:pPr>
            <w:r>
              <w:rPr>
                <w:color w:val="auto"/>
                <w:lang w:val="en-US"/>
              </w:rPr>
              <w:t>_____________</w:t>
            </w:r>
            <w:r w:rsidRPr="006353B9">
              <w:rPr>
                <w:color w:val="auto"/>
                <w:lang w:val="en-US"/>
              </w:rPr>
              <w:t>______________________</w:t>
            </w:r>
          </w:p>
          <w:p w:rsidR="003B13F8" w:rsidRDefault="003B13F8" w:rsidP="003B13F8">
            <w:pPr>
              <w:pStyle w:val="Normal1"/>
              <w:widowControl w:val="0"/>
              <w:spacing w:line="240" w:lineRule="auto"/>
              <w:jc w:val="both"/>
              <w:rPr>
                <w:color w:val="auto"/>
                <w:lang w:val="en-US"/>
              </w:rPr>
            </w:pPr>
            <w:r>
              <w:rPr>
                <w:color w:val="auto"/>
                <w:lang w:val="en-US"/>
              </w:rPr>
              <w:t>Name and title of Sponsor signatory</w:t>
            </w:r>
          </w:p>
          <w:p w:rsidR="003B13F8" w:rsidRDefault="003B13F8" w:rsidP="003B13F8">
            <w:pPr>
              <w:pStyle w:val="Normal1"/>
              <w:widowControl w:val="0"/>
              <w:spacing w:line="240" w:lineRule="auto"/>
              <w:jc w:val="both"/>
              <w:rPr>
                <w:color w:val="auto"/>
                <w:lang w:val="en-US"/>
              </w:rPr>
            </w:pPr>
            <w:r>
              <w:rPr>
                <w:color w:val="auto"/>
                <w:lang w:val="en-US"/>
              </w:rPr>
              <w:t xml:space="preserve">On behalf of </w:t>
            </w:r>
            <w:r w:rsidRPr="006353B9">
              <w:rPr>
                <w:color w:val="auto"/>
                <w:lang w:val="en-US"/>
              </w:rPr>
              <w:t>APRO (Spanish Oncology</w:t>
            </w:r>
          </w:p>
          <w:p w:rsidR="003B13F8" w:rsidRPr="006353B9" w:rsidRDefault="003B13F8" w:rsidP="003B13F8">
            <w:pPr>
              <w:pStyle w:val="Normal1"/>
              <w:widowControl w:val="0"/>
              <w:spacing w:line="240" w:lineRule="auto"/>
              <w:jc w:val="both"/>
              <w:rPr>
                <w:color w:val="auto"/>
                <w:lang w:val="en-US"/>
              </w:rPr>
            </w:pPr>
            <w:r w:rsidRPr="006353B9">
              <w:rPr>
                <w:color w:val="auto"/>
                <w:lang w:val="en-US"/>
              </w:rPr>
              <w:t>Research group)</w:t>
            </w:r>
          </w:p>
          <w:p w:rsidR="003B13F8" w:rsidRPr="006353B9" w:rsidRDefault="003B13F8" w:rsidP="003B13F8">
            <w:pPr>
              <w:pStyle w:val="Normal1"/>
              <w:widowControl w:val="0"/>
              <w:spacing w:line="240" w:lineRule="auto"/>
              <w:jc w:val="both"/>
              <w:rPr>
                <w:color w:val="auto"/>
                <w:lang w:val="en-US"/>
              </w:rPr>
            </w:pPr>
          </w:p>
        </w:tc>
        <w:tc>
          <w:tcPr>
            <w:tcW w:w="4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3F8" w:rsidRPr="006353B9" w:rsidRDefault="003B13F8" w:rsidP="003B13F8">
            <w:pPr>
              <w:pStyle w:val="Normal1"/>
              <w:jc w:val="both"/>
              <w:rPr>
                <w:color w:val="auto"/>
                <w:lang w:val="en-US"/>
              </w:rPr>
            </w:pPr>
            <w:r w:rsidRPr="006353B9">
              <w:rPr>
                <w:color w:val="auto"/>
                <w:lang w:val="en-US"/>
              </w:rPr>
              <w:t>______________________</w:t>
            </w:r>
          </w:p>
          <w:p w:rsidR="003B13F8" w:rsidRPr="006353B9" w:rsidRDefault="003B13F8" w:rsidP="003B13F8">
            <w:pPr>
              <w:pStyle w:val="Normal1"/>
              <w:jc w:val="both"/>
              <w:rPr>
                <w:color w:val="auto"/>
                <w:lang w:val="en-US"/>
              </w:rPr>
            </w:pPr>
            <w:r w:rsidRPr="006353B9">
              <w:rPr>
                <w:color w:val="auto"/>
                <w:lang w:val="en-US"/>
              </w:rPr>
              <w:t>Date</w:t>
            </w:r>
          </w:p>
        </w:tc>
      </w:tr>
    </w:tbl>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Default="003B167F" w:rsidP="003B167F">
      <w:pPr>
        <w:pStyle w:val="Normal1"/>
        <w:jc w:val="both"/>
        <w:rPr>
          <w:color w:val="auto"/>
          <w:lang w:val="en-US"/>
        </w:rPr>
      </w:pPr>
    </w:p>
    <w:p w:rsidR="003B13F8" w:rsidRPr="006353B9" w:rsidRDefault="003B13F8" w:rsidP="003B167F">
      <w:pPr>
        <w:pStyle w:val="Normal1"/>
        <w:jc w:val="both"/>
        <w:rPr>
          <w:color w:val="auto"/>
          <w:lang w:val="en-US"/>
        </w:rPr>
      </w:pPr>
    </w:p>
    <w:p w:rsidR="003B167F" w:rsidRPr="006353B9" w:rsidRDefault="003B167F" w:rsidP="003B167F">
      <w:pPr>
        <w:pStyle w:val="Heading1"/>
      </w:pPr>
      <w:bookmarkStart w:id="1" w:name="_Toc501022014"/>
      <w:r w:rsidRPr="006353B9">
        <w:lastRenderedPageBreak/>
        <w:t>SYNOPSIS</w:t>
      </w:r>
      <w:bookmarkEnd w:id="1"/>
    </w:p>
    <w:p w:rsidR="003B167F" w:rsidRPr="006353B9" w:rsidRDefault="003B167F" w:rsidP="003B167F">
      <w:pPr>
        <w:pStyle w:val="Normal1"/>
        <w:jc w:val="both"/>
        <w:rPr>
          <w:color w:val="auto"/>
          <w:lang w:val="en-US"/>
        </w:rPr>
      </w:pPr>
    </w:p>
    <w:p w:rsidR="003B167F" w:rsidRDefault="003B167F" w:rsidP="003B167F">
      <w:pPr>
        <w:pStyle w:val="Normal1"/>
        <w:jc w:val="both"/>
        <w:rPr>
          <w:b/>
          <w:color w:val="auto"/>
          <w:u w:val="single"/>
          <w:lang w:val="en-US"/>
        </w:rPr>
      </w:pPr>
      <w:r w:rsidRPr="003B13F8">
        <w:rPr>
          <w:b/>
          <w:color w:val="auto"/>
          <w:u w:val="single"/>
          <w:lang w:val="en-US"/>
        </w:rPr>
        <w:t>Title of study</w:t>
      </w:r>
    </w:p>
    <w:p w:rsidR="003B13F8" w:rsidRPr="003B13F8" w:rsidRDefault="003B13F8" w:rsidP="003B167F">
      <w:pPr>
        <w:pStyle w:val="Normal1"/>
        <w:jc w:val="both"/>
        <w:rPr>
          <w:b/>
          <w:color w:val="auto"/>
          <w:u w:val="single"/>
          <w:lang w:val="en-US"/>
        </w:rPr>
      </w:pPr>
    </w:p>
    <w:p w:rsidR="003B167F" w:rsidRDefault="003B167F" w:rsidP="003B13F8">
      <w:pPr>
        <w:jc w:val="both"/>
        <w:rPr>
          <w:b/>
          <w:lang w:val="en-US"/>
        </w:rPr>
      </w:pPr>
      <w:r w:rsidRPr="003B167F">
        <w:rPr>
          <w:b/>
          <w:color w:val="auto"/>
          <w:lang w:val="en-US"/>
        </w:rPr>
        <w:t>A randomized phase II study explored the efficacy and feasibility of upfront rotations</w:t>
      </w:r>
      <w:r>
        <w:rPr>
          <w:b/>
          <w:color w:val="auto"/>
          <w:lang w:val="en-US"/>
        </w:rPr>
        <w:t xml:space="preserve"> </w:t>
      </w:r>
      <w:r w:rsidRPr="003B167F">
        <w:rPr>
          <w:b/>
          <w:color w:val="auto"/>
          <w:lang w:val="en-US"/>
        </w:rPr>
        <w:t xml:space="preserve">between </w:t>
      </w:r>
      <w:proofErr w:type="spellStart"/>
      <w:r w:rsidRPr="003B167F">
        <w:rPr>
          <w:b/>
          <w:color w:val="auto"/>
          <w:lang w:val="en-US"/>
        </w:rPr>
        <w:t>sunitinib</w:t>
      </w:r>
      <w:proofErr w:type="spellEnd"/>
      <w:r w:rsidRPr="003B167F">
        <w:rPr>
          <w:b/>
          <w:color w:val="auto"/>
          <w:lang w:val="en-US"/>
        </w:rPr>
        <w:t xml:space="preserve"> and </w:t>
      </w:r>
      <w:proofErr w:type="spellStart"/>
      <w:r w:rsidRPr="003B167F">
        <w:rPr>
          <w:b/>
          <w:color w:val="auto"/>
          <w:lang w:val="en-US"/>
        </w:rPr>
        <w:t>everolimus</w:t>
      </w:r>
      <w:proofErr w:type="spellEnd"/>
      <w:r w:rsidRPr="003B167F">
        <w:rPr>
          <w:b/>
          <w:color w:val="auto"/>
          <w:lang w:val="en-US"/>
        </w:rPr>
        <w:t xml:space="preserve"> versus sequential treatment of first line </w:t>
      </w:r>
      <w:proofErr w:type="spellStart"/>
      <w:r w:rsidRPr="003B167F">
        <w:rPr>
          <w:b/>
          <w:color w:val="auto"/>
          <w:lang w:val="en-US"/>
        </w:rPr>
        <w:t>sunitinib</w:t>
      </w:r>
      <w:proofErr w:type="spellEnd"/>
      <w:r w:rsidRPr="003B167F">
        <w:rPr>
          <w:b/>
          <w:color w:val="auto"/>
          <w:lang w:val="en-US"/>
        </w:rPr>
        <w:t xml:space="preserve"> and</w:t>
      </w:r>
      <w:r>
        <w:rPr>
          <w:b/>
          <w:color w:val="auto"/>
          <w:lang w:val="en-US"/>
        </w:rPr>
        <w:t xml:space="preserve"> </w:t>
      </w:r>
      <w:r w:rsidRPr="003B167F">
        <w:rPr>
          <w:b/>
          <w:color w:val="auto"/>
          <w:lang w:val="en-US"/>
        </w:rPr>
        <w:t xml:space="preserve">second line </w:t>
      </w:r>
      <w:proofErr w:type="spellStart"/>
      <w:r w:rsidRPr="003B167F">
        <w:rPr>
          <w:b/>
          <w:color w:val="auto"/>
          <w:lang w:val="en-US"/>
        </w:rPr>
        <w:t>everolimus</w:t>
      </w:r>
      <w:proofErr w:type="spellEnd"/>
      <w:r w:rsidRPr="003B167F">
        <w:rPr>
          <w:b/>
          <w:color w:val="auto"/>
          <w:lang w:val="en-US"/>
        </w:rPr>
        <w:t xml:space="preserve"> until progression in patients with metastatic clear cell renal cancer</w:t>
      </w:r>
      <w:r w:rsidR="003B13F8">
        <w:rPr>
          <w:b/>
          <w:color w:val="auto"/>
          <w:lang w:val="en-US"/>
        </w:rPr>
        <w:t xml:space="preserve"> </w:t>
      </w:r>
      <w:r w:rsidR="003B13F8" w:rsidRPr="00CD404E">
        <w:rPr>
          <w:b/>
          <w:lang w:val="en-US"/>
        </w:rPr>
        <w:t>(The SUNRISES study: CRAD001LIC34T)</w:t>
      </w:r>
    </w:p>
    <w:p w:rsidR="003B13F8" w:rsidRPr="003B13F8" w:rsidRDefault="003B13F8" w:rsidP="003B13F8">
      <w:pPr>
        <w:jc w:val="both"/>
        <w:rPr>
          <w:b/>
          <w:lang w:val="en-US"/>
        </w:rPr>
      </w:pPr>
    </w:p>
    <w:p w:rsidR="003B167F" w:rsidRPr="006353B9" w:rsidRDefault="003B167F" w:rsidP="003B167F">
      <w:pPr>
        <w:pStyle w:val="Tabletext"/>
        <w:jc w:val="both"/>
        <w:rPr>
          <w:rFonts w:ascii="Arial" w:hAnsi="Arial" w:cs="Arial"/>
          <w:b/>
          <w:sz w:val="22"/>
          <w:szCs w:val="22"/>
        </w:rPr>
      </w:pPr>
      <w:r>
        <w:rPr>
          <w:rFonts w:ascii="Arial" w:hAnsi="Arial" w:cs="Arial"/>
          <w:b/>
          <w:sz w:val="22"/>
          <w:szCs w:val="22"/>
        </w:rPr>
        <w:br/>
      </w:r>
      <w:r w:rsidRPr="006353B9">
        <w:rPr>
          <w:rFonts w:ascii="Arial" w:hAnsi="Arial" w:cs="Arial"/>
          <w:b/>
          <w:sz w:val="22"/>
          <w:szCs w:val="22"/>
        </w:rPr>
        <w:t>INVESTIGATOR(S) AND STUDY CENTRE(S):</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3324"/>
        <w:gridCol w:w="3323"/>
      </w:tblGrid>
      <w:tr w:rsidR="003B167F" w:rsidRPr="006353B9" w:rsidTr="009A2182">
        <w:trPr>
          <w:trHeight w:val="152"/>
          <w:jc w:val="center"/>
        </w:trPr>
        <w:tc>
          <w:tcPr>
            <w:tcW w:w="1139" w:type="pct"/>
            <w:shd w:val="clear" w:color="auto" w:fill="CCCCCC"/>
          </w:tcPr>
          <w:p w:rsidR="003B167F" w:rsidRPr="006353B9" w:rsidRDefault="003B167F" w:rsidP="009A2182">
            <w:pPr>
              <w:jc w:val="both"/>
              <w:rPr>
                <w:b/>
                <w:color w:val="auto"/>
                <w:lang w:val="en-GB"/>
              </w:rPr>
            </w:pPr>
            <w:r w:rsidRPr="006353B9">
              <w:rPr>
                <w:b/>
                <w:color w:val="auto"/>
                <w:lang w:val="en-GB"/>
              </w:rPr>
              <w:t>Countries</w:t>
            </w:r>
          </w:p>
        </w:tc>
        <w:tc>
          <w:tcPr>
            <w:tcW w:w="1931" w:type="pct"/>
            <w:shd w:val="clear" w:color="auto" w:fill="CCCCCC"/>
            <w:vAlign w:val="center"/>
          </w:tcPr>
          <w:p w:rsidR="003B167F" w:rsidRPr="006353B9" w:rsidRDefault="003B167F" w:rsidP="009A2182">
            <w:pPr>
              <w:jc w:val="both"/>
              <w:rPr>
                <w:b/>
                <w:color w:val="auto"/>
                <w:lang w:val="en-GB"/>
              </w:rPr>
            </w:pPr>
            <w:r w:rsidRPr="006353B9">
              <w:rPr>
                <w:b/>
                <w:color w:val="auto"/>
                <w:lang w:val="en-GB"/>
              </w:rPr>
              <w:t>Centres</w:t>
            </w:r>
          </w:p>
        </w:tc>
        <w:tc>
          <w:tcPr>
            <w:tcW w:w="1930" w:type="pct"/>
            <w:shd w:val="clear" w:color="auto" w:fill="CCCCCC"/>
          </w:tcPr>
          <w:p w:rsidR="003B167F" w:rsidRPr="006353B9" w:rsidRDefault="003B167F" w:rsidP="009A2182">
            <w:pPr>
              <w:jc w:val="both"/>
              <w:rPr>
                <w:b/>
                <w:color w:val="auto"/>
                <w:lang w:val="en-GB"/>
              </w:rPr>
            </w:pPr>
            <w:r w:rsidRPr="006353B9">
              <w:rPr>
                <w:b/>
                <w:color w:val="auto"/>
                <w:lang w:val="en-GB"/>
              </w:rPr>
              <w:t>Investigators</w:t>
            </w:r>
          </w:p>
        </w:tc>
      </w:tr>
      <w:tr w:rsidR="003B167F" w:rsidRPr="006353B9" w:rsidTr="009A2182">
        <w:trPr>
          <w:trHeight w:val="152"/>
          <w:jc w:val="center"/>
        </w:trPr>
        <w:tc>
          <w:tcPr>
            <w:tcW w:w="1139" w:type="pct"/>
            <w:vMerge w:val="restart"/>
          </w:tcPr>
          <w:p w:rsidR="003B167F" w:rsidRPr="006353B9" w:rsidRDefault="003B167F" w:rsidP="009A2182">
            <w:pPr>
              <w:jc w:val="both"/>
              <w:rPr>
                <w:color w:val="auto"/>
                <w:lang w:val="en-GB"/>
              </w:rPr>
            </w:pPr>
          </w:p>
          <w:p w:rsidR="003B167F" w:rsidRPr="006353B9" w:rsidRDefault="003B167F" w:rsidP="009A2182">
            <w:pPr>
              <w:jc w:val="both"/>
              <w:rPr>
                <w:color w:val="auto"/>
                <w:lang w:val="en-US"/>
              </w:rPr>
            </w:pPr>
            <w:r w:rsidRPr="006353B9">
              <w:rPr>
                <w:color w:val="auto"/>
                <w:lang w:val="en-US"/>
              </w:rPr>
              <w:t>Spain</w:t>
            </w:r>
          </w:p>
        </w:tc>
        <w:tc>
          <w:tcPr>
            <w:tcW w:w="1931" w:type="pct"/>
            <w:vAlign w:val="center"/>
          </w:tcPr>
          <w:p w:rsidR="003B167F" w:rsidRPr="006353B9" w:rsidRDefault="003B167F" w:rsidP="009A2182">
            <w:pPr>
              <w:jc w:val="both"/>
              <w:rPr>
                <w:color w:val="auto"/>
              </w:rPr>
            </w:pPr>
            <w:r w:rsidRPr="006353B9">
              <w:rPr>
                <w:rFonts w:eastAsia="Times New Roman"/>
                <w:color w:val="auto"/>
                <w:shd w:val="clear" w:color="auto" w:fill="FFFFFF"/>
                <w:lang w:val="en-US"/>
              </w:rPr>
              <w:t>Hospital del Mar</w:t>
            </w:r>
          </w:p>
        </w:tc>
        <w:tc>
          <w:tcPr>
            <w:tcW w:w="1930" w:type="pct"/>
          </w:tcPr>
          <w:p w:rsidR="003B167F" w:rsidRPr="006353B9" w:rsidRDefault="003B167F" w:rsidP="009A2182">
            <w:pPr>
              <w:spacing w:line="240" w:lineRule="auto"/>
              <w:jc w:val="both"/>
              <w:rPr>
                <w:rFonts w:eastAsia="Times New Roman"/>
                <w:color w:val="auto"/>
                <w:shd w:val="clear" w:color="auto" w:fill="FFFFFF"/>
                <w:lang w:val="en-US"/>
              </w:rPr>
            </w:pPr>
            <w:r w:rsidRPr="006353B9">
              <w:rPr>
                <w:rFonts w:eastAsia="Times New Roman"/>
                <w:color w:val="auto"/>
                <w:shd w:val="clear" w:color="auto" w:fill="FFFFFF"/>
                <w:lang w:val="en-US"/>
              </w:rPr>
              <w:t>Dr. Joaquim Bellmunt</w:t>
            </w:r>
          </w:p>
          <w:p w:rsidR="003B167F" w:rsidRPr="006353B9" w:rsidRDefault="003B167F" w:rsidP="009A2182">
            <w:pPr>
              <w:jc w:val="both"/>
              <w:rPr>
                <w:color w:val="auto"/>
                <w:lang w:val="en-US"/>
              </w:rPr>
            </w:pP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color w:val="auto"/>
                <w:lang w:val="es-ES"/>
              </w:rPr>
            </w:pPr>
            <w:r w:rsidRPr="006353B9">
              <w:rPr>
                <w:rFonts w:eastAsia="Times New Roman"/>
                <w:color w:val="auto"/>
                <w:shd w:val="clear" w:color="auto" w:fill="FFFFFF"/>
                <w:lang w:val="es-ES"/>
              </w:rPr>
              <w:t>ICO Clara Campal. Hospital Sanchinarro</w:t>
            </w:r>
          </w:p>
        </w:tc>
        <w:tc>
          <w:tcPr>
            <w:tcW w:w="1930" w:type="pct"/>
          </w:tcPr>
          <w:p w:rsidR="003B167F" w:rsidRPr="006353B9" w:rsidRDefault="003B167F" w:rsidP="009A2182">
            <w:pPr>
              <w:spacing w:line="240" w:lineRule="auto"/>
              <w:jc w:val="both"/>
              <w:rPr>
                <w:rFonts w:eastAsia="Times New Roman"/>
                <w:color w:val="auto"/>
                <w:shd w:val="clear" w:color="auto" w:fill="FFFFFF"/>
                <w:lang w:val="en-US"/>
              </w:rPr>
            </w:pPr>
            <w:r w:rsidRPr="006353B9">
              <w:rPr>
                <w:color w:val="auto"/>
                <w:lang w:val="en-US"/>
              </w:rPr>
              <w:t xml:space="preserve">Dr </w:t>
            </w:r>
            <w:r w:rsidRPr="006353B9">
              <w:rPr>
                <w:rFonts w:eastAsia="Times New Roman"/>
                <w:color w:val="auto"/>
                <w:shd w:val="clear" w:color="auto" w:fill="FFFFFF"/>
                <w:lang w:val="en-US"/>
              </w:rPr>
              <w:t>Emiliano Calvo</w:t>
            </w:r>
          </w:p>
          <w:p w:rsidR="003B167F" w:rsidRPr="006353B9" w:rsidRDefault="003B167F" w:rsidP="009A2182">
            <w:pPr>
              <w:jc w:val="both"/>
              <w:rPr>
                <w:color w:val="auto"/>
                <w:lang w:val="en-US"/>
              </w:rPr>
            </w:pP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color w:val="auto"/>
                <w:lang w:val="pt-BR"/>
              </w:rPr>
            </w:pPr>
            <w:r w:rsidRPr="006353B9">
              <w:rPr>
                <w:rFonts w:eastAsia="Times New Roman"/>
                <w:color w:val="auto"/>
                <w:lang w:val="en-US"/>
              </w:rPr>
              <w:t>Hospital Central de Asturias</w:t>
            </w:r>
          </w:p>
        </w:tc>
        <w:tc>
          <w:tcPr>
            <w:tcW w:w="1930" w:type="pct"/>
          </w:tcPr>
          <w:p w:rsidR="003B167F" w:rsidRPr="006353B9" w:rsidRDefault="003B167F" w:rsidP="009A2182">
            <w:pPr>
              <w:jc w:val="both"/>
              <w:rPr>
                <w:rFonts w:eastAsia="Times New Roman"/>
                <w:color w:val="auto"/>
                <w:lang w:val="en-US"/>
              </w:rPr>
            </w:pPr>
            <w:r w:rsidRPr="006353B9">
              <w:rPr>
                <w:color w:val="auto"/>
                <w:lang w:val="en-US"/>
              </w:rPr>
              <w:t xml:space="preserve">Dr. </w:t>
            </w:r>
            <w:r w:rsidRPr="006353B9">
              <w:rPr>
                <w:rFonts w:eastAsia="Times New Roman"/>
                <w:color w:val="auto"/>
                <w:lang w:val="en-US"/>
              </w:rPr>
              <w:t>Emilio Esteban</w:t>
            </w: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color w:val="auto"/>
                <w:lang w:val="en-US"/>
              </w:rPr>
            </w:pPr>
            <w:r w:rsidRPr="006353B9">
              <w:rPr>
                <w:rFonts w:eastAsia="Times New Roman"/>
                <w:color w:val="auto"/>
                <w:lang w:val="en-US"/>
              </w:rPr>
              <w:t xml:space="preserve">Hospital 12 de </w:t>
            </w:r>
            <w:r w:rsidR="004245DD">
              <w:rPr>
                <w:rFonts w:eastAsia="Times New Roman"/>
                <w:color w:val="auto"/>
                <w:lang w:val="en-US"/>
              </w:rPr>
              <w:t>O</w:t>
            </w:r>
            <w:r w:rsidRPr="006353B9">
              <w:rPr>
                <w:rFonts w:eastAsia="Times New Roman"/>
                <w:color w:val="auto"/>
                <w:lang w:val="en-US"/>
              </w:rPr>
              <w:t>ctubre</w:t>
            </w:r>
          </w:p>
        </w:tc>
        <w:tc>
          <w:tcPr>
            <w:tcW w:w="1930" w:type="pct"/>
          </w:tcPr>
          <w:p w:rsidR="003B167F" w:rsidRPr="006353B9" w:rsidRDefault="003B167F" w:rsidP="009A2182">
            <w:pPr>
              <w:spacing w:line="240" w:lineRule="auto"/>
              <w:jc w:val="both"/>
              <w:rPr>
                <w:rFonts w:eastAsia="Times New Roman"/>
                <w:color w:val="auto"/>
                <w:lang w:val="en-US"/>
              </w:rPr>
            </w:pPr>
            <w:r w:rsidRPr="006353B9">
              <w:rPr>
                <w:color w:val="auto"/>
                <w:lang w:val="en-US"/>
              </w:rPr>
              <w:t xml:space="preserve">Dr. </w:t>
            </w:r>
            <w:r w:rsidRPr="006353B9">
              <w:rPr>
                <w:rFonts w:eastAsia="Times New Roman"/>
                <w:color w:val="auto"/>
                <w:lang w:val="en-US"/>
              </w:rPr>
              <w:t>Daniel Castellano</w:t>
            </w:r>
          </w:p>
        </w:tc>
      </w:tr>
      <w:tr w:rsidR="003B167F" w:rsidRPr="00AC180A"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color w:val="auto"/>
                <w:lang w:val="en-US"/>
              </w:rPr>
            </w:pPr>
            <w:r w:rsidRPr="006353B9">
              <w:rPr>
                <w:rFonts w:eastAsia="Times New Roman"/>
                <w:color w:val="auto"/>
                <w:lang w:val="en-US"/>
              </w:rPr>
              <w:t xml:space="preserve">Hospital </w:t>
            </w:r>
            <w:proofErr w:type="spellStart"/>
            <w:r w:rsidRPr="006353B9">
              <w:rPr>
                <w:rFonts w:eastAsia="Times New Roman"/>
                <w:color w:val="auto"/>
                <w:lang w:val="en-US"/>
              </w:rPr>
              <w:t>Cl</w:t>
            </w:r>
            <w:r w:rsidR="004245DD">
              <w:rPr>
                <w:rFonts w:eastAsia="Times New Roman"/>
                <w:color w:val="auto"/>
                <w:lang w:val="en-US"/>
              </w:rPr>
              <w:t>í</w:t>
            </w:r>
            <w:r w:rsidRPr="006353B9">
              <w:rPr>
                <w:rFonts w:eastAsia="Times New Roman"/>
                <w:color w:val="auto"/>
                <w:lang w:val="en-US"/>
              </w:rPr>
              <w:t>nico</w:t>
            </w:r>
            <w:proofErr w:type="spellEnd"/>
            <w:r w:rsidRPr="006353B9">
              <w:rPr>
                <w:rFonts w:eastAsia="Times New Roman"/>
                <w:color w:val="auto"/>
                <w:lang w:val="en-US"/>
              </w:rPr>
              <w:t xml:space="preserve"> San Carlos</w:t>
            </w:r>
          </w:p>
        </w:tc>
        <w:tc>
          <w:tcPr>
            <w:tcW w:w="1930" w:type="pct"/>
          </w:tcPr>
          <w:p w:rsidR="003B167F" w:rsidRPr="006353B9" w:rsidRDefault="003B167F" w:rsidP="009A2182">
            <w:pPr>
              <w:spacing w:line="240" w:lineRule="auto"/>
              <w:jc w:val="both"/>
              <w:rPr>
                <w:rFonts w:eastAsia="Times New Roman"/>
                <w:color w:val="auto"/>
                <w:lang w:val="es-ES"/>
              </w:rPr>
            </w:pPr>
            <w:r w:rsidRPr="006353B9">
              <w:rPr>
                <w:color w:val="auto"/>
                <w:lang w:val="es-ES"/>
              </w:rPr>
              <w:t xml:space="preserve">Dr. </w:t>
            </w:r>
            <w:r w:rsidRPr="006353B9">
              <w:rPr>
                <w:rFonts w:eastAsia="Times New Roman"/>
                <w:color w:val="auto"/>
                <w:lang w:val="es-ES"/>
              </w:rPr>
              <w:t>José Luis González Larriba</w:t>
            </w:r>
          </w:p>
        </w:tc>
      </w:tr>
      <w:tr w:rsidR="003B167F" w:rsidRPr="006353B9" w:rsidTr="009A2182">
        <w:trPr>
          <w:trHeight w:val="152"/>
          <w:jc w:val="center"/>
        </w:trPr>
        <w:tc>
          <w:tcPr>
            <w:tcW w:w="1139" w:type="pct"/>
            <w:vMerge/>
          </w:tcPr>
          <w:p w:rsidR="003B167F" w:rsidRPr="006353B9" w:rsidRDefault="003B167F" w:rsidP="009A2182">
            <w:pPr>
              <w:jc w:val="both"/>
              <w:rPr>
                <w:color w:val="auto"/>
                <w:lang w:val="es-ES"/>
              </w:rPr>
            </w:pPr>
          </w:p>
        </w:tc>
        <w:tc>
          <w:tcPr>
            <w:tcW w:w="1931" w:type="pct"/>
            <w:vAlign w:val="center"/>
          </w:tcPr>
          <w:p w:rsidR="003B167F" w:rsidRPr="006353B9" w:rsidRDefault="003B167F" w:rsidP="009A2182">
            <w:pPr>
              <w:jc w:val="both"/>
              <w:rPr>
                <w:color w:val="auto"/>
              </w:rPr>
            </w:pPr>
            <w:r w:rsidRPr="006353B9">
              <w:rPr>
                <w:rFonts w:eastAsia="Times New Roman"/>
                <w:color w:val="auto"/>
                <w:lang w:val="en-US"/>
              </w:rPr>
              <w:t xml:space="preserve">Hospital Marques de </w:t>
            </w:r>
            <w:proofErr w:type="spellStart"/>
            <w:r w:rsidRPr="006353B9">
              <w:rPr>
                <w:rFonts w:eastAsia="Times New Roman"/>
                <w:color w:val="auto"/>
                <w:lang w:val="en-US"/>
              </w:rPr>
              <w:t>Valdecilla</w:t>
            </w:r>
            <w:proofErr w:type="spellEnd"/>
          </w:p>
        </w:tc>
        <w:tc>
          <w:tcPr>
            <w:tcW w:w="1930" w:type="pct"/>
          </w:tcPr>
          <w:p w:rsidR="003B167F" w:rsidRPr="006353B9" w:rsidRDefault="003B167F" w:rsidP="009A2182">
            <w:pPr>
              <w:spacing w:line="240" w:lineRule="auto"/>
              <w:jc w:val="both"/>
              <w:rPr>
                <w:rFonts w:eastAsia="Times New Roman"/>
                <w:color w:val="auto"/>
                <w:lang w:val="en-US"/>
              </w:rPr>
            </w:pPr>
            <w:r w:rsidRPr="006353B9">
              <w:rPr>
                <w:color w:val="auto"/>
              </w:rPr>
              <w:t xml:space="preserve">Dr. </w:t>
            </w:r>
            <w:r w:rsidRPr="006353B9">
              <w:rPr>
                <w:rFonts w:eastAsia="Times New Roman"/>
                <w:color w:val="auto"/>
                <w:lang w:val="en-US"/>
              </w:rPr>
              <w:t>Marta López Brea</w:t>
            </w:r>
          </w:p>
        </w:tc>
      </w:tr>
      <w:tr w:rsidR="003B167F" w:rsidRPr="006353B9" w:rsidTr="009A2182">
        <w:trPr>
          <w:trHeight w:val="152"/>
          <w:jc w:val="center"/>
        </w:trPr>
        <w:tc>
          <w:tcPr>
            <w:tcW w:w="1139" w:type="pct"/>
            <w:vMerge/>
          </w:tcPr>
          <w:p w:rsidR="003B167F" w:rsidRPr="006353B9" w:rsidRDefault="003B167F" w:rsidP="009A2182">
            <w:pPr>
              <w:jc w:val="both"/>
              <w:rPr>
                <w:color w:val="auto"/>
              </w:rPr>
            </w:pPr>
          </w:p>
        </w:tc>
        <w:tc>
          <w:tcPr>
            <w:tcW w:w="1931" w:type="pct"/>
            <w:vAlign w:val="center"/>
          </w:tcPr>
          <w:p w:rsidR="003B167F" w:rsidRPr="006353B9" w:rsidRDefault="003B167F" w:rsidP="009A2182">
            <w:pPr>
              <w:jc w:val="both"/>
              <w:rPr>
                <w:rFonts w:eastAsia="Times New Roman"/>
                <w:color w:val="auto"/>
                <w:lang w:val="en-US"/>
              </w:rPr>
            </w:pPr>
            <w:r w:rsidRPr="006353B9">
              <w:rPr>
                <w:rFonts w:eastAsia="Times New Roman"/>
                <w:color w:val="auto"/>
                <w:lang w:val="en-US"/>
              </w:rPr>
              <w:t xml:space="preserve">Hospital Ramón y Cajal </w:t>
            </w:r>
          </w:p>
        </w:tc>
        <w:tc>
          <w:tcPr>
            <w:tcW w:w="1930" w:type="pct"/>
          </w:tcPr>
          <w:p w:rsidR="003B167F" w:rsidRPr="006353B9" w:rsidRDefault="003B167F" w:rsidP="009A2182">
            <w:pPr>
              <w:pStyle w:val="Normal1"/>
              <w:jc w:val="both"/>
              <w:rPr>
                <w:rFonts w:eastAsia="Times New Roman"/>
                <w:color w:val="auto"/>
                <w:lang w:val="en-US"/>
              </w:rPr>
            </w:pPr>
            <w:r w:rsidRPr="006353B9">
              <w:rPr>
                <w:rFonts w:eastAsia="Times New Roman"/>
                <w:color w:val="auto"/>
                <w:lang w:val="en-US"/>
              </w:rPr>
              <w:t>Dr. Enrique Grande</w:t>
            </w: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s-ES"/>
              </w:rPr>
            </w:pPr>
            <w:r w:rsidRPr="006353B9">
              <w:rPr>
                <w:rFonts w:eastAsia="Times New Roman"/>
                <w:color w:val="auto"/>
                <w:lang w:val="es-ES"/>
              </w:rPr>
              <w:t>Hospital Virgen de la Victoria</w:t>
            </w:r>
          </w:p>
        </w:tc>
        <w:tc>
          <w:tcPr>
            <w:tcW w:w="1930" w:type="pct"/>
          </w:tcPr>
          <w:p w:rsidR="003B167F" w:rsidRPr="006353B9" w:rsidRDefault="003B167F" w:rsidP="009A2182">
            <w:pPr>
              <w:spacing w:line="240" w:lineRule="auto"/>
              <w:jc w:val="both"/>
              <w:rPr>
                <w:color w:val="auto"/>
                <w:lang w:val="en-US"/>
              </w:rPr>
            </w:pPr>
            <w:r w:rsidRPr="006353B9">
              <w:rPr>
                <w:color w:val="auto"/>
                <w:lang w:val="en-US"/>
              </w:rPr>
              <w:t xml:space="preserve">Dr. </w:t>
            </w:r>
            <w:r w:rsidRPr="006353B9">
              <w:rPr>
                <w:rFonts w:eastAsia="Times New Roman"/>
                <w:color w:val="auto"/>
                <w:lang w:val="en-US"/>
              </w:rPr>
              <w:t>Isabel S</w:t>
            </w:r>
            <w:r w:rsidR="004245DD">
              <w:rPr>
                <w:rFonts w:eastAsia="Times New Roman"/>
                <w:color w:val="auto"/>
                <w:lang w:val="en-US"/>
              </w:rPr>
              <w:t>á</w:t>
            </w:r>
            <w:r w:rsidRPr="006353B9">
              <w:rPr>
                <w:rFonts w:eastAsia="Times New Roman"/>
                <w:color w:val="auto"/>
                <w:lang w:val="en-US"/>
              </w:rPr>
              <w:t>ez</w:t>
            </w: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n-US"/>
              </w:rPr>
            </w:pPr>
            <w:r w:rsidRPr="006353B9">
              <w:rPr>
                <w:rFonts w:eastAsia="Times New Roman"/>
                <w:color w:val="auto"/>
                <w:lang w:val="en-US"/>
              </w:rPr>
              <w:t xml:space="preserve">Hospital Gregorio </w:t>
            </w:r>
            <w:proofErr w:type="spellStart"/>
            <w:r w:rsidRPr="006353B9">
              <w:rPr>
                <w:rFonts w:eastAsia="Times New Roman"/>
                <w:color w:val="auto"/>
                <w:lang w:val="en-US"/>
              </w:rPr>
              <w:t>Marañón</w:t>
            </w:r>
            <w:proofErr w:type="spellEnd"/>
          </w:p>
        </w:tc>
        <w:tc>
          <w:tcPr>
            <w:tcW w:w="1930" w:type="pct"/>
          </w:tcPr>
          <w:p w:rsidR="003B167F" w:rsidRPr="006353B9" w:rsidRDefault="003B167F" w:rsidP="009A2182">
            <w:pPr>
              <w:spacing w:line="240" w:lineRule="auto"/>
              <w:jc w:val="both"/>
              <w:rPr>
                <w:color w:val="auto"/>
                <w:lang w:val="en-US"/>
              </w:rPr>
            </w:pPr>
            <w:r w:rsidRPr="006353B9">
              <w:rPr>
                <w:color w:val="auto"/>
                <w:lang w:val="en-US"/>
              </w:rPr>
              <w:t xml:space="preserve">Dr. </w:t>
            </w:r>
            <w:r w:rsidRPr="006353B9">
              <w:rPr>
                <w:rFonts w:eastAsia="Times New Roman"/>
                <w:color w:val="auto"/>
                <w:lang w:val="en-US"/>
              </w:rPr>
              <w:t xml:space="preserve">Jose Angel </w:t>
            </w:r>
            <w:proofErr w:type="spellStart"/>
            <w:r w:rsidRPr="006353B9">
              <w:rPr>
                <w:rFonts w:eastAsia="Times New Roman"/>
                <w:color w:val="auto"/>
                <w:lang w:val="en-US"/>
              </w:rPr>
              <w:t>Arranz</w:t>
            </w:r>
            <w:proofErr w:type="spellEnd"/>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color w:val="auto"/>
                <w:lang w:val="es-ES"/>
              </w:rPr>
            </w:pPr>
            <w:r w:rsidRPr="006353B9">
              <w:rPr>
                <w:rFonts w:eastAsia="Times New Roman"/>
                <w:color w:val="auto"/>
                <w:lang w:val="es-ES"/>
              </w:rPr>
              <w:t xml:space="preserve">Hospital </w:t>
            </w:r>
            <w:proofErr w:type="spellStart"/>
            <w:r w:rsidRPr="006353B9">
              <w:rPr>
                <w:rFonts w:eastAsia="Times New Roman"/>
                <w:color w:val="auto"/>
                <w:lang w:val="es-ES"/>
              </w:rPr>
              <w:t>Clinico</w:t>
            </w:r>
            <w:proofErr w:type="spellEnd"/>
            <w:r w:rsidRPr="006353B9">
              <w:rPr>
                <w:rFonts w:eastAsia="Times New Roman"/>
                <w:color w:val="auto"/>
                <w:lang w:val="es-ES"/>
              </w:rPr>
              <w:t xml:space="preserve"> Universitario de Santiago</w:t>
            </w:r>
          </w:p>
        </w:tc>
        <w:tc>
          <w:tcPr>
            <w:tcW w:w="1930" w:type="pct"/>
          </w:tcPr>
          <w:p w:rsidR="003B167F" w:rsidRPr="006353B9" w:rsidRDefault="003B167F" w:rsidP="009A2182">
            <w:pPr>
              <w:spacing w:line="240" w:lineRule="auto"/>
              <w:jc w:val="both"/>
              <w:rPr>
                <w:rFonts w:eastAsia="Times New Roman"/>
                <w:color w:val="auto"/>
                <w:lang w:val="en-US"/>
              </w:rPr>
            </w:pPr>
            <w:r w:rsidRPr="006353B9">
              <w:rPr>
                <w:color w:val="auto"/>
                <w:lang w:val="en-US"/>
              </w:rPr>
              <w:t xml:space="preserve">Dr. </w:t>
            </w:r>
            <w:proofErr w:type="spellStart"/>
            <w:r w:rsidRPr="006353B9">
              <w:rPr>
                <w:rFonts w:eastAsia="Times New Roman"/>
                <w:color w:val="auto"/>
                <w:lang w:val="en-US"/>
              </w:rPr>
              <w:t>Urbano</w:t>
            </w:r>
            <w:proofErr w:type="spellEnd"/>
            <w:r w:rsidRPr="006353B9">
              <w:rPr>
                <w:rFonts w:eastAsia="Times New Roman"/>
                <w:color w:val="auto"/>
                <w:lang w:val="en-US"/>
              </w:rPr>
              <w:t xml:space="preserve"> </w:t>
            </w:r>
            <w:proofErr w:type="spellStart"/>
            <w:r w:rsidRPr="006353B9">
              <w:rPr>
                <w:rFonts w:eastAsia="Times New Roman"/>
                <w:color w:val="auto"/>
                <w:lang w:val="en-US"/>
              </w:rPr>
              <w:t>Anido</w:t>
            </w:r>
            <w:proofErr w:type="spellEnd"/>
          </w:p>
          <w:p w:rsidR="003B167F" w:rsidRPr="006353B9" w:rsidRDefault="003B167F" w:rsidP="009A2182">
            <w:pPr>
              <w:spacing w:line="240" w:lineRule="auto"/>
              <w:jc w:val="both"/>
              <w:rPr>
                <w:rFonts w:eastAsia="Times New Roman"/>
                <w:color w:val="auto"/>
                <w:lang w:val="en-US"/>
              </w:rPr>
            </w:pPr>
          </w:p>
        </w:tc>
      </w:tr>
      <w:tr w:rsidR="003B167F" w:rsidRPr="006353B9" w:rsidTr="009A2182">
        <w:trPr>
          <w:trHeight w:val="152"/>
          <w:jc w:val="center"/>
        </w:trPr>
        <w:tc>
          <w:tcPr>
            <w:tcW w:w="1139" w:type="pct"/>
            <w:vMerge/>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s-ES"/>
              </w:rPr>
            </w:pPr>
            <w:r w:rsidRPr="006353B9">
              <w:rPr>
                <w:rFonts w:eastAsia="Times New Roman"/>
                <w:color w:val="auto"/>
                <w:lang w:val="es-ES"/>
              </w:rPr>
              <w:t>Hospital General Universitario de Valencia</w:t>
            </w:r>
          </w:p>
        </w:tc>
        <w:tc>
          <w:tcPr>
            <w:tcW w:w="1930" w:type="pct"/>
          </w:tcPr>
          <w:p w:rsidR="003B167F" w:rsidRPr="006353B9" w:rsidRDefault="003B167F" w:rsidP="009A2182">
            <w:pPr>
              <w:spacing w:line="240" w:lineRule="auto"/>
              <w:jc w:val="both"/>
              <w:rPr>
                <w:rFonts w:eastAsia="Times New Roman"/>
                <w:color w:val="auto"/>
                <w:lang w:val="en-US"/>
              </w:rPr>
            </w:pPr>
            <w:r w:rsidRPr="006353B9">
              <w:rPr>
                <w:rFonts w:eastAsia="Times New Roman"/>
                <w:color w:val="auto"/>
                <w:lang w:val="en-US"/>
              </w:rPr>
              <w:t>Dr. Cristina Caballero</w:t>
            </w:r>
          </w:p>
          <w:p w:rsidR="003B167F" w:rsidRPr="006353B9" w:rsidRDefault="003B167F" w:rsidP="009A2182">
            <w:pPr>
              <w:jc w:val="both"/>
              <w:rPr>
                <w:rFonts w:eastAsia="Times New Roman"/>
                <w:color w:val="auto"/>
                <w:lang w:val="en-US"/>
              </w:rPr>
            </w:pPr>
          </w:p>
        </w:tc>
      </w:tr>
      <w:tr w:rsidR="003B167F" w:rsidRPr="006353B9" w:rsidTr="009A2182">
        <w:trPr>
          <w:trHeight w:val="152"/>
          <w:jc w:val="center"/>
        </w:trPr>
        <w:tc>
          <w:tcPr>
            <w:tcW w:w="1139" w:type="pct"/>
            <w:tcBorders>
              <w:bottom w:val="single" w:sz="4" w:space="0" w:color="auto"/>
            </w:tcBorders>
          </w:tcPr>
          <w:p w:rsidR="003B167F" w:rsidRPr="006353B9" w:rsidRDefault="003B167F" w:rsidP="009A2182">
            <w:pPr>
              <w:jc w:val="both"/>
              <w:rPr>
                <w:color w:val="auto"/>
                <w:lang w:val="en-US"/>
              </w:rPr>
            </w:pPr>
            <w:r w:rsidRPr="006353B9">
              <w:rPr>
                <w:color w:val="auto"/>
                <w:lang w:val="en-US"/>
              </w:rPr>
              <w:t>Italy</w:t>
            </w:r>
          </w:p>
        </w:tc>
        <w:tc>
          <w:tcPr>
            <w:tcW w:w="1931" w:type="pct"/>
            <w:vAlign w:val="center"/>
          </w:tcPr>
          <w:p w:rsidR="003B167F" w:rsidRPr="006353B9" w:rsidRDefault="003B167F" w:rsidP="009A2182">
            <w:pPr>
              <w:jc w:val="both"/>
              <w:rPr>
                <w:rFonts w:eastAsia="Times New Roman"/>
                <w:color w:val="auto"/>
                <w:lang w:val="en-US"/>
              </w:rPr>
            </w:pPr>
            <w:proofErr w:type="spellStart"/>
            <w:r w:rsidRPr="006353B9">
              <w:rPr>
                <w:rFonts w:eastAsia="Times New Roman"/>
                <w:color w:val="auto"/>
                <w:lang w:val="en-US"/>
              </w:rPr>
              <w:t>Ospedale</w:t>
            </w:r>
            <w:proofErr w:type="spellEnd"/>
            <w:r w:rsidRPr="006353B9">
              <w:rPr>
                <w:rFonts w:eastAsia="Times New Roman"/>
                <w:color w:val="auto"/>
                <w:lang w:val="en-US"/>
              </w:rPr>
              <w:t xml:space="preserve"> “San Donato”</w:t>
            </w:r>
          </w:p>
        </w:tc>
        <w:tc>
          <w:tcPr>
            <w:tcW w:w="1930" w:type="pct"/>
          </w:tcPr>
          <w:p w:rsidR="003B167F" w:rsidRPr="006353B9" w:rsidRDefault="003B167F" w:rsidP="009A2182">
            <w:pPr>
              <w:spacing w:line="240" w:lineRule="auto"/>
              <w:jc w:val="both"/>
              <w:rPr>
                <w:rFonts w:eastAsia="Times New Roman"/>
                <w:color w:val="auto"/>
                <w:lang w:val="en-US"/>
              </w:rPr>
            </w:pPr>
            <w:r w:rsidRPr="006353B9">
              <w:rPr>
                <w:rFonts w:eastAsia="Times New Roman"/>
                <w:color w:val="auto"/>
                <w:lang w:val="en-US"/>
              </w:rPr>
              <w:t xml:space="preserve">Dr. Sergio </w:t>
            </w:r>
            <w:proofErr w:type="spellStart"/>
            <w:r w:rsidRPr="006353B9">
              <w:rPr>
                <w:rFonts w:eastAsia="Times New Roman"/>
                <w:color w:val="auto"/>
                <w:lang w:val="en-US"/>
              </w:rPr>
              <w:t>Bracarda</w:t>
            </w:r>
            <w:proofErr w:type="spellEnd"/>
          </w:p>
        </w:tc>
      </w:tr>
      <w:tr w:rsidR="003B167F" w:rsidRPr="006353B9" w:rsidTr="009A2182">
        <w:trPr>
          <w:trHeight w:val="152"/>
          <w:jc w:val="center"/>
        </w:trPr>
        <w:tc>
          <w:tcPr>
            <w:tcW w:w="1139" w:type="pct"/>
            <w:tcBorders>
              <w:bottom w:val="nil"/>
            </w:tcBorders>
          </w:tcPr>
          <w:p w:rsidR="003B167F" w:rsidRPr="006353B9" w:rsidRDefault="003B167F" w:rsidP="009A2182">
            <w:pPr>
              <w:jc w:val="both"/>
              <w:rPr>
                <w:color w:val="auto"/>
                <w:highlight w:val="yellow"/>
                <w:lang w:val="en-US"/>
              </w:rPr>
            </w:pPr>
            <w:r w:rsidRPr="006353B9">
              <w:rPr>
                <w:color w:val="auto"/>
                <w:lang w:val="en-US"/>
              </w:rPr>
              <w:t>France</w:t>
            </w:r>
          </w:p>
        </w:tc>
        <w:tc>
          <w:tcPr>
            <w:tcW w:w="1931" w:type="pct"/>
            <w:vAlign w:val="center"/>
          </w:tcPr>
          <w:p w:rsidR="003B167F" w:rsidRPr="006353B9" w:rsidRDefault="003B167F" w:rsidP="009A2182">
            <w:pPr>
              <w:jc w:val="both"/>
              <w:rPr>
                <w:rFonts w:eastAsia="Times New Roman"/>
                <w:color w:val="auto"/>
                <w:lang w:val="en-US"/>
              </w:rPr>
            </w:pPr>
            <w:proofErr w:type="spellStart"/>
            <w:r w:rsidRPr="006353B9">
              <w:rPr>
                <w:rFonts w:eastAsia="Times New Roman"/>
                <w:color w:val="auto"/>
                <w:lang w:val="en-US"/>
              </w:rPr>
              <w:t>Hôpital</w:t>
            </w:r>
            <w:proofErr w:type="spellEnd"/>
            <w:r w:rsidRPr="006353B9">
              <w:rPr>
                <w:rFonts w:eastAsia="Times New Roman"/>
                <w:color w:val="auto"/>
                <w:lang w:val="en-US"/>
              </w:rPr>
              <w:t xml:space="preserve"> Saint André </w:t>
            </w:r>
          </w:p>
        </w:tc>
        <w:tc>
          <w:tcPr>
            <w:tcW w:w="1930" w:type="pct"/>
          </w:tcPr>
          <w:p w:rsidR="003B167F" w:rsidRPr="006353B9" w:rsidRDefault="003B167F" w:rsidP="009A2182">
            <w:pPr>
              <w:spacing w:line="240" w:lineRule="auto"/>
              <w:jc w:val="both"/>
              <w:rPr>
                <w:rFonts w:eastAsia="Times New Roman"/>
                <w:color w:val="auto"/>
                <w:lang w:val="en-US"/>
              </w:rPr>
            </w:pPr>
            <w:r w:rsidRPr="006353B9">
              <w:rPr>
                <w:color w:val="auto"/>
                <w:lang w:val="de-DE"/>
              </w:rPr>
              <w:t xml:space="preserve">Dr. </w:t>
            </w:r>
            <w:r w:rsidRPr="006353B9">
              <w:rPr>
                <w:rFonts w:eastAsia="Times New Roman"/>
                <w:color w:val="auto"/>
                <w:lang w:val="en-US"/>
              </w:rPr>
              <w:t xml:space="preserve">Alain </w:t>
            </w:r>
            <w:proofErr w:type="spellStart"/>
            <w:r w:rsidRPr="006353B9">
              <w:rPr>
                <w:rFonts w:eastAsia="Times New Roman"/>
                <w:color w:val="auto"/>
                <w:lang w:val="en-US"/>
              </w:rPr>
              <w:t>Ravaud</w:t>
            </w:r>
            <w:proofErr w:type="spellEnd"/>
          </w:p>
        </w:tc>
      </w:tr>
      <w:tr w:rsidR="003B167F" w:rsidRPr="006353B9" w:rsidTr="009A2182">
        <w:trPr>
          <w:trHeight w:val="152"/>
          <w:jc w:val="center"/>
        </w:trPr>
        <w:tc>
          <w:tcPr>
            <w:tcW w:w="1139" w:type="pct"/>
            <w:tcBorders>
              <w:top w:val="nil"/>
              <w:bottom w:val="nil"/>
            </w:tcBorders>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s-ES"/>
              </w:rPr>
            </w:pPr>
            <w:proofErr w:type="spellStart"/>
            <w:r w:rsidRPr="006353B9">
              <w:rPr>
                <w:rFonts w:eastAsia="Times New Roman"/>
                <w:color w:val="auto"/>
                <w:lang w:val="es-ES"/>
              </w:rPr>
              <w:t>Institut</w:t>
            </w:r>
            <w:proofErr w:type="spellEnd"/>
            <w:r w:rsidRPr="006353B9">
              <w:rPr>
                <w:rFonts w:eastAsia="Times New Roman"/>
                <w:color w:val="auto"/>
                <w:lang w:val="es-ES"/>
              </w:rPr>
              <w:t xml:space="preserve"> de </w:t>
            </w:r>
            <w:proofErr w:type="spellStart"/>
            <w:r w:rsidRPr="006353B9">
              <w:rPr>
                <w:rFonts w:eastAsia="Times New Roman"/>
                <w:color w:val="auto"/>
                <w:lang w:val="es-ES"/>
              </w:rPr>
              <w:t>Cancérologie</w:t>
            </w:r>
            <w:proofErr w:type="spellEnd"/>
            <w:r w:rsidRPr="006353B9">
              <w:rPr>
                <w:rFonts w:eastAsia="Times New Roman"/>
                <w:color w:val="auto"/>
                <w:lang w:val="es-ES"/>
              </w:rPr>
              <w:t xml:space="preserve"> de Lorraine </w:t>
            </w:r>
          </w:p>
        </w:tc>
        <w:tc>
          <w:tcPr>
            <w:tcW w:w="1930" w:type="pct"/>
          </w:tcPr>
          <w:p w:rsidR="003B167F" w:rsidRPr="006353B9" w:rsidRDefault="003B167F" w:rsidP="009A2182">
            <w:pPr>
              <w:spacing w:line="240" w:lineRule="auto"/>
              <w:jc w:val="both"/>
              <w:rPr>
                <w:rFonts w:eastAsia="Times New Roman"/>
                <w:color w:val="auto"/>
                <w:lang w:val="en-US"/>
              </w:rPr>
            </w:pPr>
            <w:r w:rsidRPr="006353B9">
              <w:rPr>
                <w:rFonts w:eastAsia="Times New Roman"/>
                <w:color w:val="auto"/>
                <w:lang w:val="en-US"/>
              </w:rPr>
              <w:t xml:space="preserve">Dr. </w:t>
            </w:r>
            <w:proofErr w:type="spellStart"/>
            <w:r w:rsidRPr="006353B9">
              <w:rPr>
                <w:rFonts w:eastAsia="Times New Roman"/>
                <w:color w:val="auto"/>
                <w:lang w:val="en-US"/>
              </w:rPr>
              <w:t>Lionnel</w:t>
            </w:r>
            <w:proofErr w:type="spellEnd"/>
            <w:r w:rsidRPr="006353B9">
              <w:rPr>
                <w:rFonts w:eastAsia="Times New Roman"/>
                <w:color w:val="auto"/>
                <w:lang w:val="en-US"/>
              </w:rPr>
              <w:t xml:space="preserve"> </w:t>
            </w:r>
            <w:proofErr w:type="spellStart"/>
            <w:r w:rsidRPr="006353B9">
              <w:rPr>
                <w:rFonts w:eastAsia="Times New Roman"/>
                <w:color w:val="auto"/>
                <w:lang w:val="en-US"/>
              </w:rPr>
              <w:t>Geoffrois</w:t>
            </w:r>
            <w:proofErr w:type="spellEnd"/>
          </w:p>
          <w:p w:rsidR="003B167F" w:rsidRPr="006353B9" w:rsidRDefault="003B167F" w:rsidP="009A2182">
            <w:pPr>
              <w:jc w:val="both"/>
              <w:rPr>
                <w:color w:val="auto"/>
                <w:lang w:val="en-US"/>
              </w:rPr>
            </w:pPr>
          </w:p>
        </w:tc>
      </w:tr>
      <w:tr w:rsidR="003B167F" w:rsidRPr="006353B9" w:rsidTr="009A2182">
        <w:trPr>
          <w:trHeight w:val="152"/>
          <w:jc w:val="center"/>
        </w:trPr>
        <w:tc>
          <w:tcPr>
            <w:tcW w:w="1139" w:type="pct"/>
            <w:tcBorders>
              <w:top w:val="nil"/>
              <w:bottom w:val="nil"/>
            </w:tcBorders>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n-US"/>
              </w:rPr>
            </w:pPr>
            <w:r w:rsidRPr="006353B9">
              <w:rPr>
                <w:rFonts w:eastAsia="Times New Roman"/>
                <w:color w:val="auto"/>
                <w:lang w:val="en-US"/>
              </w:rPr>
              <w:t xml:space="preserve">CHU Gabriel </w:t>
            </w:r>
            <w:proofErr w:type="spellStart"/>
            <w:r w:rsidRPr="006353B9">
              <w:rPr>
                <w:rFonts w:eastAsia="Times New Roman"/>
                <w:color w:val="auto"/>
                <w:lang w:val="en-US"/>
              </w:rPr>
              <w:t>Montpied</w:t>
            </w:r>
            <w:proofErr w:type="spellEnd"/>
            <w:r w:rsidRPr="006353B9">
              <w:rPr>
                <w:rFonts w:eastAsia="Times New Roman"/>
                <w:color w:val="auto"/>
                <w:lang w:val="en-US"/>
              </w:rPr>
              <w:t xml:space="preserve"> </w:t>
            </w:r>
          </w:p>
        </w:tc>
        <w:tc>
          <w:tcPr>
            <w:tcW w:w="1930" w:type="pct"/>
          </w:tcPr>
          <w:p w:rsidR="003B167F" w:rsidRPr="006353B9" w:rsidRDefault="003B167F" w:rsidP="009A2182">
            <w:pPr>
              <w:spacing w:line="240" w:lineRule="auto"/>
              <w:jc w:val="both"/>
              <w:rPr>
                <w:rFonts w:eastAsia="Times New Roman"/>
                <w:color w:val="auto"/>
                <w:lang w:val="en-US"/>
              </w:rPr>
            </w:pPr>
            <w:r w:rsidRPr="006353B9">
              <w:rPr>
                <w:rFonts w:eastAsia="Times New Roman"/>
                <w:color w:val="auto"/>
                <w:lang w:val="en-US"/>
              </w:rPr>
              <w:t>Dr. Jacques Olivier Bay</w:t>
            </w:r>
          </w:p>
        </w:tc>
      </w:tr>
      <w:tr w:rsidR="003B167F" w:rsidRPr="006353B9" w:rsidTr="009A2182">
        <w:trPr>
          <w:trHeight w:val="152"/>
          <w:jc w:val="center"/>
        </w:trPr>
        <w:tc>
          <w:tcPr>
            <w:tcW w:w="1139" w:type="pct"/>
            <w:tcBorders>
              <w:top w:val="nil"/>
            </w:tcBorders>
          </w:tcPr>
          <w:p w:rsidR="003B167F" w:rsidRPr="006353B9" w:rsidRDefault="003B167F" w:rsidP="009A2182">
            <w:pPr>
              <w:jc w:val="both"/>
              <w:rPr>
                <w:color w:val="auto"/>
                <w:lang w:val="en-US"/>
              </w:rPr>
            </w:pPr>
          </w:p>
        </w:tc>
        <w:tc>
          <w:tcPr>
            <w:tcW w:w="1931" w:type="pct"/>
            <w:vAlign w:val="center"/>
          </w:tcPr>
          <w:p w:rsidR="003B167F" w:rsidRPr="006353B9" w:rsidRDefault="003B167F" w:rsidP="009A2182">
            <w:pPr>
              <w:jc w:val="both"/>
              <w:rPr>
                <w:rFonts w:eastAsia="Times New Roman"/>
                <w:color w:val="auto"/>
                <w:lang w:val="en-US"/>
              </w:rPr>
            </w:pPr>
            <w:proofErr w:type="spellStart"/>
            <w:r w:rsidRPr="006353B9">
              <w:rPr>
                <w:rFonts w:eastAsia="Times New Roman"/>
                <w:color w:val="auto"/>
                <w:lang w:val="en-US"/>
              </w:rPr>
              <w:t>Hôpital</w:t>
            </w:r>
            <w:proofErr w:type="spellEnd"/>
            <w:r w:rsidRPr="006353B9">
              <w:rPr>
                <w:rFonts w:eastAsia="Times New Roman"/>
                <w:color w:val="auto"/>
                <w:lang w:val="en-US"/>
              </w:rPr>
              <w:t xml:space="preserve"> Civil (France)</w:t>
            </w:r>
          </w:p>
        </w:tc>
        <w:tc>
          <w:tcPr>
            <w:tcW w:w="1930" w:type="pct"/>
          </w:tcPr>
          <w:p w:rsidR="003B167F" w:rsidRPr="006353B9" w:rsidRDefault="003B167F" w:rsidP="009A2182">
            <w:pPr>
              <w:spacing w:line="240" w:lineRule="auto"/>
              <w:jc w:val="both"/>
              <w:rPr>
                <w:rFonts w:eastAsia="Times New Roman"/>
                <w:color w:val="auto"/>
                <w:lang w:val="en-US"/>
              </w:rPr>
            </w:pPr>
            <w:r w:rsidRPr="006353B9">
              <w:rPr>
                <w:rFonts w:eastAsia="Times New Roman"/>
                <w:color w:val="auto"/>
                <w:lang w:val="en-US"/>
              </w:rPr>
              <w:t>Dr. Brigitte Duclos</w:t>
            </w:r>
          </w:p>
        </w:tc>
      </w:tr>
      <w:tr w:rsidR="003B167F" w:rsidRPr="006353B9" w:rsidTr="009A2182">
        <w:trPr>
          <w:trHeight w:val="152"/>
          <w:jc w:val="center"/>
        </w:trPr>
        <w:tc>
          <w:tcPr>
            <w:tcW w:w="1139" w:type="pct"/>
            <w:vMerge w:val="restart"/>
          </w:tcPr>
          <w:p w:rsidR="003B167F" w:rsidRPr="006353B9" w:rsidRDefault="003B167F" w:rsidP="009A2182">
            <w:pPr>
              <w:jc w:val="both"/>
              <w:rPr>
                <w:color w:val="auto"/>
                <w:highlight w:val="yellow"/>
                <w:lang w:val="en-US"/>
              </w:rPr>
            </w:pPr>
          </w:p>
          <w:p w:rsidR="003B167F" w:rsidRPr="006353B9" w:rsidRDefault="003B167F" w:rsidP="009A2182">
            <w:pPr>
              <w:jc w:val="both"/>
              <w:rPr>
                <w:color w:val="auto"/>
                <w:highlight w:val="yellow"/>
                <w:lang w:val="en-US"/>
              </w:rPr>
            </w:pPr>
          </w:p>
          <w:p w:rsidR="003B167F" w:rsidRPr="006353B9" w:rsidRDefault="003B167F" w:rsidP="009A2182">
            <w:pPr>
              <w:jc w:val="both"/>
              <w:rPr>
                <w:color w:val="auto"/>
                <w:highlight w:val="yellow"/>
                <w:lang w:val="en-US"/>
              </w:rPr>
            </w:pPr>
          </w:p>
          <w:p w:rsidR="003B167F" w:rsidRPr="006353B9" w:rsidRDefault="003B167F" w:rsidP="009A2182">
            <w:pPr>
              <w:jc w:val="both"/>
              <w:rPr>
                <w:color w:val="auto"/>
                <w:highlight w:val="yellow"/>
                <w:lang w:val="en-US"/>
              </w:rPr>
            </w:pPr>
          </w:p>
          <w:p w:rsidR="003B167F" w:rsidRPr="006353B9" w:rsidRDefault="003B167F" w:rsidP="009A2182">
            <w:pPr>
              <w:jc w:val="both"/>
              <w:rPr>
                <w:color w:val="auto"/>
                <w:highlight w:val="yellow"/>
                <w:lang w:val="pt-BR"/>
              </w:rPr>
            </w:pPr>
            <w:r w:rsidRPr="006353B9">
              <w:rPr>
                <w:color w:val="auto"/>
                <w:lang w:val="pt-BR"/>
              </w:rPr>
              <w:t>Greece</w:t>
            </w:r>
          </w:p>
        </w:tc>
        <w:tc>
          <w:tcPr>
            <w:tcW w:w="1931" w:type="pct"/>
            <w:vAlign w:val="center"/>
          </w:tcPr>
          <w:p w:rsidR="003B167F" w:rsidRPr="006353B9" w:rsidRDefault="003B167F" w:rsidP="009A2182">
            <w:pPr>
              <w:jc w:val="both"/>
              <w:rPr>
                <w:rFonts w:eastAsia="Times New Roman"/>
                <w:color w:val="auto"/>
                <w:lang w:val="en-US"/>
              </w:rPr>
            </w:pPr>
            <w:r w:rsidRPr="006353B9">
              <w:rPr>
                <w:rFonts w:eastAsia="Times New Roman"/>
                <w:color w:val="auto"/>
                <w:lang w:val="en-US"/>
              </w:rPr>
              <w:t>Alexandra General Hospital of Athens</w:t>
            </w:r>
          </w:p>
        </w:tc>
        <w:tc>
          <w:tcPr>
            <w:tcW w:w="1930" w:type="pct"/>
            <w:vAlign w:val="center"/>
          </w:tcPr>
          <w:p w:rsidR="003B167F" w:rsidRPr="006353B9" w:rsidRDefault="003B167F" w:rsidP="009A2182">
            <w:pPr>
              <w:spacing w:line="240" w:lineRule="auto"/>
              <w:jc w:val="both"/>
              <w:rPr>
                <w:rFonts w:eastAsia="Times New Roman"/>
                <w:color w:val="auto"/>
                <w:lang w:val="en-US"/>
              </w:rPr>
            </w:pPr>
            <w:r w:rsidRPr="006353B9">
              <w:rPr>
                <w:color w:val="auto"/>
                <w:lang w:val="pt-BR"/>
              </w:rPr>
              <w:t xml:space="preserve">Dr. </w:t>
            </w:r>
            <w:proofErr w:type="spellStart"/>
            <w:r w:rsidRPr="006353B9">
              <w:rPr>
                <w:rFonts w:eastAsia="Times New Roman"/>
                <w:color w:val="auto"/>
                <w:lang w:val="en-US"/>
              </w:rPr>
              <w:t>Aristotelis</w:t>
            </w:r>
            <w:proofErr w:type="spellEnd"/>
            <w:r w:rsidRPr="006353B9">
              <w:rPr>
                <w:rFonts w:eastAsia="Times New Roman"/>
                <w:color w:val="auto"/>
                <w:lang w:val="en-US"/>
              </w:rPr>
              <w:t xml:space="preserve"> </w:t>
            </w:r>
            <w:proofErr w:type="spellStart"/>
            <w:r w:rsidRPr="006353B9">
              <w:rPr>
                <w:rFonts w:eastAsia="Times New Roman"/>
                <w:color w:val="auto"/>
                <w:lang w:val="en-US"/>
              </w:rPr>
              <w:t>Bamias</w:t>
            </w:r>
            <w:proofErr w:type="spellEnd"/>
          </w:p>
          <w:p w:rsidR="003B167F" w:rsidRPr="006353B9" w:rsidRDefault="003B167F" w:rsidP="009A2182">
            <w:pPr>
              <w:jc w:val="both"/>
              <w:rPr>
                <w:color w:val="auto"/>
                <w:highlight w:val="yellow"/>
                <w:lang w:val="en-US"/>
              </w:rPr>
            </w:pPr>
          </w:p>
        </w:tc>
      </w:tr>
      <w:tr w:rsidR="003B167F" w:rsidRPr="006353B9" w:rsidTr="009A2182">
        <w:trPr>
          <w:trHeight w:val="152"/>
          <w:jc w:val="center"/>
        </w:trPr>
        <w:tc>
          <w:tcPr>
            <w:tcW w:w="1139" w:type="pct"/>
            <w:vMerge/>
          </w:tcPr>
          <w:p w:rsidR="003B167F" w:rsidRPr="006353B9" w:rsidRDefault="003B167F" w:rsidP="009A2182">
            <w:pPr>
              <w:jc w:val="both"/>
              <w:rPr>
                <w:color w:val="auto"/>
                <w:highlight w:val="yellow"/>
                <w:lang w:val="sv-SE"/>
              </w:rPr>
            </w:pPr>
          </w:p>
        </w:tc>
        <w:tc>
          <w:tcPr>
            <w:tcW w:w="1931" w:type="pct"/>
            <w:vAlign w:val="center"/>
          </w:tcPr>
          <w:p w:rsidR="003B167F" w:rsidRPr="006353B9" w:rsidRDefault="003B167F" w:rsidP="009A2182">
            <w:pPr>
              <w:jc w:val="both"/>
              <w:rPr>
                <w:rFonts w:eastAsia="Times New Roman"/>
                <w:color w:val="auto"/>
                <w:lang w:val="en-US"/>
              </w:rPr>
            </w:pPr>
            <w:proofErr w:type="spellStart"/>
            <w:r w:rsidRPr="006353B9">
              <w:rPr>
                <w:rFonts w:eastAsia="Times New Roman"/>
                <w:color w:val="auto"/>
                <w:lang w:val="en-US"/>
              </w:rPr>
              <w:t>Euromedical</w:t>
            </w:r>
            <w:proofErr w:type="spellEnd"/>
            <w:r w:rsidRPr="006353B9">
              <w:rPr>
                <w:rFonts w:eastAsia="Times New Roman"/>
                <w:color w:val="auto"/>
                <w:lang w:val="en-US"/>
              </w:rPr>
              <w:t xml:space="preserve"> General </w:t>
            </w:r>
            <w:proofErr w:type="spellStart"/>
            <w:r w:rsidRPr="006353B9">
              <w:rPr>
                <w:rFonts w:eastAsia="Times New Roman"/>
                <w:color w:val="auto"/>
                <w:lang w:val="en-US"/>
              </w:rPr>
              <w:t>Klinik</w:t>
            </w:r>
            <w:proofErr w:type="spellEnd"/>
            <w:r w:rsidRPr="006353B9">
              <w:rPr>
                <w:rFonts w:eastAsia="Times New Roman"/>
                <w:color w:val="auto"/>
                <w:lang w:val="en-US"/>
              </w:rPr>
              <w:t xml:space="preserve"> </w:t>
            </w:r>
          </w:p>
        </w:tc>
        <w:tc>
          <w:tcPr>
            <w:tcW w:w="1930" w:type="pct"/>
            <w:vAlign w:val="center"/>
          </w:tcPr>
          <w:p w:rsidR="003B167F" w:rsidRPr="006353B9" w:rsidRDefault="003B167F" w:rsidP="009A2182">
            <w:pPr>
              <w:spacing w:line="240" w:lineRule="auto"/>
              <w:jc w:val="both"/>
              <w:rPr>
                <w:rFonts w:eastAsia="Times New Roman"/>
                <w:color w:val="auto"/>
                <w:lang w:val="en-US"/>
              </w:rPr>
            </w:pPr>
            <w:r w:rsidRPr="006353B9">
              <w:rPr>
                <w:color w:val="auto"/>
                <w:lang w:val="pl-PL"/>
              </w:rPr>
              <w:t xml:space="preserve">Dr. </w:t>
            </w:r>
            <w:proofErr w:type="spellStart"/>
            <w:r w:rsidRPr="006353B9">
              <w:rPr>
                <w:rFonts w:eastAsia="Times New Roman"/>
                <w:color w:val="auto"/>
                <w:lang w:val="en-US"/>
              </w:rPr>
              <w:t>Papazisis</w:t>
            </w:r>
            <w:proofErr w:type="spellEnd"/>
            <w:r w:rsidRPr="006353B9">
              <w:rPr>
                <w:rFonts w:eastAsia="Times New Roman"/>
                <w:color w:val="auto"/>
                <w:lang w:val="en-US"/>
              </w:rPr>
              <w:t xml:space="preserve"> Konstantinos</w:t>
            </w:r>
          </w:p>
        </w:tc>
      </w:tr>
      <w:tr w:rsidR="003B167F" w:rsidRPr="006353B9" w:rsidTr="009A2182">
        <w:trPr>
          <w:trHeight w:val="152"/>
          <w:jc w:val="center"/>
        </w:trPr>
        <w:tc>
          <w:tcPr>
            <w:tcW w:w="1139" w:type="pct"/>
            <w:vMerge/>
          </w:tcPr>
          <w:p w:rsidR="003B167F" w:rsidRPr="006353B9" w:rsidRDefault="003B167F" w:rsidP="009A2182">
            <w:pPr>
              <w:jc w:val="both"/>
              <w:rPr>
                <w:color w:val="auto"/>
                <w:highlight w:val="yellow"/>
                <w:lang w:val="sv-SE"/>
              </w:rPr>
            </w:pPr>
          </w:p>
        </w:tc>
        <w:tc>
          <w:tcPr>
            <w:tcW w:w="1931" w:type="pct"/>
            <w:vAlign w:val="center"/>
          </w:tcPr>
          <w:p w:rsidR="003B167F" w:rsidRPr="006353B9" w:rsidRDefault="003B167F" w:rsidP="009A2182">
            <w:pPr>
              <w:jc w:val="both"/>
              <w:rPr>
                <w:color w:val="auto"/>
                <w:highlight w:val="yellow"/>
                <w:lang w:val="en-US"/>
              </w:rPr>
            </w:pPr>
            <w:r w:rsidRPr="006353B9">
              <w:rPr>
                <w:rFonts w:eastAsia="Times New Roman"/>
                <w:color w:val="auto"/>
                <w:lang w:val="en-US"/>
              </w:rPr>
              <w:t xml:space="preserve">University Regional General Hospital of Patras </w:t>
            </w:r>
          </w:p>
        </w:tc>
        <w:tc>
          <w:tcPr>
            <w:tcW w:w="1930" w:type="pct"/>
            <w:vAlign w:val="center"/>
          </w:tcPr>
          <w:p w:rsidR="003B167F" w:rsidRPr="006353B9" w:rsidRDefault="003B167F" w:rsidP="009A2182">
            <w:pPr>
              <w:spacing w:line="240" w:lineRule="auto"/>
              <w:jc w:val="both"/>
              <w:rPr>
                <w:rFonts w:eastAsia="Times New Roman"/>
                <w:color w:val="auto"/>
                <w:lang w:val="en-US"/>
              </w:rPr>
            </w:pPr>
            <w:r w:rsidRPr="006353B9">
              <w:rPr>
                <w:color w:val="auto"/>
                <w:lang w:val="pl-PL"/>
              </w:rPr>
              <w:t xml:space="preserve">Dr. </w:t>
            </w:r>
            <w:proofErr w:type="spellStart"/>
            <w:r w:rsidRPr="006353B9">
              <w:rPr>
                <w:rFonts w:eastAsia="Times New Roman"/>
                <w:color w:val="auto"/>
                <w:lang w:val="en-US"/>
              </w:rPr>
              <w:t>Haralambos</w:t>
            </w:r>
            <w:proofErr w:type="spellEnd"/>
            <w:r w:rsidRPr="006353B9">
              <w:rPr>
                <w:rFonts w:eastAsia="Times New Roman"/>
                <w:color w:val="auto"/>
                <w:lang w:val="en-US"/>
              </w:rPr>
              <w:t xml:space="preserve"> </w:t>
            </w:r>
            <w:proofErr w:type="spellStart"/>
            <w:r w:rsidRPr="006353B9">
              <w:rPr>
                <w:rFonts w:eastAsia="Times New Roman"/>
                <w:color w:val="auto"/>
                <w:lang w:val="en-US"/>
              </w:rPr>
              <w:t>Kalafonos</w:t>
            </w:r>
            <w:proofErr w:type="spellEnd"/>
          </w:p>
          <w:p w:rsidR="003B167F" w:rsidRPr="006353B9" w:rsidRDefault="003B167F" w:rsidP="009A2182">
            <w:pPr>
              <w:jc w:val="both"/>
              <w:rPr>
                <w:color w:val="auto"/>
                <w:lang w:val="en-US"/>
              </w:rPr>
            </w:pPr>
          </w:p>
        </w:tc>
      </w:tr>
    </w:tbl>
    <w:p w:rsidR="003B167F" w:rsidRPr="006353B9" w:rsidRDefault="003B167F" w:rsidP="003B167F">
      <w:pPr>
        <w:pStyle w:val="Normal1"/>
        <w:jc w:val="both"/>
        <w:rPr>
          <w:color w:val="auto"/>
          <w:lang w:val="en-US"/>
        </w:rPr>
      </w:pPr>
    </w:p>
    <w:p w:rsidR="003B167F" w:rsidRPr="006353B9" w:rsidRDefault="003B167F" w:rsidP="003B167F">
      <w:pPr>
        <w:pStyle w:val="Normal1"/>
        <w:jc w:val="both"/>
        <w:rPr>
          <w:b/>
          <w:color w:val="auto"/>
          <w:lang w:val="en-US"/>
        </w:rPr>
      </w:pPr>
    </w:p>
    <w:p w:rsidR="003B167F" w:rsidRDefault="003B167F" w:rsidP="003B167F">
      <w:pPr>
        <w:rPr>
          <w:b/>
          <w:color w:val="auto"/>
          <w:lang w:val="en-US"/>
        </w:rPr>
      </w:pPr>
      <w:r>
        <w:rPr>
          <w:b/>
          <w:color w:val="auto"/>
          <w:lang w:val="en-US"/>
        </w:rPr>
        <w:br w:type="page"/>
      </w:r>
    </w:p>
    <w:p w:rsidR="003B167F" w:rsidRPr="00541836" w:rsidRDefault="003B167F" w:rsidP="003B167F">
      <w:pPr>
        <w:pStyle w:val="Normal1"/>
        <w:jc w:val="both"/>
        <w:rPr>
          <w:b/>
          <w:color w:val="auto"/>
          <w:u w:val="single"/>
          <w:lang w:val="en-US"/>
        </w:rPr>
      </w:pPr>
      <w:r w:rsidRPr="00541836">
        <w:rPr>
          <w:b/>
          <w:color w:val="auto"/>
          <w:u w:val="single"/>
          <w:lang w:val="en-US"/>
        </w:rPr>
        <w:lastRenderedPageBreak/>
        <w:t>Rationale</w:t>
      </w:r>
    </w:p>
    <w:p w:rsidR="003B167F" w:rsidRPr="006353B9" w:rsidRDefault="003B167F" w:rsidP="003B167F">
      <w:pPr>
        <w:pStyle w:val="Normal1"/>
        <w:jc w:val="both"/>
        <w:rPr>
          <w:color w:val="auto"/>
          <w:lang w:val="en-US"/>
        </w:rPr>
      </w:pPr>
      <w:r w:rsidRPr="006353B9">
        <w:rPr>
          <w:color w:val="auto"/>
          <w:lang w:val="en-US"/>
        </w:rPr>
        <w:t>In the last years a great progress has been achieved in the treatment of metastatic renal</w:t>
      </w:r>
    </w:p>
    <w:p w:rsidR="003B167F" w:rsidRPr="006353B9" w:rsidRDefault="003B167F" w:rsidP="003B167F">
      <w:pPr>
        <w:pStyle w:val="Normal1"/>
        <w:jc w:val="both"/>
        <w:rPr>
          <w:color w:val="auto"/>
          <w:lang w:val="en-US"/>
        </w:rPr>
      </w:pPr>
      <w:r w:rsidRPr="006353B9">
        <w:rPr>
          <w:color w:val="auto"/>
          <w:lang w:val="en-US"/>
        </w:rPr>
        <w:t>cell carcinoma (</w:t>
      </w:r>
      <w:proofErr w:type="spellStart"/>
      <w:r w:rsidRPr="006353B9">
        <w:rPr>
          <w:color w:val="auto"/>
          <w:lang w:val="en-US"/>
        </w:rPr>
        <w:t>mRCC</w:t>
      </w:r>
      <w:proofErr w:type="spellEnd"/>
      <w:r w:rsidRPr="006353B9">
        <w:rPr>
          <w:color w:val="auto"/>
          <w:lang w:val="en-US"/>
        </w:rPr>
        <w:t xml:space="preserve">) with new agents been introduced targeting molecular pathways. The standard of care in 1st line treatment is </w:t>
      </w:r>
      <w:proofErr w:type="gramStart"/>
      <w:r w:rsidRPr="006353B9">
        <w:rPr>
          <w:color w:val="auto"/>
          <w:lang w:val="en-US"/>
        </w:rPr>
        <w:t>at the moment</w:t>
      </w:r>
      <w:proofErr w:type="gramEnd"/>
      <w:r w:rsidRPr="006353B9">
        <w:rPr>
          <w:color w:val="auto"/>
          <w:lang w:val="en-US"/>
        </w:rPr>
        <w:t xml:space="preserve"> vascular endothelial growth factor (VEGFR) tyrosine kinase inhibitors (TKIs) and in most cases the agent used is </w:t>
      </w:r>
      <w:proofErr w:type="spellStart"/>
      <w:r w:rsidRPr="006353B9">
        <w:rPr>
          <w:color w:val="auto"/>
          <w:lang w:val="en-US"/>
        </w:rPr>
        <w:t>sunitinib</w:t>
      </w:r>
      <w:proofErr w:type="spellEnd"/>
      <w:r w:rsidRPr="006353B9">
        <w:rPr>
          <w:color w:val="auto"/>
          <w:lang w:val="en-US"/>
        </w:rPr>
        <w:t xml:space="preserve"> (Pfizer). Upon progression, another targeted therapy is used and </w:t>
      </w:r>
      <w:proofErr w:type="gramStart"/>
      <w:r w:rsidRPr="006353B9">
        <w:rPr>
          <w:color w:val="auto"/>
          <w:lang w:val="en-US"/>
        </w:rPr>
        <w:t>at the moment</w:t>
      </w:r>
      <w:proofErr w:type="gramEnd"/>
      <w:r w:rsidRPr="006353B9">
        <w:rPr>
          <w:color w:val="auto"/>
          <w:lang w:val="en-US"/>
        </w:rPr>
        <w:t xml:space="preserve"> the recommended agent upon progression on TKIs is </w:t>
      </w:r>
      <w:proofErr w:type="spellStart"/>
      <w:r w:rsidRPr="006353B9">
        <w:rPr>
          <w:color w:val="auto"/>
          <w:lang w:val="en-US"/>
        </w:rPr>
        <w:t>everolimus</w:t>
      </w:r>
      <w:proofErr w:type="spellEnd"/>
      <w:r w:rsidRPr="006353B9">
        <w:rPr>
          <w:color w:val="auto"/>
          <w:lang w:val="en-US"/>
        </w:rPr>
        <w:t xml:space="preserve"> (Novartis).</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Even though the progress that has been achieved, there are a few clinical aspects that need further attention such as compliance and even more the resistance that emerges from the use of the TKIs. Cancer cells tend to escape the anti VEGFR blockage. There is therefore a rationale to alternate treatment to prevent or delay the occurrence of resistance. Having two different mechanisms of action, alternating each other, will block two hallmarks of cancer without forcing escaping pathways.</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The study hypothesis is that by using alternating mode of action of the agents in RCC may reduce the side effects, improve tolerability and compliance of treatment and further delay</w:t>
      </w:r>
    </w:p>
    <w:p w:rsidR="003B167F" w:rsidRPr="006353B9" w:rsidRDefault="003B167F" w:rsidP="003B167F">
      <w:pPr>
        <w:pStyle w:val="Normal1"/>
        <w:jc w:val="both"/>
        <w:rPr>
          <w:color w:val="auto"/>
          <w:lang w:val="en-US"/>
        </w:rPr>
      </w:pPr>
      <w:r w:rsidRPr="006353B9">
        <w:rPr>
          <w:color w:val="auto"/>
          <w:lang w:val="en-US"/>
        </w:rPr>
        <w:t>the progression of the cancer. As mentioned above, the current first line standard of care</w:t>
      </w:r>
    </w:p>
    <w:p w:rsidR="003B167F" w:rsidRPr="006353B9" w:rsidRDefault="003B167F" w:rsidP="003B167F">
      <w:pPr>
        <w:pStyle w:val="Normal1"/>
        <w:jc w:val="both"/>
        <w:rPr>
          <w:color w:val="auto"/>
          <w:lang w:val="en-US"/>
        </w:rPr>
      </w:pPr>
      <w:r w:rsidRPr="006353B9">
        <w:rPr>
          <w:color w:val="auto"/>
          <w:lang w:val="en-US"/>
        </w:rPr>
        <w:t xml:space="preserve">in </w:t>
      </w:r>
      <w:proofErr w:type="spellStart"/>
      <w:r w:rsidRPr="006353B9">
        <w:rPr>
          <w:color w:val="auto"/>
          <w:lang w:val="en-US"/>
        </w:rPr>
        <w:t>mRCC</w:t>
      </w:r>
      <w:proofErr w:type="spellEnd"/>
      <w:r w:rsidRPr="006353B9">
        <w:rPr>
          <w:color w:val="auto"/>
          <w:lang w:val="en-US"/>
        </w:rPr>
        <w:t xml:space="preserve"> is </w:t>
      </w:r>
      <w:proofErr w:type="spellStart"/>
      <w:r w:rsidRPr="006353B9">
        <w:rPr>
          <w:color w:val="auto"/>
          <w:lang w:val="en-US"/>
        </w:rPr>
        <w:t>sunitinib</w:t>
      </w:r>
      <w:proofErr w:type="spellEnd"/>
      <w:r w:rsidRPr="006353B9">
        <w:rPr>
          <w:color w:val="auto"/>
          <w:lang w:val="en-US"/>
        </w:rPr>
        <w:t>. Based on the available information the Spanish Oncology Research</w:t>
      </w:r>
    </w:p>
    <w:p w:rsidR="003B167F" w:rsidRPr="006353B9" w:rsidRDefault="003B167F" w:rsidP="003B167F">
      <w:pPr>
        <w:pStyle w:val="Normal1"/>
        <w:jc w:val="both"/>
        <w:rPr>
          <w:color w:val="auto"/>
          <w:lang w:val="en-US"/>
        </w:rPr>
      </w:pPr>
      <w:r w:rsidRPr="006353B9">
        <w:rPr>
          <w:color w:val="auto"/>
          <w:lang w:val="en-US"/>
        </w:rPr>
        <w:t xml:space="preserve">group APRO decided to run a study in rotational scheme with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xml:space="preserve"> as investigational treatment of choice for this study. The design placed </w:t>
      </w:r>
      <w:proofErr w:type="spellStart"/>
      <w:r w:rsidRPr="006353B9">
        <w:rPr>
          <w:color w:val="auto"/>
          <w:lang w:val="en-US"/>
        </w:rPr>
        <w:t>sunitinib</w:t>
      </w:r>
      <w:proofErr w:type="spellEnd"/>
      <w:r w:rsidRPr="006353B9">
        <w:rPr>
          <w:color w:val="auto"/>
          <w:lang w:val="en-US"/>
        </w:rPr>
        <w:t xml:space="preserve"> first in the alternating regimen with </w:t>
      </w:r>
      <w:proofErr w:type="spellStart"/>
      <w:r w:rsidRPr="006353B9">
        <w:rPr>
          <w:color w:val="auto"/>
          <w:lang w:val="en-US"/>
        </w:rPr>
        <w:t>everolimus</w:t>
      </w:r>
      <w:proofErr w:type="spellEnd"/>
      <w:r w:rsidRPr="006353B9">
        <w:rPr>
          <w:color w:val="auto"/>
          <w:lang w:val="en-US"/>
        </w:rPr>
        <w:t xml:space="preserve"> second because there are limited data on </w:t>
      </w:r>
      <w:proofErr w:type="spellStart"/>
      <w:r w:rsidRPr="006353B9">
        <w:rPr>
          <w:color w:val="auto"/>
          <w:lang w:val="en-US"/>
        </w:rPr>
        <w:t>everolimus</w:t>
      </w:r>
      <w:proofErr w:type="spellEnd"/>
      <w:r w:rsidRPr="006353B9">
        <w:rPr>
          <w:color w:val="auto"/>
          <w:lang w:val="en-US"/>
        </w:rPr>
        <w:t xml:space="preserve"> in first line treatment. There were two arms, the rotational scheme and the standard treatment algorithm of </w:t>
      </w:r>
      <w:proofErr w:type="spellStart"/>
      <w:r w:rsidRPr="006353B9">
        <w:rPr>
          <w:color w:val="auto"/>
          <w:lang w:val="en-US"/>
        </w:rPr>
        <w:t>sunitinib</w:t>
      </w:r>
      <w:proofErr w:type="spellEnd"/>
      <w:r w:rsidRPr="006353B9">
        <w:rPr>
          <w:color w:val="auto"/>
          <w:lang w:val="en-US"/>
        </w:rPr>
        <w:t xml:space="preserve"> in 1st line and upon progression patients received </w:t>
      </w:r>
      <w:proofErr w:type="spellStart"/>
      <w:r w:rsidRPr="006353B9">
        <w:rPr>
          <w:color w:val="auto"/>
          <w:lang w:val="en-US"/>
        </w:rPr>
        <w:t>everolimus</w:t>
      </w:r>
      <w:proofErr w:type="spellEnd"/>
      <w:r w:rsidRPr="006353B9">
        <w:rPr>
          <w:color w:val="auto"/>
          <w:lang w:val="en-US"/>
        </w:rPr>
        <w:t>.</w:t>
      </w:r>
    </w:p>
    <w:p w:rsidR="003B167F" w:rsidRPr="006353B9" w:rsidRDefault="003B167F" w:rsidP="003B167F">
      <w:pPr>
        <w:pStyle w:val="Normal1"/>
        <w:jc w:val="both"/>
        <w:rPr>
          <w:color w:val="auto"/>
          <w:lang w:val="en-US"/>
        </w:rPr>
      </w:pPr>
    </w:p>
    <w:p w:rsidR="003B167F" w:rsidRPr="00541836" w:rsidRDefault="003B167F" w:rsidP="003B167F">
      <w:pPr>
        <w:pStyle w:val="Normal1"/>
        <w:jc w:val="both"/>
        <w:rPr>
          <w:b/>
          <w:color w:val="auto"/>
          <w:u w:val="single"/>
          <w:lang w:val="en-US"/>
        </w:rPr>
      </w:pPr>
      <w:r w:rsidRPr="00541836">
        <w:rPr>
          <w:b/>
          <w:color w:val="auto"/>
          <w:u w:val="single"/>
          <w:lang w:val="en-US"/>
        </w:rPr>
        <w:t>Objectives</w:t>
      </w:r>
    </w:p>
    <w:p w:rsidR="003B167F" w:rsidRPr="006353B9" w:rsidRDefault="003B167F" w:rsidP="003B167F">
      <w:pPr>
        <w:pStyle w:val="Normal1"/>
        <w:jc w:val="both"/>
        <w:rPr>
          <w:color w:val="auto"/>
          <w:lang w:val="en-US"/>
        </w:rPr>
      </w:pPr>
      <w:r w:rsidRPr="006353B9">
        <w:rPr>
          <w:b/>
          <w:color w:val="auto"/>
          <w:lang w:val="en-US"/>
        </w:rPr>
        <w:t xml:space="preserve">Primary objective: </w:t>
      </w:r>
      <w:r w:rsidRPr="006353B9">
        <w:rPr>
          <w:color w:val="auto"/>
          <w:lang w:val="en-US"/>
        </w:rPr>
        <w:t>Progression-free survival (PFS) rate at 1 year.</w:t>
      </w:r>
    </w:p>
    <w:p w:rsidR="003B167F" w:rsidRPr="006353B9" w:rsidRDefault="003B167F" w:rsidP="003B167F">
      <w:pPr>
        <w:pStyle w:val="Normal1"/>
        <w:jc w:val="both"/>
        <w:rPr>
          <w:b/>
          <w:color w:val="auto"/>
          <w:lang w:val="en-US"/>
        </w:rPr>
      </w:pPr>
      <w:r w:rsidRPr="006353B9">
        <w:rPr>
          <w:b/>
          <w:color w:val="auto"/>
          <w:lang w:val="en-US"/>
        </w:rPr>
        <w:t>Secondary objectives:</w:t>
      </w:r>
    </w:p>
    <w:p w:rsidR="003B167F" w:rsidRPr="006353B9" w:rsidRDefault="003B167F" w:rsidP="003B167F">
      <w:pPr>
        <w:pStyle w:val="Normal1"/>
        <w:jc w:val="both"/>
        <w:rPr>
          <w:color w:val="auto"/>
          <w:lang w:val="en-US"/>
        </w:rPr>
      </w:pPr>
      <w:r w:rsidRPr="006353B9">
        <w:rPr>
          <w:color w:val="auto"/>
          <w:lang w:val="en-US"/>
        </w:rPr>
        <w:t>a. PFS of rotational arm versus PFS of the 2 lines in control arm.</w:t>
      </w:r>
    </w:p>
    <w:p w:rsidR="003B167F" w:rsidRPr="006353B9" w:rsidRDefault="003B167F" w:rsidP="003B167F">
      <w:pPr>
        <w:pStyle w:val="Normal1"/>
        <w:jc w:val="both"/>
        <w:rPr>
          <w:color w:val="auto"/>
          <w:lang w:val="en-US"/>
        </w:rPr>
      </w:pPr>
      <w:r w:rsidRPr="006353B9">
        <w:rPr>
          <w:color w:val="auto"/>
          <w:lang w:val="en-US"/>
        </w:rPr>
        <w:t>b. Objective tumor response rate (ORR) per arm</w:t>
      </w:r>
    </w:p>
    <w:p w:rsidR="003B167F" w:rsidRPr="006353B9" w:rsidRDefault="003B167F" w:rsidP="003B167F">
      <w:pPr>
        <w:pStyle w:val="Normal1"/>
        <w:jc w:val="both"/>
        <w:rPr>
          <w:color w:val="auto"/>
          <w:lang w:val="en-US"/>
        </w:rPr>
      </w:pPr>
      <w:r w:rsidRPr="006353B9">
        <w:rPr>
          <w:color w:val="auto"/>
          <w:lang w:val="en-US"/>
        </w:rPr>
        <w:t>c. Overall Survival (OS)</w:t>
      </w:r>
    </w:p>
    <w:p w:rsidR="003B167F" w:rsidRPr="006353B9" w:rsidRDefault="003B167F" w:rsidP="003B167F">
      <w:pPr>
        <w:pStyle w:val="Normal1"/>
        <w:jc w:val="both"/>
        <w:rPr>
          <w:color w:val="auto"/>
          <w:lang w:val="en-US"/>
        </w:rPr>
      </w:pPr>
      <w:r w:rsidRPr="006353B9">
        <w:rPr>
          <w:color w:val="auto"/>
          <w:lang w:val="en-US"/>
        </w:rPr>
        <w:t>d. Safety Profile</w:t>
      </w:r>
    </w:p>
    <w:p w:rsidR="003B167F" w:rsidRPr="006353B9" w:rsidRDefault="003B167F" w:rsidP="003B167F">
      <w:pPr>
        <w:pStyle w:val="Normal1"/>
        <w:jc w:val="both"/>
        <w:rPr>
          <w:color w:val="auto"/>
          <w:lang w:val="en-US"/>
        </w:rPr>
      </w:pPr>
    </w:p>
    <w:p w:rsidR="003B167F" w:rsidRPr="00541836" w:rsidRDefault="003B167F" w:rsidP="003B167F">
      <w:pPr>
        <w:pStyle w:val="Normal1"/>
        <w:jc w:val="both"/>
        <w:rPr>
          <w:b/>
          <w:color w:val="auto"/>
          <w:u w:val="single"/>
          <w:lang w:val="en-US"/>
        </w:rPr>
      </w:pPr>
      <w:r w:rsidRPr="00541836">
        <w:rPr>
          <w:b/>
          <w:color w:val="auto"/>
          <w:u w:val="single"/>
          <w:lang w:val="en-US"/>
        </w:rPr>
        <w:t>Methodology and Study design</w:t>
      </w:r>
    </w:p>
    <w:p w:rsidR="003B167F" w:rsidRPr="006353B9" w:rsidRDefault="003B167F" w:rsidP="003B167F">
      <w:pPr>
        <w:pStyle w:val="Normal1"/>
        <w:jc w:val="both"/>
        <w:rPr>
          <w:color w:val="auto"/>
          <w:lang w:val="en-US"/>
        </w:rPr>
      </w:pPr>
      <w:r w:rsidRPr="006353B9">
        <w:rPr>
          <w:color w:val="auto"/>
          <w:lang w:val="en-US"/>
        </w:rPr>
        <w:t xml:space="preserve">This was an open-label, randomized phase II study to investigate the feasibility of alternating cycles of treatment with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xml:space="preserve"> compared to sequential treatment of </w:t>
      </w:r>
      <w:proofErr w:type="spellStart"/>
      <w:r w:rsidRPr="006353B9">
        <w:rPr>
          <w:color w:val="auto"/>
          <w:lang w:val="en-US"/>
        </w:rPr>
        <w:t>sunitinib</w:t>
      </w:r>
      <w:proofErr w:type="spellEnd"/>
      <w:r w:rsidRPr="006353B9">
        <w:rPr>
          <w:color w:val="auto"/>
          <w:lang w:val="en-US"/>
        </w:rPr>
        <w:t xml:space="preserve"> followed by </w:t>
      </w:r>
      <w:proofErr w:type="spellStart"/>
      <w:r w:rsidRPr="006353B9">
        <w:rPr>
          <w:color w:val="auto"/>
          <w:lang w:val="en-US"/>
        </w:rPr>
        <w:t>everolimus</w:t>
      </w:r>
      <w:proofErr w:type="spellEnd"/>
      <w:r w:rsidRPr="006353B9">
        <w:rPr>
          <w:color w:val="auto"/>
          <w:lang w:val="en-US"/>
        </w:rPr>
        <w:t xml:space="preserve">. 4 countries and 19 centers participated in the study. The study population consisted of adult patients (over 18 years old) with clear cell </w:t>
      </w:r>
      <w:proofErr w:type="spellStart"/>
      <w:r w:rsidRPr="006353B9">
        <w:rPr>
          <w:color w:val="auto"/>
          <w:lang w:val="en-US"/>
        </w:rPr>
        <w:t>mRCC</w:t>
      </w:r>
      <w:proofErr w:type="spellEnd"/>
      <w:r w:rsidRPr="006353B9">
        <w:rPr>
          <w:color w:val="auto"/>
          <w:lang w:val="en-US"/>
        </w:rPr>
        <w:t xml:space="preserve"> who had not received prior therapy for their metastatic disease.</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lastRenderedPageBreak/>
        <w:t>The purpose of the study was to determine the progression free survival, feasibility and</w:t>
      </w:r>
    </w:p>
    <w:p w:rsidR="003B167F" w:rsidRPr="006353B9" w:rsidRDefault="003B167F" w:rsidP="003B167F">
      <w:pPr>
        <w:pStyle w:val="Normal1"/>
        <w:jc w:val="both"/>
        <w:rPr>
          <w:color w:val="auto"/>
          <w:lang w:val="en-US"/>
        </w:rPr>
      </w:pPr>
      <w:r w:rsidRPr="006353B9">
        <w:rPr>
          <w:color w:val="auto"/>
          <w:lang w:val="en-US"/>
        </w:rPr>
        <w:t>safety profile of the experimental arm compared to standard of care.</w:t>
      </w:r>
    </w:p>
    <w:p w:rsidR="003B167F" w:rsidRPr="006353B9" w:rsidRDefault="003B167F" w:rsidP="003B167F">
      <w:pPr>
        <w:pStyle w:val="Normal1"/>
        <w:jc w:val="both"/>
        <w:rPr>
          <w:color w:val="auto"/>
          <w:lang w:val="en-US"/>
        </w:rPr>
      </w:pPr>
      <w:r w:rsidRPr="006353B9">
        <w:rPr>
          <w:color w:val="auto"/>
          <w:lang w:val="en-US"/>
        </w:rPr>
        <w:t>In the experimental arm, alternating treatment consisted of repeating cycles of 24 weeks</w:t>
      </w:r>
    </w:p>
    <w:p w:rsidR="003B167F" w:rsidRPr="006353B9" w:rsidRDefault="003B167F" w:rsidP="003B167F">
      <w:pPr>
        <w:pStyle w:val="Normal1"/>
        <w:jc w:val="both"/>
        <w:rPr>
          <w:color w:val="auto"/>
          <w:lang w:val="en-US"/>
        </w:rPr>
      </w:pPr>
      <w:r w:rsidRPr="006353B9">
        <w:rPr>
          <w:color w:val="auto"/>
          <w:lang w:val="en-US"/>
        </w:rPr>
        <w:t xml:space="preserve">of treatment consisting of 12 weeks of </w:t>
      </w:r>
      <w:proofErr w:type="spellStart"/>
      <w:r w:rsidRPr="006353B9">
        <w:rPr>
          <w:color w:val="auto"/>
          <w:lang w:val="en-US"/>
        </w:rPr>
        <w:t>sunitinib</w:t>
      </w:r>
      <w:proofErr w:type="spellEnd"/>
      <w:r w:rsidRPr="006353B9">
        <w:rPr>
          <w:color w:val="auto"/>
          <w:lang w:val="en-US"/>
        </w:rPr>
        <w:t xml:space="preserve"> 4weeks on 2 weeks off, 50 mg </w:t>
      </w:r>
      <w:proofErr w:type="spellStart"/>
      <w:r w:rsidRPr="006353B9">
        <w:rPr>
          <w:color w:val="auto"/>
          <w:lang w:val="en-US"/>
        </w:rPr>
        <w:t>pd</w:t>
      </w:r>
      <w:proofErr w:type="spellEnd"/>
      <w:r>
        <w:rPr>
          <w:color w:val="auto"/>
          <w:lang w:val="en-US"/>
        </w:rPr>
        <w:t xml:space="preserve"> </w:t>
      </w:r>
      <w:r w:rsidRPr="006353B9">
        <w:rPr>
          <w:color w:val="auto"/>
          <w:lang w:val="en-US"/>
        </w:rPr>
        <w:t xml:space="preserve">followed by 12 weeks of </w:t>
      </w:r>
      <w:proofErr w:type="spellStart"/>
      <w:r w:rsidRPr="006353B9">
        <w:rPr>
          <w:color w:val="auto"/>
          <w:lang w:val="en-US"/>
        </w:rPr>
        <w:t>everolimus</w:t>
      </w:r>
      <w:proofErr w:type="spellEnd"/>
      <w:r w:rsidRPr="006353B9">
        <w:rPr>
          <w:color w:val="auto"/>
          <w:lang w:val="en-US"/>
        </w:rPr>
        <w:t xml:space="preserve"> 10 mg per day 11 weeks on 1 week off in patients</w:t>
      </w:r>
      <w:r>
        <w:rPr>
          <w:color w:val="auto"/>
          <w:lang w:val="en-US"/>
        </w:rPr>
        <w:t xml:space="preserve"> </w:t>
      </w:r>
      <w:r w:rsidRPr="006353B9">
        <w:rPr>
          <w:color w:val="auto"/>
          <w:lang w:val="en-US"/>
        </w:rPr>
        <w:t xml:space="preserve">with metastatic clear cell renal cancer. The comparative arm was the standard regimen of </w:t>
      </w:r>
      <w:proofErr w:type="spellStart"/>
      <w:r w:rsidRPr="006353B9">
        <w:rPr>
          <w:color w:val="auto"/>
          <w:lang w:val="en-US"/>
        </w:rPr>
        <w:t>sunitinib</w:t>
      </w:r>
      <w:proofErr w:type="spellEnd"/>
      <w:r w:rsidRPr="006353B9">
        <w:rPr>
          <w:color w:val="auto"/>
          <w:lang w:val="en-US"/>
        </w:rPr>
        <w:t xml:space="preserve"> (50 mg </w:t>
      </w:r>
      <w:proofErr w:type="spellStart"/>
      <w:r w:rsidRPr="006353B9">
        <w:rPr>
          <w:color w:val="auto"/>
          <w:lang w:val="en-US"/>
        </w:rPr>
        <w:t>pd</w:t>
      </w:r>
      <w:proofErr w:type="spellEnd"/>
      <w:r w:rsidRPr="006353B9">
        <w:rPr>
          <w:color w:val="auto"/>
          <w:lang w:val="en-US"/>
        </w:rPr>
        <w:t xml:space="preserve"> 4/2) until progression, followed thereafter by </w:t>
      </w:r>
      <w:proofErr w:type="spellStart"/>
      <w:r w:rsidRPr="006353B9">
        <w:rPr>
          <w:color w:val="auto"/>
          <w:lang w:val="en-US"/>
        </w:rPr>
        <w:t>everolimus</w:t>
      </w:r>
      <w:proofErr w:type="spellEnd"/>
      <w:r w:rsidRPr="006353B9">
        <w:rPr>
          <w:color w:val="auto"/>
          <w:lang w:val="en-US"/>
        </w:rPr>
        <w:t xml:space="preserve"> (10 mg</w:t>
      </w:r>
      <w:r>
        <w:rPr>
          <w:color w:val="auto"/>
          <w:lang w:val="en-US"/>
        </w:rPr>
        <w:t xml:space="preserve"> </w:t>
      </w:r>
      <w:r w:rsidRPr="006353B9">
        <w:rPr>
          <w:color w:val="auto"/>
          <w:lang w:val="en-US"/>
        </w:rPr>
        <w:t>per day continuously) until progression.</w:t>
      </w:r>
    </w:p>
    <w:p w:rsidR="003B167F" w:rsidRPr="006353B9" w:rsidRDefault="003B167F" w:rsidP="003B167F">
      <w:pPr>
        <w:pStyle w:val="Normal1"/>
        <w:jc w:val="both"/>
        <w:rPr>
          <w:b/>
          <w:color w:val="auto"/>
          <w:lang w:val="en-US"/>
        </w:rPr>
      </w:pPr>
    </w:p>
    <w:p w:rsidR="003B167F" w:rsidRPr="00541836" w:rsidRDefault="003B167F" w:rsidP="003B167F">
      <w:pPr>
        <w:pStyle w:val="Normal1"/>
        <w:jc w:val="both"/>
        <w:rPr>
          <w:b/>
          <w:color w:val="auto"/>
          <w:u w:val="single"/>
          <w:lang w:val="en-US"/>
        </w:rPr>
      </w:pPr>
      <w:r w:rsidRPr="00541836">
        <w:rPr>
          <w:b/>
          <w:color w:val="auto"/>
          <w:u w:val="single"/>
          <w:lang w:val="en-US"/>
        </w:rPr>
        <w:t>Main inclusion criteria</w:t>
      </w:r>
    </w:p>
    <w:p w:rsidR="003B167F" w:rsidRPr="006353B9" w:rsidRDefault="003B167F" w:rsidP="006B2C4B">
      <w:pPr>
        <w:pStyle w:val="Normal1"/>
        <w:numPr>
          <w:ilvl w:val="0"/>
          <w:numId w:val="10"/>
        </w:numPr>
        <w:jc w:val="both"/>
        <w:rPr>
          <w:color w:val="auto"/>
          <w:lang w:val="en-US"/>
        </w:rPr>
      </w:pPr>
      <w:r w:rsidRPr="006353B9">
        <w:rPr>
          <w:color w:val="auto"/>
          <w:lang w:val="en-US"/>
        </w:rPr>
        <w:t>Histologically confirmed diagnosis of progressive metastatic predominant clear cell renal cell cancer.</w:t>
      </w:r>
    </w:p>
    <w:p w:rsidR="003B167F" w:rsidRPr="006353B9" w:rsidRDefault="003B167F" w:rsidP="003B167F">
      <w:pPr>
        <w:pStyle w:val="Normal1"/>
        <w:jc w:val="both"/>
        <w:rPr>
          <w:color w:val="auto"/>
          <w:lang w:val="en-US"/>
        </w:rPr>
      </w:pPr>
    </w:p>
    <w:p w:rsidR="003B167F" w:rsidRPr="006353B9" w:rsidRDefault="003B167F" w:rsidP="006B2C4B">
      <w:pPr>
        <w:pStyle w:val="Normal1"/>
        <w:numPr>
          <w:ilvl w:val="0"/>
          <w:numId w:val="10"/>
        </w:numPr>
        <w:jc w:val="both"/>
        <w:rPr>
          <w:color w:val="auto"/>
          <w:lang w:val="en-US"/>
        </w:rPr>
      </w:pPr>
      <w:r w:rsidRPr="006353B9">
        <w:rPr>
          <w:color w:val="auto"/>
          <w:lang w:val="en-US"/>
        </w:rPr>
        <w:t>Evaluable disease.</w:t>
      </w:r>
    </w:p>
    <w:p w:rsidR="003B167F" w:rsidRPr="006353B9" w:rsidRDefault="003B167F" w:rsidP="003B167F">
      <w:pPr>
        <w:pStyle w:val="Normal1"/>
        <w:jc w:val="both"/>
        <w:rPr>
          <w:color w:val="auto"/>
          <w:lang w:val="en-US"/>
        </w:rPr>
      </w:pPr>
    </w:p>
    <w:p w:rsidR="003B167F" w:rsidRPr="006353B9" w:rsidRDefault="003B167F" w:rsidP="006B2C4B">
      <w:pPr>
        <w:pStyle w:val="Normal1"/>
        <w:numPr>
          <w:ilvl w:val="0"/>
          <w:numId w:val="10"/>
        </w:numPr>
        <w:jc w:val="both"/>
        <w:rPr>
          <w:color w:val="auto"/>
          <w:lang w:val="en-US"/>
        </w:rPr>
      </w:pPr>
      <w:r w:rsidRPr="006353B9">
        <w:rPr>
          <w:rFonts w:eastAsia="Arial Unicode MS"/>
          <w:color w:val="auto"/>
          <w:lang w:val="en-US"/>
        </w:rPr>
        <w:t>No prior systemic treatment. But adjuvant treatment is ok if stopped from ≥ 24 months</w:t>
      </w:r>
    </w:p>
    <w:p w:rsidR="003B167F" w:rsidRPr="006353B9" w:rsidRDefault="003B167F" w:rsidP="003B167F">
      <w:pPr>
        <w:pStyle w:val="Normal1"/>
        <w:jc w:val="both"/>
        <w:rPr>
          <w:color w:val="auto"/>
          <w:lang w:val="en-US"/>
        </w:rPr>
      </w:pPr>
    </w:p>
    <w:p w:rsidR="003B167F" w:rsidRPr="00541836" w:rsidRDefault="003B167F" w:rsidP="003B167F">
      <w:pPr>
        <w:pStyle w:val="Normal1"/>
        <w:jc w:val="both"/>
        <w:rPr>
          <w:b/>
          <w:color w:val="auto"/>
          <w:u w:val="single"/>
          <w:lang w:val="en-US"/>
        </w:rPr>
      </w:pPr>
      <w:r w:rsidRPr="00541836">
        <w:rPr>
          <w:b/>
          <w:color w:val="auto"/>
          <w:u w:val="single"/>
          <w:lang w:val="en-US"/>
        </w:rPr>
        <w:t>Main exclusion criteria</w:t>
      </w:r>
    </w:p>
    <w:p w:rsidR="003B167F" w:rsidRPr="006353B9" w:rsidRDefault="003B167F" w:rsidP="006B2C4B">
      <w:pPr>
        <w:pStyle w:val="Normal1"/>
        <w:numPr>
          <w:ilvl w:val="0"/>
          <w:numId w:val="11"/>
        </w:numPr>
        <w:jc w:val="both"/>
        <w:rPr>
          <w:color w:val="auto"/>
          <w:lang w:val="en-US"/>
        </w:rPr>
      </w:pPr>
      <w:r w:rsidRPr="006353B9">
        <w:rPr>
          <w:color w:val="auto"/>
          <w:lang w:val="en-US"/>
        </w:rPr>
        <w:t>Any malignancy within the previous 5 years.</w:t>
      </w:r>
    </w:p>
    <w:p w:rsidR="003B167F" w:rsidRPr="006353B9" w:rsidRDefault="003B167F" w:rsidP="003B167F">
      <w:pPr>
        <w:pStyle w:val="Normal1"/>
        <w:jc w:val="both"/>
        <w:rPr>
          <w:color w:val="auto"/>
          <w:lang w:val="en-US"/>
        </w:rPr>
      </w:pPr>
    </w:p>
    <w:p w:rsidR="003B167F" w:rsidRPr="006353B9" w:rsidRDefault="003B167F" w:rsidP="006B2C4B">
      <w:pPr>
        <w:pStyle w:val="Normal1"/>
        <w:numPr>
          <w:ilvl w:val="0"/>
          <w:numId w:val="11"/>
        </w:numPr>
        <w:jc w:val="both"/>
        <w:rPr>
          <w:color w:val="auto"/>
          <w:lang w:val="en-US"/>
        </w:rPr>
      </w:pPr>
      <w:r w:rsidRPr="006353B9">
        <w:rPr>
          <w:color w:val="auto"/>
          <w:lang w:val="en-US"/>
        </w:rPr>
        <w:t>Recent cardiovascular event, bleeding disorder.</w:t>
      </w:r>
    </w:p>
    <w:p w:rsidR="003B167F" w:rsidRPr="006353B9" w:rsidRDefault="003B167F" w:rsidP="003B167F">
      <w:pPr>
        <w:pStyle w:val="Normal1"/>
        <w:jc w:val="both"/>
        <w:rPr>
          <w:color w:val="auto"/>
          <w:lang w:val="en-US"/>
        </w:rPr>
      </w:pPr>
    </w:p>
    <w:p w:rsidR="003B167F" w:rsidRPr="006353B9" w:rsidRDefault="003B167F" w:rsidP="006B2C4B">
      <w:pPr>
        <w:pStyle w:val="Normal1"/>
        <w:numPr>
          <w:ilvl w:val="0"/>
          <w:numId w:val="11"/>
        </w:numPr>
        <w:jc w:val="both"/>
        <w:rPr>
          <w:color w:val="auto"/>
          <w:lang w:val="en-US"/>
        </w:rPr>
      </w:pPr>
      <w:r w:rsidRPr="006353B9">
        <w:rPr>
          <w:color w:val="auto"/>
          <w:lang w:val="en-US"/>
        </w:rPr>
        <w:t>Use of any targeted therapy for the metastatic disease</w:t>
      </w:r>
    </w:p>
    <w:p w:rsidR="003B167F" w:rsidRPr="006353B9" w:rsidRDefault="003B167F" w:rsidP="003B167F">
      <w:pPr>
        <w:pStyle w:val="Normal1"/>
        <w:jc w:val="both"/>
        <w:rPr>
          <w:color w:val="auto"/>
          <w:lang w:val="en-US"/>
        </w:rPr>
      </w:pPr>
    </w:p>
    <w:p w:rsidR="003B167F" w:rsidRPr="006353B9" w:rsidRDefault="003B167F" w:rsidP="006B2C4B">
      <w:pPr>
        <w:pStyle w:val="Normal1"/>
        <w:numPr>
          <w:ilvl w:val="0"/>
          <w:numId w:val="11"/>
        </w:numPr>
        <w:jc w:val="both"/>
        <w:rPr>
          <w:color w:val="auto"/>
          <w:lang w:val="en-US"/>
        </w:rPr>
      </w:pPr>
      <w:r w:rsidRPr="006353B9">
        <w:rPr>
          <w:color w:val="auto"/>
          <w:lang w:val="en-US"/>
        </w:rPr>
        <w:t>Active/symptomatic brain metastasis.</w:t>
      </w:r>
    </w:p>
    <w:p w:rsidR="003B167F" w:rsidRPr="006353B9" w:rsidRDefault="003B167F" w:rsidP="003B167F">
      <w:pPr>
        <w:pStyle w:val="Normal1"/>
        <w:jc w:val="both"/>
        <w:rPr>
          <w:color w:val="auto"/>
          <w:lang w:val="en-US"/>
        </w:rPr>
      </w:pPr>
    </w:p>
    <w:p w:rsidR="003B167F" w:rsidRPr="00541836" w:rsidRDefault="003B167F" w:rsidP="003B167F">
      <w:pPr>
        <w:pStyle w:val="Normal1"/>
        <w:jc w:val="both"/>
        <w:rPr>
          <w:b/>
          <w:color w:val="auto"/>
          <w:u w:val="single"/>
          <w:lang w:val="en-US"/>
        </w:rPr>
      </w:pPr>
      <w:r w:rsidRPr="00541836">
        <w:rPr>
          <w:b/>
          <w:color w:val="auto"/>
          <w:u w:val="single"/>
          <w:lang w:val="en-US"/>
        </w:rPr>
        <w:t>Statistical considerations</w:t>
      </w:r>
    </w:p>
    <w:p w:rsidR="00541836" w:rsidRDefault="003B167F" w:rsidP="003B167F">
      <w:pPr>
        <w:pStyle w:val="Normal1"/>
        <w:jc w:val="both"/>
        <w:rPr>
          <w:color w:val="auto"/>
          <w:lang w:val="en-US"/>
        </w:rPr>
      </w:pPr>
      <w:r w:rsidRPr="006353B9">
        <w:rPr>
          <w:color w:val="auto"/>
          <w:lang w:val="en-US"/>
        </w:rPr>
        <w:t>The primary objective of this study was to assess whether the rotational arm has anti-tumor activity, higher than the standard arm. The primary endpoint was the progression-free survival rate at 1 year in each</w:t>
      </w:r>
      <w:r>
        <w:rPr>
          <w:color w:val="auto"/>
          <w:lang w:val="en-US"/>
        </w:rPr>
        <w:t xml:space="preserve"> </w:t>
      </w:r>
      <w:r w:rsidRPr="006353B9">
        <w:rPr>
          <w:color w:val="auto"/>
          <w:lang w:val="en-US"/>
        </w:rPr>
        <w:t>arm.</w:t>
      </w:r>
    </w:p>
    <w:p w:rsidR="00541836" w:rsidRDefault="00541836"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 xml:space="preserve">In clear-cell renal cell carcinoma, the current standard approach of first line </w:t>
      </w:r>
      <w:proofErr w:type="spellStart"/>
      <w:r w:rsidRPr="006353B9">
        <w:rPr>
          <w:color w:val="auto"/>
          <w:lang w:val="en-US"/>
        </w:rPr>
        <w:t>sunitinib</w:t>
      </w:r>
      <w:proofErr w:type="spellEnd"/>
      <w:r>
        <w:rPr>
          <w:color w:val="auto"/>
          <w:lang w:val="en-US"/>
        </w:rPr>
        <w:t xml:space="preserve"> </w:t>
      </w:r>
      <w:r w:rsidRPr="006353B9">
        <w:rPr>
          <w:color w:val="auto"/>
          <w:lang w:val="en-US"/>
        </w:rPr>
        <w:t>yields a PFS of approximately 10 months. For this study, it was determined that if the</w:t>
      </w:r>
      <w:r>
        <w:rPr>
          <w:color w:val="auto"/>
          <w:lang w:val="en-US"/>
        </w:rPr>
        <w:t xml:space="preserve"> </w:t>
      </w:r>
      <w:r w:rsidRPr="006353B9">
        <w:rPr>
          <w:color w:val="auto"/>
          <w:lang w:val="en-US"/>
        </w:rPr>
        <w:t xml:space="preserve">experimental arm (alternating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yields a PFS of around 15 months</w:t>
      </w:r>
    </w:p>
    <w:p w:rsidR="003B167F" w:rsidRPr="006353B9" w:rsidRDefault="003B167F" w:rsidP="003B167F">
      <w:pPr>
        <w:pStyle w:val="Normal1"/>
        <w:jc w:val="both"/>
        <w:rPr>
          <w:color w:val="auto"/>
          <w:lang w:val="en-US"/>
        </w:rPr>
      </w:pPr>
      <w:r w:rsidRPr="006353B9">
        <w:rPr>
          <w:color w:val="auto"/>
          <w:lang w:val="en-US"/>
        </w:rPr>
        <w:t xml:space="preserve">then this regimen would deserve to be further explored. </w:t>
      </w:r>
      <w:proofErr w:type="gramStart"/>
      <w:r w:rsidRPr="006353B9">
        <w:rPr>
          <w:color w:val="auto"/>
          <w:lang w:val="en-US"/>
        </w:rPr>
        <w:t>In order to</w:t>
      </w:r>
      <w:proofErr w:type="gramEnd"/>
      <w:r w:rsidRPr="006353B9">
        <w:rPr>
          <w:color w:val="auto"/>
          <w:lang w:val="en-US"/>
        </w:rPr>
        <w:t xml:space="preserve"> control whether the initial</w:t>
      </w:r>
      <w:r>
        <w:rPr>
          <w:color w:val="auto"/>
          <w:lang w:val="en-US"/>
        </w:rPr>
        <w:t xml:space="preserve"> </w:t>
      </w:r>
      <w:r w:rsidRPr="006353B9">
        <w:rPr>
          <w:color w:val="auto"/>
          <w:lang w:val="en-US"/>
        </w:rPr>
        <w:t>assumption of a PFS of 10 months induced by the standard arm (</w:t>
      </w:r>
      <w:proofErr w:type="spellStart"/>
      <w:r w:rsidRPr="006353B9">
        <w:rPr>
          <w:color w:val="auto"/>
          <w:lang w:val="en-US"/>
        </w:rPr>
        <w:t>sunitinib</w:t>
      </w:r>
      <w:proofErr w:type="spellEnd"/>
      <w:r w:rsidRPr="006353B9">
        <w:rPr>
          <w:color w:val="auto"/>
          <w:lang w:val="en-US"/>
        </w:rPr>
        <w:t>) applies to the</w:t>
      </w:r>
      <w:r>
        <w:rPr>
          <w:color w:val="auto"/>
          <w:lang w:val="en-US"/>
        </w:rPr>
        <w:t xml:space="preserve"> </w:t>
      </w:r>
      <w:r w:rsidRPr="006353B9">
        <w:rPr>
          <w:color w:val="auto"/>
          <w:lang w:val="en-US"/>
        </w:rPr>
        <w:t>population included in this study, this study was conducted in a randomized setting to plan to allocate 85 patients to the investigational arm and 43 patients in the control arm</w:t>
      </w:r>
    </w:p>
    <w:p w:rsidR="003B167F" w:rsidRPr="006353B9" w:rsidRDefault="003B167F" w:rsidP="003B167F">
      <w:pPr>
        <w:pStyle w:val="Normal1"/>
        <w:jc w:val="both"/>
        <w:rPr>
          <w:color w:val="auto"/>
          <w:lang w:val="en-US"/>
        </w:rPr>
      </w:pPr>
      <w:r w:rsidRPr="006353B9">
        <w:rPr>
          <w:color w:val="auto"/>
          <w:lang w:val="en-US"/>
        </w:rPr>
        <w:t>(allocation ratio= 2:1). This control arm would help to compare safety and toxicity</w:t>
      </w:r>
      <w:r>
        <w:rPr>
          <w:color w:val="auto"/>
          <w:lang w:val="en-US"/>
        </w:rPr>
        <w:t xml:space="preserve"> </w:t>
      </w:r>
      <w:r w:rsidRPr="006353B9">
        <w:rPr>
          <w:color w:val="auto"/>
          <w:lang w:val="en-US"/>
        </w:rPr>
        <w:t>profiles.</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lastRenderedPageBreak/>
        <w:t>Simon’s Optimum two stage design was used for the investigational arm with 80%</w:t>
      </w:r>
      <w:r>
        <w:rPr>
          <w:color w:val="auto"/>
          <w:lang w:val="en-US"/>
        </w:rPr>
        <w:t xml:space="preserve"> </w:t>
      </w:r>
      <w:r w:rsidRPr="006353B9">
        <w:rPr>
          <w:color w:val="auto"/>
          <w:lang w:val="en-US"/>
        </w:rPr>
        <w:t xml:space="preserve">power to demonstrate an increase in </w:t>
      </w:r>
      <w:r w:rsidR="00541836" w:rsidRPr="006353B9">
        <w:rPr>
          <w:color w:val="auto"/>
          <w:lang w:val="en-US"/>
        </w:rPr>
        <w:t>1-year</w:t>
      </w:r>
      <w:r w:rsidRPr="006353B9">
        <w:rPr>
          <w:color w:val="auto"/>
          <w:lang w:val="en-US"/>
        </w:rPr>
        <w:t xml:space="preserve"> PFS rate to 58% compared to 43% in the</w:t>
      </w:r>
      <w:r>
        <w:rPr>
          <w:color w:val="auto"/>
          <w:lang w:val="en-US"/>
        </w:rPr>
        <w:t xml:space="preserve"> </w:t>
      </w:r>
      <w:r w:rsidRPr="006353B9">
        <w:rPr>
          <w:color w:val="auto"/>
          <w:lang w:val="en-US"/>
        </w:rPr>
        <w:t>control arm.</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No formal design was employed for the standard arm; it acted as control especially</w:t>
      </w:r>
      <w:r w:rsidR="009A2182">
        <w:rPr>
          <w:color w:val="auto"/>
          <w:lang w:val="en-US"/>
        </w:rPr>
        <w:t xml:space="preserve"> </w:t>
      </w:r>
      <w:r w:rsidRPr="006353B9">
        <w:rPr>
          <w:color w:val="auto"/>
          <w:lang w:val="en-US"/>
        </w:rPr>
        <w:t>in case of poor response for the investigational drug, to ascertain the possible presence of</w:t>
      </w:r>
      <w:r>
        <w:rPr>
          <w:color w:val="auto"/>
          <w:lang w:val="en-US"/>
        </w:rPr>
        <w:t xml:space="preserve"> </w:t>
      </w:r>
      <w:r w:rsidRPr="006353B9">
        <w:rPr>
          <w:color w:val="auto"/>
          <w:lang w:val="en-US"/>
        </w:rPr>
        <w:t>selection bias in the patient population. This would have been case if the response rate for the</w:t>
      </w:r>
      <w:r w:rsidR="00541836">
        <w:rPr>
          <w:color w:val="auto"/>
          <w:lang w:val="en-US"/>
        </w:rPr>
        <w:t xml:space="preserve"> </w:t>
      </w:r>
      <w:r w:rsidRPr="006353B9">
        <w:rPr>
          <w:color w:val="auto"/>
          <w:lang w:val="en-US"/>
        </w:rPr>
        <w:t xml:space="preserve">sequence </w:t>
      </w:r>
      <w:proofErr w:type="spellStart"/>
      <w:r w:rsidRPr="006353B9">
        <w:rPr>
          <w:color w:val="auto"/>
          <w:lang w:val="en-US"/>
        </w:rPr>
        <w:t>sunitinib-everolimus</w:t>
      </w:r>
      <w:proofErr w:type="spellEnd"/>
      <w:r w:rsidRPr="006353B9">
        <w:rPr>
          <w:color w:val="auto"/>
          <w:lang w:val="en-US"/>
        </w:rPr>
        <w:t xml:space="preserve"> is notably lower that 43%.</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roofErr w:type="gramStart"/>
      <w:r w:rsidRPr="006353B9">
        <w:rPr>
          <w:color w:val="auto"/>
          <w:lang w:val="en-US"/>
        </w:rPr>
        <w:t>In order to</w:t>
      </w:r>
      <w:proofErr w:type="gramEnd"/>
      <w:r w:rsidRPr="006353B9">
        <w:rPr>
          <w:color w:val="auto"/>
          <w:lang w:val="en-US"/>
        </w:rPr>
        <w:t xml:space="preserve"> compensate for non-evaluable patients, a surplus of 5% would be included</w:t>
      </w:r>
      <w:r w:rsidR="009A2182">
        <w:rPr>
          <w:color w:val="auto"/>
          <w:lang w:val="en-US"/>
        </w:rPr>
        <w:t xml:space="preserve"> </w:t>
      </w:r>
      <w:r w:rsidRPr="006353B9">
        <w:rPr>
          <w:color w:val="auto"/>
          <w:lang w:val="en-US"/>
        </w:rPr>
        <w:t>meaning that in total 135 patients will be included in this study.</w:t>
      </w:r>
    </w:p>
    <w:p w:rsidR="00E36289" w:rsidRDefault="00E36289">
      <w:pPr>
        <w:spacing w:after="160" w:line="240" w:lineRule="auto"/>
        <w:jc w:val="both"/>
        <w:rPr>
          <w:color w:val="auto"/>
          <w:lang w:val="en-US"/>
        </w:rPr>
      </w:pPr>
      <w:r>
        <w:rPr>
          <w:color w:val="auto"/>
          <w:lang w:val="en-US"/>
        </w:rPr>
        <w:br w:type="page"/>
      </w:r>
    </w:p>
    <w:p w:rsidR="003B167F" w:rsidRPr="006353B9" w:rsidRDefault="00E36289" w:rsidP="00E36289">
      <w:pPr>
        <w:pStyle w:val="Heading1"/>
      </w:pPr>
      <w:bookmarkStart w:id="2" w:name="_Toc501022015"/>
      <w:r>
        <w:lastRenderedPageBreak/>
        <w:t>TABLE OF CONTENTS</w:t>
      </w:r>
      <w:bookmarkEnd w:id="2"/>
    </w:p>
    <w:sdt>
      <w:sdtPr>
        <w:rPr>
          <w:rFonts w:ascii="Arial" w:eastAsia="Arial" w:hAnsi="Arial" w:cs="Arial"/>
          <w:color w:val="000000"/>
          <w:sz w:val="22"/>
          <w:szCs w:val="22"/>
          <w:lang w:val="ru-RU" w:eastAsia="ru-RU"/>
        </w:rPr>
        <w:id w:val="-185292465"/>
        <w:docPartObj>
          <w:docPartGallery w:val="Table of Contents"/>
          <w:docPartUnique/>
        </w:docPartObj>
      </w:sdtPr>
      <w:sdtEndPr>
        <w:rPr>
          <w:b/>
          <w:bCs/>
          <w:noProof/>
        </w:rPr>
      </w:sdtEndPr>
      <w:sdtContent>
        <w:p w:rsidR="00E36289" w:rsidRPr="00E36289" w:rsidRDefault="00E36289">
          <w:pPr>
            <w:pStyle w:val="TOCHeading"/>
            <w:rPr>
              <w:sz w:val="8"/>
            </w:rPr>
          </w:pPr>
        </w:p>
        <w:p w:rsidR="00382F92" w:rsidRDefault="00E36289">
          <w:pPr>
            <w:pStyle w:val="TOC1"/>
            <w:tabs>
              <w:tab w:val="left" w:pos="660"/>
              <w:tab w:val="right" w:leader="dot" w:pos="8610"/>
            </w:tabs>
            <w:rPr>
              <w:rFonts w:eastAsiaTheme="minorEastAsia" w:cstheme="minorBidi"/>
              <w:b w:val="0"/>
              <w:bCs w:val="0"/>
              <w:iCs w:val="0"/>
              <w:noProof/>
              <w:color w:val="auto"/>
              <w:sz w:val="22"/>
              <w:szCs w:val="22"/>
              <w:lang w:val="en-US" w:eastAsia="en-US"/>
            </w:rPr>
          </w:pPr>
          <w:r>
            <w:fldChar w:fldCharType="begin"/>
          </w:r>
          <w:r>
            <w:instrText xml:space="preserve"> TOC \o "1-3" \h \z \u </w:instrText>
          </w:r>
          <w:r>
            <w:fldChar w:fldCharType="separate"/>
          </w:r>
          <w:hyperlink w:anchor="_Toc501022013" w:history="1">
            <w:r w:rsidR="00382F92" w:rsidRPr="003F19FB">
              <w:rPr>
                <w:rStyle w:val="Hyperlink"/>
                <w:noProof/>
              </w:rPr>
              <w:t>1.</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TITLE PAGE</w:t>
            </w:r>
            <w:r w:rsidR="00382F92">
              <w:rPr>
                <w:noProof/>
                <w:webHidden/>
              </w:rPr>
              <w:tab/>
            </w:r>
            <w:r w:rsidR="00382F92">
              <w:rPr>
                <w:noProof/>
                <w:webHidden/>
              </w:rPr>
              <w:fldChar w:fldCharType="begin"/>
            </w:r>
            <w:r w:rsidR="00382F92">
              <w:rPr>
                <w:noProof/>
                <w:webHidden/>
              </w:rPr>
              <w:instrText xml:space="preserve"> PAGEREF _Toc501022013 \h </w:instrText>
            </w:r>
            <w:r w:rsidR="00382F92">
              <w:rPr>
                <w:noProof/>
                <w:webHidden/>
              </w:rPr>
            </w:r>
            <w:r w:rsidR="00382F92">
              <w:rPr>
                <w:noProof/>
                <w:webHidden/>
              </w:rPr>
              <w:fldChar w:fldCharType="separate"/>
            </w:r>
            <w:r w:rsidR="00EC010D">
              <w:rPr>
                <w:noProof/>
                <w:webHidden/>
              </w:rPr>
              <w:t>1</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14" w:history="1">
            <w:r w:rsidR="00382F92" w:rsidRPr="003F19FB">
              <w:rPr>
                <w:rStyle w:val="Hyperlink"/>
                <w:noProof/>
              </w:rPr>
              <w:t>2.</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SYNOPSIS</w:t>
            </w:r>
            <w:r w:rsidR="00382F92">
              <w:rPr>
                <w:noProof/>
                <w:webHidden/>
              </w:rPr>
              <w:tab/>
            </w:r>
            <w:r w:rsidR="00382F92">
              <w:rPr>
                <w:noProof/>
                <w:webHidden/>
              </w:rPr>
              <w:fldChar w:fldCharType="begin"/>
            </w:r>
            <w:r w:rsidR="00382F92">
              <w:rPr>
                <w:noProof/>
                <w:webHidden/>
              </w:rPr>
              <w:instrText xml:space="preserve"> PAGEREF _Toc501022014 \h </w:instrText>
            </w:r>
            <w:r w:rsidR="00382F92">
              <w:rPr>
                <w:noProof/>
                <w:webHidden/>
              </w:rPr>
            </w:r>
            <w:r w:rsidR="00382F92">
              <w:rPr>
                <w:noProof/>
                <w:webHidden/>
              </w:rPr>
              <w:fldChar w:fldCharType="separate"/>
            </w:r>
            <w:r w:rsidR="00EC010D">
              <w:rPr>
                <w:noProof/>
                <w:webHidden/>
              </w:rPr>
              <w:t>4</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15" w:history="1">
            <w:r w:rsidR="00382F92" w:rsidRPr="003F19FB">
              <w:rPr>
                <w:rStyle w:val="Hyperlink"/>
                <w:noProof/>
              </w:rPr>
              <w:t>3.</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TABLE OF CONTENTS</w:t>
            </w:r>
            <w:r w:rsidR="00382F92">
              <w:rPr>
                <w:noProof/>
                <w:webHidden/>
              </w:rPr>
              <w:tab/>
            </w:r>
            <w:r w:rsidR="00382F92">
              <w:rPr>
                <w:noProof/>
                <w:webHidden/>
              </w:rPr>
              <w:fldChar w:fldCharType="begin"/>
            </w:r>
            <w:r w:rsidR="00382F92">
              <w:rPr>
                <w:noProof/>
                <w:webHidden/>
              </w:rPr>
              <w:instrText xml:space="preserve"> PAGEREF _Toc501022015 \h </w:instrText>
            </w:r>
            <w:r w:rsidR="00382F92">
              <w:rPr>
                <w:noProof/>
                <w:webHidden/>
              </w:rPr>
            </w:r>
            <w:r w:rsidR="00382F92">
              <w:rPr>
                <w:noProof/>
                <w:webHidden/>
              </w:rPr>
              <w:fldChar w:fldCharType="separate"/>
            </w:r>
            <w:r w:rsidR="00EC010D">
              <w:rPr>
                <w:noProof/>
                <w:webHidden/>
              </w:rPr>
              <w:t>8</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16" w:history="1">
            <w:r w:rsidR="00382F92" w:rsidRPr="003F19FB">
              <w:rPr>
                <w:rStyle w:val="Hyperlink"/>
                <w:noProof/>
              </w:rPr>
              <w:t>4.</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LIST OF ABBREVIATIONS</w:t>
            </w:r>
            <w:r w:rsidR="00382F92">
              <w:rPr>
                <w:noProof/>
                <w:webHidden/>
              </w:rPr>
              <w:tab/>
            </w:r>
            <w:r w:rsidR="00382F92">
              <w:rPr>
                <w:noProof/>
                <w:webHidden/>
              </w:rPr>
              <w:fldChar w:fldCharType="begin"/>
            </w:r>
            <w:r w:rsidR="00382F92">
              <w:rPr>
                <w:noProof/>
                <w:webHidden/>
              </w:rPr>
              <w:instrText xml:space="preserve"> PAGEREF _Toc501022016 \h </w:instrText>
            </w:r>
            <w:r w:rsidR="00382F92">
              <w:rPr>
                <w:noProof/>
                <w:webHidden/>
              </w:rPr>
            </w:r>
            <w:r w:rsidR="00382F92">
              <w:rPr>
                <w:noProof/>
                <w:webHidden/>
              </w:rPr>
              <w:fldChar w:fldCharType="separate"/>
            </w:r>
            <w:r w:rsidR="00EC010D">
              <w:rPr>
                <w:noProof/>
                <w:webHidden/>
              </w:rPr>
              <w:t>10</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17" w:history="1">
            <w:r w:rsidR="00382F92" w:rsidRPr="003F19FB">
              <w:rPr>
                <w:rStyle w:val="Hyperlink"/>
                <w:noProof/>
              </w:rPr>
              <w:t>5.</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ETHICS</w:t>
            </w:r>
            <w:r w:rsidR="00382F92">
              <w:rPr>
                <w:noProof/>
                <w:webHidden/>
              </w:rPr>
              <w:tab/>
            </w:r>
            <w:r w:rsidR="00382F92">
              <w:rPr>
                <w:noProof/>
                <w:webHidden/>
              </w:rPr>
              <w:fldChar w:fldCharType="begin"/>
            </w:r>
            <w:r w:rsidR="00382F92">
              <w:rPr>
                <w:noProof/>
                <w:webHidden/>
              </w:rPr>
              <w:instrText xml:space="preserve"> PAGEREF _Toc501022017 \h </w:instrText>
            </w:r>
            <w:r w:rsidR="00382F92">
              <w:rPr>
                <w:noProof/>
                <w:webHidden/>
              </w:rPr>
            </w:r>
            <w:r w:rsidR="00382F92">
              <w:rPr>
                <w:noProof/>
                <w:webHidden/>
              </w:rPr>
              <w:fldChar w:fldCharType="separate"/>
            </w:r>
            <w:r w:rsidR="00EC010D">
              <w:rPr>
                <w:noProof/>
                <w:webHidden/>
              </w:rPr>
              <w:t>13</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18" w:history="1">
            <w:r w:rsidR="00382F92" w:rsidRPr="003F19FB">
              <w:rPr>
                <w:rStyle w:val="Hyperlink"/>
                <w:noProof/>
              </w:rPr>
              <w:t>5.1</w:t>
            </w:r>
            <w:r w:rsidR="00382F92">
              <w:rPr>
                <w:rFonts w:eastAsiaTheme="minorEastAsia" w:cstheme="minorBidi"/>
                <w:b w:val="0"/>
                <w:bCs w:val="0"/>
                <w:caps w:val="0"/>
                <w:noProof/>
                <w:color w:val="auto"/>
              </w:rPr>
              <w:tab/>
            </w:r>
            <w:r w:rsidR="00382F92" w:rsidRPr="003F19FB">
              <w:rPr>
                <w:rStyle w:val="Hyperlink"/>
                <w:noProof/>
              </w:rPr>
              <w:t>Independent Ethics Committee (IEC) or Institutional Review Board (IRB)</w:t>
            </w:r>
            <w:r w:rsidR="00382F92">
              <w:rPr>
                <w:noProof/>
                <w:webHidden/>
              </w:rPr>
              <w:tab/>
            </w:r>
            <w:r w:rsidR="00382F92">
              <w:rPr>
                <w:noProof/>
                <w:webHidden/>
              </w:rPr>
              <w:fldChar w:fldCharType="begin"/>
            </w:r>
            <w:r w:rsidR="00382F92">
              <w:rPr>
                <w:noProof/>
                <w:webHidden/>
              </w:rPr>
              <w:instrText xml:space="preserve"> PAGEREF _Toc501022018 \h </w:instrText>
            </w:r>
            <w:r w:rsidR="00382F92">
              <w:rPr>
                <w:noProof/>
                <w:webHidden/>
              </w:rPr>
            </w:r>
            <w:r w:rsidR="00382F92">
              <w:rPr>
                <w:noProof/>
                <w:webHidden/>
              </w:rPr>
              <w:fldChar w:fldCharType="separate"/>
            </w:r>
            <w:r w:rsidR="00EC010D">
              <w:rPr>
                <w:noProof/>
                <w:webHidden/>
              </w:rPr>
              <w:t>13</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19" w:history="1">
            <w:r w:rsidR="00382F92" w:rsidRPr="003F19FB">
              <w:rPr>
                <w:rStyle w:val="Hyperlink"/>
                <w:noProof/>
              </w:rPr>
              <w:t>5.2</w:t>
            </w:r>
            <w:r w:rsidR="00382F92">
              <w:rPr>
                <w:rFonts w:eastAsiaTheme="minorEastAsia" w:cstheme="minorBidi"/>
                <w:b w:val="0"/>
                <w:bCs w:val="0"/>
                <w:caps w:val="0"/>
                <w:noProof/>
                <w:color w:val="auto"/>
              </w:rPr>
              <w:tab/>
            </w:r>
            <w:r w:rsidR="00382F92" w:rsidRPr="003F19FB">
              <w:rPr>
                <w:rStyle w:val="Hyperlink"/>
                <w:noProof/>
              </w:rPr>
              <w:t>Ethical Conduct of the Study</w:t>
            </w:r>
            <w:r w:rsidR="00382F92">
              <w:rPr>
                <w:noProof/>
                <w:webHidden/>
              </w:rPr>
              <w:tab/>
            </w:r>
            <w:r w:rsidR="00382F92">
              <w:rPr>
                <w:noProof/>
                <w:webHidden/>
              </w:rPr>
              <w:fldChar w:fldCharType="begin"/>
            </w:r>
            <w:r w:rsidR="00382F92">
              <w:rPr>
                <w:noProof/>
                <w:webHidden/>
              </w:rPr>
              <w:instrText xml:space="preserve"> PAGEREF _Toc501022019 \h </w:instrText>
            </w:r>
            <w:r w:rsidR="00382F92">
              <w:rPr>
                <w:noProof/>
                <w:webHidden/>
              </w:rPr>
            </w:r>
            <w:r w:rsidR="00382F92">
              <w:rPr>
                <w:noProof/>
                <w:webHidden/>
              </w:rPr>
              <w:fldChar w:fldCharType="separate"/>
            </w:r>
            <w:r w:rsidR="00EC010D">
              <w:rPr>
                <w:noProof/>
                <w:webHidden/>
              </w:rPr>
              <w:t>13</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0" w:history="1">
            <w:r w:rsidR="00382F92" w:rsidRPr="003F19FB">
              <w:rPr>
                <w:rStyle w:val="Hyperlink"/>
                <w:noProof/>
              </w:rPr>
              <w:t>5.3</w:t>
            </w:r>
            <w:r w:rsidR="00382F92">
              <w:rPr>
                <w:rFonts w:eastAsiaTheme="minorEastAsia" w:cstheme="minorBidi"/>
                <w:b w:val="0"/>
                <w:bCs w:val="0"/>
                <w:caps w:val="0"/>
                <w:noProof/>
                <w:color w:val="auto"/>
              </w:rPr>
              <w:tab/>
            </w:r>
            <w:r w:rsidR="00382F92" w:rsidRPr="003F19FB">
              <w:rPr>
                <w:rStyle w:val="Hyperlink"/>
                <w:noProof/>
              </w:rPr>
              <w:t>Patient Information and Consent</w:t>
            </w:r>
            <w:r w:rsidR="00382F92">
              <w:rPr>
                <w:noProof/>
                <w:webHidden/>
              </w:rPr>
              <w:tab/>
            </w:r>
            <w:r w:rsidR="00382F92">
              <w:rPr>
                <w:noProof/>
                <w:webHidden/>
              </w:rPr>
              <w:fldChar w:fldCharType="begin"/>
            </w:r>
            <w:r w:rsidR="00382F92">
              <w:rPr>
                <w:noProof/>
                <w:webHidden/>
              </w:rPr>
              <w:instrText xml:space="preserve"> PAGEREF _Toc501022020 \h </w:instrText>
            </w:r>
            <w:r w:rsidR="00382F92">
              <w:rPr>
                <w:noProof/>
                <w:webHidden/>
              </w:rPr>
            </w:r>
            <w:r w:rsidR="00382F92">
              <w:rPr>
                <w:noProof/>
                <w:webHidden/>
              </w:rPr>
              <w:fldChar w:fldCharType="separate"/>
            </w:r>
            <w:r w:rsidR="00EC010D">
              <w:rPr>
                <w:noProof/>
                <w:webHidden/>
              </w:rPr>
              <w:t>13</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21" w:history="1">
            <w:r w:rsidR="00382F92" w:rsidRPr="003F19FB">
              <w:rPr>
                <w:rStyle w:val="Hyperlink"/>
                <w:noProof/>
              </w:rPr>
              <w:t>6.</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INVESTIGATORS AND STUDY ADMINISTRATIVE STRUCTURE</w:t>
            </w:r>
            <w:r w:rsidR="00382F92">
              <w:rPr>
                <w:noProof/>
                <w:webHidden/>
              </w:rPr>
              <w:tab/>
            </w:r>
            <w:r w:rsidR="00382F92">
              <w:rPr>
                <w:noProof/>
                <w:webHidden/>
              </w:rPr>
              <w:fldChar w:fldCharType="begin"/>
            </w:r>
            <w:r w:rsidR="00382F92">
              <w:rPr>
                <w:noProof/>
                <w:webHidden/>
              </w:rPr>
              <w:instrText xml:space="preserve"> PAGEREF _Toc501022021 \h </w:instrText>
            </w:r>
            <w:r w:rsidR="00382F92">
              <w:rPr>
                <w:noProof/>
                <w:webHidden/>
              </w:rPr>
            </w:r>
            <w:r w:rsidR="00382F92">
              <w:rPr>
                <w:noProof/>
                <w:webHidden/>
              </w:rPr>
              <w:fldChar w:fldCharType="separate"/>
            </w:r>
            <w:r w:rsidR="00EC010D">
              <w:rPr>
                <w:noProof/>
                <w:webHidden/>
              </w:rPr>
              <w:t>13</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22" w:history="1">
            <w:r w:rsidR="00382F92" w:rsidRPr="003F19FB">
              <w:rPr>
                <w:rStyle w:val="Hyperlink"/>
                <w:noProof/>
              </w:rPr>
              <w:t>7.</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INTRODUCTION</w:t>
            </w:r>
            <w:r w:rsidR="00382F92">
              <w:rPr>
                <w:noProof/>
                <w:webHidden/>
              </w:rPr>
              <w:tab/>
            </w:r>
            <w:r w:rsidR="00382F92">
              <w:rPr>
                <w:noProof/>
                <w:webHidden/>
              </w:rPr>
              <w:fldChar w:fldCharType="begin"/>
            </w:r>
            <w:r w:rsidR="00382F92">
              <w:rPr>
                <w:noProof/>
                <w:webHidden/>
              </w:rPr>
              <w:instrText xml:space="preserve"> PAGEREF _Toc501022022 \h </w:instrText>
            </w:r>
            <w:r w:rsidR="00382F92">
              <w:rPr>
                <w:noProof/>
                <w:webHidden/>
              </w:rPr>
            </w:r>
            <w:r w:rsidR="00382F92">
              <w:rPr>
                <w:noProof/>
                <w:webHidden/>
              </w:rPr>
              <w:fldChar w:fldCharType="separate"/>
            </w:r>
            <w:r w:rsidR="00EC010D">
              <w:rPr>
                <w:noProof/>
                <w:webHidden/>
              </w:rPr>
              <w:t>14</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23" w:history="1">
            <w:r w:rsidR="00382F92" w:rsidRPr="003F19FB">
              <w:rPr>
                <w:rStyle w:val="Hyperlink"/>
                <w:noProof/>
              </w:rPr>
              <w:t>8.</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STUDY OBJECTIVES</w:t>
            </w:r>
            <w:r w:rsidR="00382F92">
              <w:rPr>
                <w:noProof/>
                <w:webHidden/>
              </w:rPr>
              <w:tab/>
            </w:r>
            <w:r w:rsidR="00382F92">
              <w:rPr>
                <w:noProof/>
                <w:webHidden/>
              </w:rPr>
              <w:fldChar w:fldCharType="begin"/>
            </w:r>
            <w:r w:rsidR="00382F92">
              <w:rPr>
                <w:noProof/>
                <w:webHidden/>
              </w:rPr>
              <w:instrText xml:space="preserve"> PAGEREF _Toc501022023 \h </w:instrText>
            </w:r>
            <w:r w:rsidR="00382F92">
              <w:rPr>
                <w:noProof/>
                <w:webHidden/>
              </w:rPr>
            </w:r>
            <w:r w:rsidR="00382F92">
              <w:rPr>
                <w:noProof/>
                <w:webHidden/>
              </w:rPr>
              <w:fldChar w:fldCharType="separate"/>
            </w:r>
            <w:r w:rsidR="00EC010D">
              <w:rPr>
                <w:noProof/>
                <w:webHidden/>
              </w:rPr>
              <w:t>15</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4" w:history="1">
            <w:r w:rsidR="00382F92" w:rsidRPr="003F19FB">
              <w:rPr>
                <w:rStyle w:val="Hyperlink"/>
                <w:noProof/>
              </w:rPr>
              <w:t>8.1</w:t>
            </w:r>
            <w:r w:rsidR="00382F92">
              <w:rPr>
                <w:rFonts w:eastAsiaTheme="minorEastAsia" w:cstheme="minorBidi"/>
                <w:b w:val="0"/>
                <w:bCs w:val="0"/>
                <w:caps w:val="0"/>
                <w:noProof/>
                <w:color w:val="auto"/>
              </w:rPr>
              <w:tab/>
            </w:r>
            <w:r w:rsidR="00382F92" w:rsidRPr="003F19FB">
              <w:rPr>
                <w:rStyle w:val="Hyperlink"/>
                <w:noProof/>
              </w:rPr>
              <w:t>Primary objective</w:t>
            </w:r>
            <w:r w:rsidR="00382F92">
              <w:rPr>
                <w:noProof/>
                <w:webHidden/>
              </w:rPr>
              <w:tab/>
            </w:r>
            <w:r w:rsidR="00382F92">
              <w:rPr>
                <w:noProof/>
                <w:webHidden/>
              </w:rPr>
              <w:fldChar w:fldCharType="begin"/>
            </w:r>
            <w:r w:rsidR="00382F92">
              <w:rPr>
                <w:noProof/>
                <w:webHidden/>
              </w:rPr>
              <w:instrText xml:space="preserve"> PAGEREF _Toc501022024 \h </w:instrText>
            </w:r>
            <w:r w:rsidR="00382F92">
              <w:rPr>
                <w:noProof/>
                <w:webHidden/>
              </w:rPr>
            </w:r>
            <w:r w:rsidR="00382F92">
              <w:rPr>
                <w:noProof/>
                <w:webHidden/>
              </w:rPr>
              <w:fldChar w:fldCharType="separate"/>
            </w:r>
            <w:r w:rsidR="00EC010D">
              <w:rPr>
                <w:noProof/>
                <w:webHidden/>
              </w:rPr>
              <w:t>15</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5" w:history="1">
            <w:r w:rsidR="00382F92" w:rsidRPr="003F19FB">
              <w:rPr>
                <w:rStyle w:val="Hyperlink"/>
                <w:noProof/>
              </w:rPr>
              <w:t>8.2</w:t>
            </w:r>
            <w:r w:rsidR="00382F92">
              <w:rPr>
                <w:rFonts w:eastAsiaTheme="minorEastAsia" w:cstheme="minorBidi"/>
                <w:b w:val="0"/>
                <w:bCs w:val="0"/>
                <w:caps w:val="0"/>
                <w:noProof/>
                <w:color w:val="auto"/>
              </w:rPr>
              <w:tab/>
            </w:r>
            <w:r w:rsidR="00382F92" w:rsidRPr="003F19FB">
              <w:rPr>
                <w:rStyle w:val="Hyperlink"/>
                <w:noProof/>
              </w:rPr>
              <w:t>Secondary objectives</w:t>
            </w:r>
            <w:r w:rsidR="00382F92">
              <w:rPr>
                <w:noProof/>
                <w:webHidden/>
              </w:rPr>
              <w:tab/>
            </w:r>
            <w:r w:rsidR="00382F92">
              <w:rPr>
                <w:noProof/>
                <w:webHidden/>
              </w:rPr>
              <w:fldChar w:fldCharType="begin"/>
            </w:r>
            <w:r w:rsidR="00382F92">
              <w:rPr>
                <w:noProof/>
                <w:webHidden/>
              </w:rPr>
              <w:instrText xml:space="preserve"> PAGEREF _Toc501022025 \h </w:instrText>
            </w:r>
            <w:r w:rsidR="00382F92">
              <w:rPr>
                <w:noProof/>
                <w:webHidden/>
              </w:rPr>
            </w:r>
            <w:r w:rsidR="00382F92">
              <w:rPr>
                <w:noProof/>
                <w:webHidden/>
              </w:rPr>
              <w:fldChar w:fldCharType="separate"/>
            </w:r>
            <w:r w:rsidR="00EC010D">
              <w:rPr>
                <w:noProof/>
                <w:webHidden/>
              </w:rPr>
              <w:t>15</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26" w:history="1">
            <w:r w:rsidR="00382F92" w:rsidRPr="003F19FB">
              <w:rPr>
                <w:rStyle w:val="Hyperlink"/>
                <w:noProof/>
              </w:rPr>
              <w:t>9.</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INVESTIGATIONAL PLAN</w:t>
            </w:r>
            <w:r w:rsidR="00382F92">
              <w:rPr>
                <w:noProof/>
                <w:webHidden/>
              </w:rPr>
              <w:tab/>
            </w:r>
            <w:r w:rsidR="00382F92">
              <w:rPr>
                <w:noProof/>
                <w:webHidden/>
              </w:rPr>
              <w:fldChar w:fldCharType="begin"/>
            </w:r>
            <w:r w:rsidR="00382F92">
              <w:rPr>
                <w:noProof/>
                <w:webHidden/>
              </w:rPr>
              <w:instrText xml:space="preserve"> PAGEREF _Toc501022026 \h </w:instrText>
            </w:r>
            <w:r w:rsidR="00382F92">
              <w:rPr>
                <w:noProof/>
                <w:webHidden/>
              </w:rPr>
            </w:r>
            <w:r w:rsidR="00382F92">
              <w:rPr>
                <w:noProof/>
                <w:webHidden/>
              </w:rPr>
              <w:fldChar w:fldCharType="separate"/>
            </w:r>
            <w:r w:rsidR="00EC010D">
              <w:rPr>
                <w:noProof/>
                <w:webHidden/>
              </w:rPr>
              <w:t>15</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7" w:history="1">
            <w:r w:rsidR="00382F92" w:rsidRPr="003F19FB">
              <w:rPr>
                <w:rStyle w:val="Hyperlink"/>
                <w:noProof/>
              </w:rPr>
              <w:t>9.1</w:t>
            </w:r>
            <w:r w:rsidR="00382F92">
              <w:rPr>
                <w:rFonts w:eastAsiaTheme="minorEastAsia" w:cstheme="minorBidi"/>
                <w:b w:val="0"/>
                <w:bCs w:val="0"/>
                <w:caps w:val="0"/>
                <w:noProof/>
                <w:color w:val="auto"/>
              </w:rPr>
              <w:tab/>
            </w:r>
            <w:r w:rsidR="00382F92" w:rsidRPr="003F19FB">
              <w:rPr>
                <w:rStyle w:val="Hyperlink"/>
                <w:noProof/>
              </w:rPr>
              <w:t>Overall Study Design and Plan: Description</w:t>
            </w:r>
            <w:r w:rsidR="00382F92">
              <w:rPr>
                <w:noProof/>
                <w:webHidden/>
              </w:rPr>
              <w:tab/>
            </w:r>
            <w:r w:rsidR="00382F92">
              <w:rPr>
                <w:noProof/>
                <w:webHidden/>
              </w:rPr>
              <w:fldChar w:fldCharType="begin"/>
            </w:r>
            <w:r w:rsidR="00382F92">
              <w:rPr>
                <w:noProof/>
                <w:webHidden/>
              </w:rPr>
              <w:instrText xml:space="preserve"> PAGEREF _Toc501022027 \h </w:instrText>
            </w:r>
            <w:r w:rsidR="00382F92">
              <w:rPr>
                <w:noProof/>
                <w:webHidden/>
              </w:rPr>
            </w:r>
            <w:r w:rsidR="00382F92">
              <w:rPr>
                <w:noProof/>
                <w:webHidden/>
              </w:rPr>
              <w:fldChar w:fldCharType="separate"/>
            </w:r>
            <w:r w:rsidR="00EC010D">
              <w:rPr>
                <w:noProof/>
                <w:webHidden/>
              </w:rPr>
              <w:t>15</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8" w:history="1">
            <w:r w:rsidR="00382F92" w:rsidRPr="003F19FB">
              <w:rPr>
                <w:rStyle w:val="Hyperlink"/>
                <w:noProof/>
              </w:rPr>
              <w:t>9.2</w:t>
            </w:r>
            <w:r w:rsidR="00382F92">
              <w:rPr>
                <w:rFonts w:eastAsiaTheme="minorEastAsia" w:cstheme="minorBidi"/>
                <w:b w:val="0"/>
                <w:bCs w:val="0"/>
                <w:caps w:val="0"/>
                <w:noProof/>
                <w:color w:val="auto"/>
              </w:rPr>
              <w:tab/>
            </w:r>
            <w:r w:rsidR="00382F92" w:rsidRPr="003F19FB">
              <w:rPr>
                <w:rStyle w:val="Hyperlink"/>
                <w:noProof/>
              </w:rPr>
              <w:t>Discussion of Study Design, Including the Choice of Control Groups</w:t>
            </w:r>
            <w:r w:rsidR="00382F92">
              <w:rPr>
                <w:noProof/>
                <w:webHidden/>
              </w:rPr>
              <w:tab/>
            </w:r>
            <w:r w:rsidR="00382F92">
              <w:rPr>
                <w:noProof/>
                <w:webHidden/>
              </w:rPr>
              <w:fldChar w:fldCharType="begin"/>
            </w:r>
            <w:r w:rsidR="00382F92">
              <w:rPr>
                <w:noProof/>
                <w:webHidden/>
              </w:rPr>
              <w:instrText xml:space="preserve"> PAGEREF _Toc501022028 \h </w:instrText>
            </w:r>
            <w:r w:rsidR="00382F92">
              <w:rPr>
                <w:noProof/>
                <w:webHidden/>
              </w:rPr>
            </w:r>
            <w:r w:rsidR="00382F92">
              <w:rPr>
                <w:noProof/>
                <w:webHidden/>
              </w:rPr>
              <w:fldChar w:fldCharType="separate"/>
            </w:r>
            <w:r w:rsidR="00EC010D">
              <w:rPr>
                <w:noProof/>
                <w:webHidden/>
              </w:rPr>
              <w:t>17</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29" w:history="1">
            <w:r w:rsidR="00382F92" w:rsidRPr="003F19FB">
              <w:rPr>
                <w:rStyle w:val="Hyperlink"/>
                <w:noProof/>
              </w:rPr>
              <w:t>9.3</w:t>
            </w:r>
            <w:r w:rsidR="00382F92">
              <w:rPr>
                <w:rFonts w:eastAsiaTheme="minorEastAsia" w:cstheme="minorBidi"/>
                <w:b w:val="0"/>
                <w:bCs w:val="0"/>
                <w:caps w:val="0"/>
                <w:noProof/>
                <w:color w:val="auto"/>
              </w:rPr>
              <w:tab/>
            </w:r>
            <w:r w:rsidR="00382F92" w:rsidRPr="003F19FB">
              <w:rPr>
                <w:rStyle w:val="Hyperlink"/>
                <w:noProof/>
              </w:rPr>
              <w:t>Study Population</w:t>
            </w:r>
            <w:r w:rsidR="00382F92">
              <w:rPr>
                <w:noProof/>
                <w:webHidden/>
              </w:rPr>
              <w:tab/>
            </w:r>
            <w:r w:rsidR="00382F92">
              <w:rPr>
                <w:noProof/>
                <w:webHidden/>
              </w:rPr>
              <w:fldChar w:fldCharType="begin"/>
            </w:r>
            <w:r w:rsidR="00382F92">
              <w:rPr>
                <w:noProof/>
                <w:webHidden/>
              </w:rPr>
              <w:instrText xml:space="preserve"> PAGEREF _Toc501022029 \h </w:instrText>
            </w:r>
            <w:r w:rsidR="00382F92">
              <w:rPr>
                <w:noProof/>
                <w:webHidden/>
              </w:rPr>
            </w:r>
            <w:r w:rsidR="00382F92">
              <w:rPr>
                <w:noProof/>
                <w:webHidden/>
              </w:rPr>
              <w:fldChar w:fldCharType="separate"/>
            </w:r>
            <w:r w:rsidR="00EC010D">
              <w:rPr>
                <w:noProof/>
                <w:webHidden/>
              </w:rPr>
              <w:t>17</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0" w:history="1">
            <w:r w:rsidR="00382F92" w:rsidRPr="003F19FB">
              <w:rPr>
                <w:rStyle w:val="Hyperlink"/>
                <w:noProof/>
              </w:rPr>
              <w:t>9.3.1</w:t>
            </w:r>
            <w:r w:rsidR="00382F92">
              <w:rPr>
                <w:rFonts w:eastAsiaTheme="minorEastAsia" w:cstheme="minorBidi"/>
                <w:noProof/>
                <w:color w:val="auto"/>
                <w:sz w:val="22"/>
                <w:szCs w:val="22"/>
              </w:rPr>
              <w:tab/>
            </w:r>
            <w:r w:rsidR="00382F92" w:rsidRPr="003F19FB">
              <w:rPr>
                <w:rStyle w:val="Hyperlink"/>
                <w:noProof/>
              </w:rPr>
              <w:t>Inclusion criteria</w:t>
            </w:r>
            <w:r w:rsidR="00382F92">
              <w:rPr>
                <w:noProof/>
                <w:webHidden/>
              </w:rPr>
              <w:tab/>
            </w:r>
            <w:r w:rsidR="00382F92">
              <w:rPr>
                <w:noProof/>
                <w:webHidden/>
              </w:rPr>
              <w:fldChar w:fldCharType="begin"/>
            </w:r>
            <w:r w:rsidR="00382F92">
              <w:rPr>
                <w:noProof/>
                <w:webHidden/>
              </w:rPr>
              <w:instrText xml:space="preserve"> PAGEREF _Toc501022030 \h </w:instrText>
            </w:r>
            <w:r w:rsidR="00382F92">
              <w:rPr>
                <w:noProof/>
                <w:webHidden/>
              </w:rPr>
            </w:r>
            <w:r w:rsidR="00382F92">
              <w:rPr>
                <w:noProof/>
                <w:webHidden/>
              </w:rPr>
              <w:fldChar w:fldCharType="separate"/>
            </w:r>
            <w:r w:rsidR="00EC010D">
              <w:rPr>
                <w:noProof/>
                <w:webHidden/>
              </w:rPr>
              <w:t>17</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1" w:history="1">
            <w:r w:rsidR="00382F92" w:rsidRPr="003F19FB">
              <w:rPr>
                <w:rStyle w:val="Hyperlink"/>
                <w:noProof/>
              </w:rPr>
              <w:t>9.3.2</w:t>
            </w:r>
            <w:r w:rsidR="00382F92">
              <w:rPr>
                <w:rFonts w:eastAsiaTheme="minorEastAsia" w:cstheme="minorBidi"/>
                <w:noProof/>
                <w:color w:val="auto"/>
                <w:sz w:val="22"/>
                <w:szCs w:val="22"/>
              </w:rPr>
              <w:tab/>
            </w:r>
            <w:r w:rsidR="00382F92" w:rsidRPr="003F19FB">
              <w:rPr>
                <w:rStyle w:val="Hyperlink"/>
                <w:noProof/>
              </w:rPr>
              <w:t>Exclusion criteria</w:t>
            </w:r>
            <w:r w:rsidR="00382F92">
              <w:rPr>
                <w:noProof/>
                <w:webHidden/>
              </w:rPr>
              <w:tab/>
            </w:r>
            <w:r w:rsidR="00382F92">
              <w:rPr>
                <w:noProof/>
                <w:webHidden/>
              </w:rPr>
              <w:fldChar w:fldCharType="begin"/>
            </w:r>
            <w:r w:rsidR="00382F92">
              <w:rPr>
                <w:noProof/>
                <w:webHidden/>
              </w:rPr>
              <w:instrText xml:space="preserve"> PAGEREF _Toc501022031 \h </w:instrText>
            </w:r>
            <w:r w:rsidR="00382F92">
              <w:rPr>
                <w:noProof/>
                <w:webHidden/>
              </w:rPr>
            </w:r>
            <w:r w:rsidR="00382F92">
              <w:rPr>
                <w:noProof/>
                <w:webHidden/>
              </w:rPr>
              <w:fldChar w:fldCharType="separate"/>
            </w:r>
            <w:r w:rsidR="00EC010D">
              <w:rPr>
                <w:noProof/>
                <w:webHidden/>
              </w:rPr>
              <w:t>18</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2" w:history="1">
            <w:r w:rsidR="00382F92" w:rsidRPr="003F19FB">
              <w:rPr>
                <w:rStyle w:val="Hyperlink"/>
                <w:noProof/>
              </w:rPr>
              <w:t>9.3.3</w:t>
            </w:r>
            <w:r w:rsidR="00382F92">
              <w:rPr>
                <w:rFonts w:eastAsiaTheme="minorEastAsia" w:cstheme="minorBidi"/>
                <w:noProof/>
                <w:color w:val="auto"/>
                <w:sz w:val="22"/>
                <w:szCs w:val="22"/>
              </w:rPr>
              <w:tab/>
            </w:r>
            <w:r w:rsidR="00382F92" w:rsidRPr="003F19FB">
              <w:rPr>
                <w:rStyle w:val="Hyperlink"/>
                <w:noProof/>
              </w:rPr>
              <w:t>Removal of Patients From Therapy or Assessment</w:t>
            </w:r>
            <w:r w:rsidR="00382F92">
              <w:rPr>
                <w:noProof/>
                <w:webHidden/>
              </w:rPr>
              <w:tab/>
            </w:r>
            <w:r w:rsidR="00382F92">
              <w:rPr>
                <w:noProof/>
                <w:webHidden/>
              </w:rPr>
              <w:fldChar w:fldCharType="begin"/>
            </w:r>
            <w:r w:rsidR="00382F92">
              <w:rPr>
                <w:noProof/>
                <w:webHidden/>
              </w:rPr>
              <w:instrText xml:space="preserve"> PAGEREF _Toc501022032 \h </w:instrText>
            </w:r>
            <w:r w:rsidR="00382F92">
              <w:rPr>
                <w:noProof/>
                <w:webHidden/>
              </w:rPr>
            </w:r>
            <w:r w:rsidR="00382F92">
              <w:rPr>
                <w:noProof/>
                <w:webHidden/>
              </w:rPr>
              <w:fldChar w:fldCharType="separate"/>
            </w:r>
            <w:r w:rsidR="00EC010D">
              <w:rPr>
                <w:noProof/>
                <w:webHidden/>
              </w:rPr>
              <w:t>20</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33" w:history="1">
            <w:r w:rsidR="00382F92" w:rsidRPr="003F19FB">
              <w:rPr>
                <w:rStyle w:val="Hyperlink"/>
                <w:noProof/>
              </w:rPr>
              <w:t>9.4</w:t>
            </w:r>
            <w:r w:rsidR="00382F92">
              <w:rPr>
                <w:rFonts w:eastAsiaTheme="minorEastAsia" w:cstheme="minorBidi"/>
                <w:b w:val="0"/>
                <w:bCs w:val="0"/>
                <w:caps w:val="0"/>
                <w:noProof/>
                <w:color w:val="auto"/>
              </w:rPr>
              <w:tab/>
            </w:r>
            <w:r w:rsidR="00382F92" w:rsidRPr="003F19FB">
              <w:rPr>
                <w:rStyle w:val="Hyperlink"/>
                <w:noProof/>
              </w:rPr>
              <w:t>Treatments</w:t>
            </w:r>
            <w:r w:rsidR="00382F92">
              <w:rPr>
                <w:noProof/>
                <w:webHidden/>
              </w:rPr>
              <w:tab/>
            </w:r>
            <w:r w:rsidR="00382F92">
              <w:rPr>
                <w:noProof/>
                <w:webHidden/>
              </w:rPr>
              <w:fldChar w:fldCharType="begin"/>
            </w:r>
            <w:r w:rsidR="00382F92">
              <w:rPr>
                <w:noProof/>
                <w:webHidden/>
              </w:rPr>
              <w:instrText xml:space="preserve"> PAGEREF _Toc501022033 \h </w:instrText>
            </w:r>
            <w:r w:rsidR="00382F92">
              <w:rPr>
                <w:noProof/>
                <w:webHidden/>
              </w:rPr>
            </w:r>
            <w:r w:rsidR="00382F92">
              <w:rPr>
                <w:noProof/>
                <w:webHidden/>
              </w:rPr>
              <w:fldChar w:fldCharType="separate"/>
            </w:r>
            <w:r w:rsidR="00EC010D">
              <w:rPr>
                <w:noProof/>
                <w:webHidden/>
              </w:rPr>
              <w:t>20</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4" w:history="1">
            <w:r w:rsidR="00382F92" w:rsidRPr="003F19FB">
              <w:rPr>
                <w:rStyle w:val="Hyperlink"/>
                <w:noProof/>
              </w:rPr>
              <w:t>9.4.1</w:t>
            </w:r>
            <w:r w:rsidR="00382F92">
              <w:rPr>
                <w:rFonts w:eastAsiaTheme="minorEastAsia" w:cstheme="minorBidi"/>
                <w:noProof/>
                <w:color w:val="auto"/>
                <w:sz w:val="22"/>
                <w:szCs w:val="22"/>
              </w:rPr>
              <w:tab/>
            </w:r>
            <w:r w:rsidR="00382F92" w:rsidRPr="003F19FB">
              <w:rPr>
                <w:rStyle w:val="Hyperlink"/>
                <w:noProof/>
              </w:rPr>
              <w:t>Treatments Administered</w:t>
            </w:r>
            <w:r w:rsidR="00382F92">
              <w:rPr>
                <w:noProof/>
                <w:webHidden/>
              </w:rPr>
              <w:tab/>
            </w:r>
            <w:r w:rsidR="00382F92">
              <w:rPr>
                <w:noProof/>
                <w:webHidden/>
              </w:rPr>
              <w:fldChar w:fldCharType="begin"/>
            </w:r>
            <w:r w:rsidR="00382F92">
              <w:rPr>
                <w:noProof/>
                <w:webHidden/>
              </w:rPr>
              <w:instrText xml:space="preserve"> PAGEREF _Toc501022034 \h </w:instrText>
            </w:r>
            <w:r w:rsidR="00382F92">
              <w:rPr>
                <w:noProof/>
                <w:webHidden/>
              </w:rPr>
            </w:r>
            <w:r w:rsidR="00382F92">
              <w:rPr>
                <w:noProof/>
                <w:webHidden/>
              </w:rPr>
              <w:fldChar w:fldCharType="separate"/>
            </w:r>
            <w:r w:rsidR="00EC010D">
              <w:rPr>
                <w:noProof/>
                <w:webHidden/>
              </w:rPr>
              <w:t>20</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5" w:history="1">
            <w:r w:rsidR="00382F92" w:rsidRPr="003F19FB">
              <w:rPr>
                <w:rStyle w:val="Hyperlink"/>
                <w:noProof/>
              </w:rPr>
              <w:t>9.4.2</w:t>
            </w:r>
            <w:r w:rsidR="00382F92">
              <w:rPr>
                <w:rFonts w:eastAsiaTheme="minorEastAsia" w:cstheme="minorBidi"/>
                <w:noProof/>
                <w:color w:val="auto"/>
                <w:sz w:val="22"/>
                <w:szCs w:val="22"/>
              </w:rPr>
              <w:tab/>
            </w:r>
            <w:r w:rsidR="00382F92" w:rsidRPr="003F19FB">
              <w:rPr>
                <w:rStyle w:val="Hyperlink"/>
                <w:noProof/>
              </w:rPr>
              <w:t>Identity of Investigational Product(s)</w:t>
            </w:r>
            <w:r w:rsidR="00382F92">
              <w:rPr>
                <w:noProof/>
                <w:webHidden/>
              </w:rPr>
              <w:tab/>
            </w:r>
            <w:r w:rsidR="00382F92">
              <w:rPr>
                <w:noProof/>
                <w:webHidden/>
              </w:rPr>
              <w:fldChar w:fldCharType="begin"/>
            </w:r>
            <w:r w:rsidR="00382F92">
              <w:rPr>
                <w:noProof/>
                <w:webHidden/>
              </w:rPr>
              <w:instrText xml:space="preserve"> PAGEREF _Toc501022035 \h </w:instrText>
            </w:r>
            <w:r w:rsidR="00382F92">
              <w:rPr>
                <w:noProof/>
                <w:webHidden/>
              </w:rPr>
            </w:r>
            <w:r w:rsidR="00382F92">
              <w:rPr>
                <w:noProof/>
                <w:webHidden/>
              </w:rPr>
              <w:fldChar w:fldCharType="separate"/>
            </w:r>
            <w:r w:rsidR="00EC010D">
              <w:rPr>
                <w:noProof/>
                <w:webHidden/>
              </w:rPr>
              <w:t>21</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6" w:history="1">
            <w:r w:rsidR="00382F92" w:rsidRPr="003F19FB">
              <w:rPr>
                <w:rStyle w:val="Hyperlink"/>
                <w:noProof/>
              </w:rPr>
              <w:t>9.4.3</w:t>
            </w:r>
            <w:r w:rsidR="00382F92">
              <w:rPr>
                <w:rFonts w:eastAsiaTheme="minorEastAsia" w:cstheme="minorBidi"/>
                <w:noProof/>
                <w:color w:val="auto"/>
                <w:sz w:val="22"/>
                <w:szCs w:val="22"/>
              </w:rPr>
              <w:tab/>
            </w:r>
            <w:r w:rsidR="00382F92" w:rsidRPr="003F19FB">
              <w:rPr>
                <w:rStyle w:val="Hyperlink"/>
                <w:noProof/>
              </w:rPr>
              <w:t>Method of Assigning Patients to Treatment Groups</w:t>
            </w:r>
            <w:r w:rsidR="00382F92">
              <w:rPr>
                <w:noProof/>
                <w:webHidden/>
              </w:rPr>
              <w:tab/>
            </w:r>
            <w:r w:rsidR="00382F92">
              <w:rPr>
                <w:noProof/>
                <w:webHidden/>
              </w:rPr>
              <w:fldChar w:fldCharType="begin"/>
            </w:r>
            <w:r w:rsidR="00382F92">
              <w:rPr>
                <w:noProof/>
                <w:webHidden/>
              </w:rPr>
              <w:instrText xml:space="preserve"> PAGEREF _Toc501022036 \h </w:instrText>
            </w:r>
            <w:r w:rsidR="00382F92">
              <w:rPr>
                <w:noProof/>
                <w:webHidden/>
              </w:rPr>
            </w:r>
            <w:r w:rsidR="00382F92">
              <w:rPr>
                <w:noProof/>
                <w:webHidden/>
              </w:rPr>
              <w:fldChar w:fldCharType="separate"/>
            </w:r>
            <w:r w:rsidR="00EC010D">
              <w:rPr>
                <w:noProof/>
                <w:webHidden/>
              </w:rPr>
              <w:t>22</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7" w:history="1">
            <w:r w:rsidR="00382F92" w:rsidRPr="003F19FB">
              <w:rPr>
                <w:rStyle w:val="Hyperlink"/>
                <w:noProof/>
              </w:rPr>
              <w:t>9.4.4</w:t>
            </w:r>
            <w:r w:rsidR="00382F92">
              <w:rPr>
                <w:rFonts w:eastAsiaTheme="minorEastAsia" w:cstheme="minorBidi"/>
                <w:noProof/>
                <w:color w:val="auto"/>
                <w:sz w:val="22"/>
                <w:szCs w:val="22"/>
              </w:rPr>
              <w:tab/>
            </w:r>
            <w:r w:rsidR="00382F92" w:rsidRPr="003F19FB">
              <w:rPr>
                <w:rStyle w:val="Hyperlink"/>
                <w:noProof/>
              </w:rPr>
              <w:t>Selection of Doses in the Study</w:t>
            </w:r>
            <w:r w:rsidR="00382F92">
              <w:rPr>
                <w:noProof/>
                <w:webHidden/>
              </w:rPr>
              <w:tab/>
            </w:r>
            <w:r w:rsidR="00382F92">
              <w:rPr>
                <w:noProof/>
                <w:webHidden/>
              </w:rPr>
              <w:fldChar w:fldCharType="begin"/>
            </w:r>
            <w:r w:rsidR="00382F92">
              <w:rPr>
                <w:noProof/>
                <w:webHidden/>
              </w:rPr>
              <w:instrText xml:space="preserve"> PAGEREF _Toc501022037 \h </w:instrText>
            </w:r>
            <w:r w:rsidR="00382F92">
              <w:rPr>
                <w:noProof/>
                <w:webHidden/>
              </w:rPr>
            </w:r>
            <w:r w:rsidR="00382F92">
              <w:rPr>
                <w:noProof/>
                <w:webHidden/>
              </w:rPr>
              <w:fldChar w:fldCharType="separate"/>
            </w:r>
            <w:r w:rsidR="00EC010D">
              <w:rPr>
                <w:noProof/>
                <w:webHidden/>
              </w:rPr>
              <w:t>22</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8" w:history="1">
            <w:r w:rsidR="00382F92" w:rsidRPr="003F19FB">
              <w:rPr>
                <w:rStyle w:val="Hyperlink"/>
                <w:noProof/>
              </w:rPr>
              <w:t>9.4.5</w:t>
            </w:r>
            <w:r w:rsidR="00382F92">
              <w:rPr>
                <w:rFonts w:eastAsiaTheme="minorEastAsia" w:cstheme="minorBidi"/>
                <w:noProof/>
                <w:color w:val="auto"/>
                <w:sz w:val="22"/>
                <w:szCs w:val="22"/>
              </w:rPr>
              <w:tab/>
            </w:r>
            <w:r w:rsidR="00382F92" w:rsidRPr="003F19FB">
              <w:rPr>
                <w:rStyle w:val="Hyperlink"/>
                <w:noProof/>
              </w:rPr>
              <w:t>Prior and concomitant therapy</w:t>
            </w:r>
            <w:r w:rsidR="00382F92">
              <w:rPr>
                <w:noProof/>
                <w:webHidden/>
              </w:rPr>
              <w:tab/>
            </w:r>
            <w:r w:rsidR="00382F92">
              <w:rPr>
                <w:noProof/>
                <w:webHidden/>
              </w:rPr>
              <w:fldChar w:fldCharType="begin"/>
            </w:r>
            <w:r w:rsidR="00382F92">
              <w:rPr>
                <w:noProof/>
                <w:webHidden/>
              </w:rPr>
              <w:instrText xml:space="preserve"> PAGEREF _Toc501022038 \h </w:instrText>
            </w:r>
            <w:r w:rsidR="00382F92">
              <w:rPr>
                <w:noProof/>
                <w:webHidden/>
              </w:rPr>
            </w:r>
            <w:r w:rsidR="00382F92">
              <w:rPr>
                <w:noProof/>
                <w:webHidden/>
              </w:rPr>
              <w:fldChar w:fldCharType="separate"/>
            </w:r>
            <w:r w:rsidR="00EC010D">
              <w:rPr>
                <w:noProof/>
                <w:webHidden/>
              </w:rPr>
              <w:t>22</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39" w:history="1">
            <w:r w:rsidR="00382F92" w:rsidRPr="003F19FB">
              <w:rPr>
                <w:rStyle w:val="Hyperlink"/>
                <w:noProof/>
              </w:rPr>
              <w:t>9.4.6</w:t>
            </w:r>
            <w:r w:rsidR="00382F92">
              <w:rPr>
                <w:rFonts w:eastAsiaTheme="minorEastAsia" w:cstheme="minorBidi"/>
                <w:noProof/>
                <w:color w:val="auto"/>
                <w:sz w:val="22"/>
                <w:szCs w:val="22"/>
              </w:rPr>
              <w:tab/>
            </w:r>
            <w:r w:rsidR="00382F92" w:rsidRPr="003F19FB">
              <w:rPr>
                <w:rStyle w:val="Hyperlink"/>
                <w:noProof/>
              </w:rPr>
              <w:t>Treatment Compliance</w:t>
            </w:r>
            <w:r w:rsidR="00382F92">
              <w:rPr>
                <w:noProof/>
                <w:webHidden/>
              </w:rPr>
              <w:tab/>
            </w:r>
            <w:r w:rsidR="00382F92">
              <w:rPr>
                <w:noProof/>
                <w:webHidden/>
              </w:rPr>
              <w:fldChar w:fldCharType="begin"/>
            </w:r>
            <w:r w:rsidR="00382F92">
              <w:rPr>
                <w:noProof/>
                <w:webHidden/>
              </w:rPr>
              <w:instrText xml:space="preserve"> PAGEREF _Toc501022039 \h </w:instrText>
            </w:r>
            <w:r w:rsidR="00382F92">
              <w:rPr>
                <w:noProof/>
                <w:webHidden/>
              </w:rPr>
            </w:r>
            <w:r w:rsidR="00382F92">
              <w:rPr>
                <w:noProof/>
                <w:webHidden/>
              </w:rPr>
              <w:fldChar w:fldCharType="separate"/>
            </w:r>
            <w:r w:rsidR="00EC010D">
              <w:rPr>
                <w:noProof/>
                <w:webHidden/>
              </w:rPr>
              <w:t>24</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40" w:history="1">
            <w:r w:rsidR="00382F92" w:rsidRPr="003F19FB">
              <w:rPr>
                <w:rStyle w:val="Hyperlink"/>
                <w:noProof/>
              </w:rPr>
              <w:t>9.5</w:t>
            </w:r>
            <w:r w:rsidR="00382F92">
              <w:rPr>
                <w:rFonts w:eastAsiaTheme="minorEastAsia" w:cstheme="minorBidi"/>
                <w:b w:val="0"/>
                <w:bCs w:val="0"/>
                <w:caps w:val="0"/>
                <w:noProof/>
                <w:color w:val="auto"/>
              </w:rPr>
              <w:tab/>
            </w:r>
            <w:r w:rsidR="00382F92" w:rsidRPr="003F19FB">
              <w:rPr>
                <w:rStyle w:val="Hyperlink"/>
                <w:noProof/>
              </w:rPr>
              <w:t>Efficacy and Safety Variables</w:t>
            </w:r>
            <w:r w:rsidR="00382F92">
              <w:rPr>
                <w:noProof/>
                <w:webHidden/>
              </w:rPr>
              <w:tab/>
            </w:r>
            <w:r w:rsidR="00382F92">
              <w:rPr>
                <w:noProof/>
                <w:webHidden/>
              </w:rPr>
              <w:fldChar w:fldCharType="begin"/>
            </w:r>
            <w:r w:rsidR="00382F92">
              <w:rPr>
                <w:noProof/>
                <w:webHidden/>
              </w:rPr>
              <w:instrText xml:space="preserve"> PAGEREF _Toc501022040 \h </w:instrText>
            </w:r>
            <w:r w:rsidR="00382F92">
              <w:rPr>
                <w:noProof/>
                <w:webHidden/>
              </w:rPr>
            </w:r>
            <w:r w:rsidR="00382F92">
              <w:rPr>
                <w:noProof/>
                <w:webHidden/>
              </w:rPr>
              <w:fldChar w:fldCharType="separate"/>
            </w:r>
            <w:r w:rsidR="00EC010D">
              <w:rPr>
                <w:noProof/>
                <w:webHidden/>
              </w:rPr>
              <w:t>24</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41" w:history="1">
            <w:r w:rsidR="00382F92" w:rsidRPr="003F19FB">
              <w:rPr>
                <w:rStyle w:val="Hyperlink"/>
                <w:noProof/>
              </w:rPr>
              <w:t>9.6</w:t>
            </w:r>
            <w:r w:rsidR="00382F92">
              <w:rPr>
                <w:rFonts w:eastAsiaTheme="minorEastAsia" w:cstheme="minorBidi"/>
                <w:b w:val="0"/>
                <w:bCs w:val="0"/>
                <w:caps w:val="0"/>
                <w:noProof/>
                <w:color w:val="auto"/>
              </w:rPr>
              <w:tab/>
            </w:r>
            <w:r w:rsidR="00382F92" w:rsidRPr="003F19FB">
              <w:rPr>
                <w:rStyle w:val="Hyperlink"/>
                <w:noProof/>
              </w:rPr>
              <w:t>Efficacy and Safety Measurements Assessed</w:t>
            </w:r>
            <w:r w:rsidR="00382F92">
              <w:rPr>
                <w:noProof/>
                <w:webHidden/>
              </w:rPr>
              <w:tab/>
            </w:r>
            <w:r w:rsidR="00382F92">
              <w:rPr>
                <w:noProof/>
                <w:webHidden/>
              </w:rPr>
              <w:fldChar w:fldCharType="begin"/>
            </w:r>
            <w:r w:rsidR="00382F92">
              <w:rPr>
                <w:noProof/>
                <w:webHidden/>
              </w:rPr>
              <w:instrText xml:space="preserve"> PAGEREF _Toc501022041 \h </w:instrText>
            </w:r>
            <w:r w:rsidR="00382F92">
              <w:rPr>
                <w:noProof/>
                <w:webHidden/>
              </w:rPr>
            </w:r>
            <w:r w:rsidR="00382F92">
              <w:rPr>
                <w:noProof/>
                <w:webHidden/>
              </w:rPr>
              <w:fldChar w:fldCharType="separate"/>
            </w:r>
            <w:r w:rsidR="00EC010D">
              <w:rPr>
                <w:noProof/>
                <w:webHidden/>
              </w:rPr>
              <w:t>25</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42" w:history="1">
            <w:r w:rsidR="00382F92" w:rsidRPr="003F19FB">
              <w:rPr>
                <w:rStyle w:val="Hyperlink"/>
                <w:noProof/>
              </w:rPr>
              <w:t>9.6.1</w:t>
            </w:r>
            <w:r w:rsidR="00382F92">
              <w:rPr>
                <w:rFonts w:eastAsiaTheme="minorEastAsia" w:cstheme="minorBidi"/>
                <w:noProof/>
                <w:color w:val="auto"/>
                <w:sz w:val="22"/>
                <w:szCs w:val="22"/>
              </w:rPr>
              <w:tab/>
            </w:r>
            <w:r w:rsidR="00382F92" w:rsidRPr="003F19FB">
              <w:rPr>
                <w:rStyle w:val="Hyperlink"/>
                <w:noProof/>
              </w:rPr>
              <w:t>Safety assessment</w:t>
            </w:r>
            <w:r w:rsidR="00382F92">
              <w:rPr>
                <w:noProof/>
                <w:webHidden/>
              </w:rPr>
              <w:tab/>
            </w:r>
            <w:r w:rsidR="00382F92">
              <w:rPr>
                <w:noProof/>
                <w:webHidden/>
              </w:rPr>
              <w:fldChar w:fldCharType="begin"/>
            </w:r>
            <w:r w:rsidR="00382F92">
              <w:rPr>
                <w:noProof/>
                <w:webHidden/>
              </w:rPr>
              <w:instrText xml:space="preserve"> PAGEREF _Toc501022042 \h </w:instrText>
            </w:r>
            <w:r w:rsidR="00382F92">
              <w:rPr>
                <w:noProof/>
                <w:webHidden/>
              </w:rPr>
            </w:r>
            <w:r w:rsidR="00382F92">
              <w:rPr>
                <w:noProof/>
                <w:webHidden/>
              </w:rPr>
              <w:fldChar w:fldCharType="separate"/>
            </w:r>
            <w:r w:rsidR="00EC010D">
              <w:rPr>
                <w:noProof/>
                <w:webHidden/>
              </w:rPr>
              <w:t>26</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43" w:history="1">
            <w:r w:rsidR="00382F92" w:rsidRPr="003F19FB">
              <w:rPr>
                <w:rStyle w:val="Hyperlink"/>
                <w:noProof/>
              </w:rPr>
              <w:t>9.7</w:t>
            </w:r>
            <w:r w:rsidR="00382F92">
              <w:rPr>
                <w:rFonts w:eastAsiaTheme="minorEastAsia" w:cstheme="minorBidi"/>
                <w:b w:val="0"/>
                <w:bCs w:val="0"/>
                <w:caps w:val="0"/>
                <w:noProof/>
                <w:color w:val="auto"/>
              </w:rPr>
              <w:tab/>
            </w:r>
            <w:r w:rsidR="00382F92" w:rsidRPr="003F19FB">
              <w:rPr>
                <w:rStyle w:val="Hyperlink"/>
                <w:noProof/>
              </w:rPr>
              <w:t>Statistical Methods Planned in the Protocol and Determination of Sample Size</w:t>
            </w:r>
            <w:r w:rsidR="00382F92">
              <w:rPr>
                <w:noProof/>
                <w:webHidden/>
              </w:rPr>
              <w:tab/>
            </w:r>
            <w:r w:rsidR="00382F92">
              <w:rPr>
                <w:noProof/>
                <w:webHidden/>
              </w:rPr>
              <w:fldChar w:fldCharType="begin"/>
            </w:r>
            <w:r w:rsidR="00382F92">
              <w:rPr>
                <w:noProof/>
                <w:webHidden/>
              </w:rPr>
              <w:instrText xml:space="preserve"> PAGEREF _Toc501022043 \h </w:instrText>
            </w:r>
            <w:r w:rsidR="00382F92">
              <w:rPr>
                <w:noProof/>
                <w:webHidden/>
              </w:rPr>
            </w:r>
            <w:r w:rsidR="00382F92">
              <w:rPr>
                <w:noProof/>
                <w:webHidden/>
              </w:rPr>
              <w:fldChar w:fldCharType="separate"/>
            </w:r>
            <w:r w:rsidR="00EC010D">
              <w:rPr>
                <w:noProof/>
                <w:webHidden/>
              </w:rPr>
              <w:t>27</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44" w:history="1">
            <w:r w:rsidR="00382F92" w:rsidRPr="003F19FB">
              <w:rPr>
                <w:rStyle w:val="Hyperlink"/>
                <w:noProof/>
              </w:rPr>
              <w:t>9.7.1</w:t>
            </w:r>
            <w:r w:rsidR="00382F92">
              <w:rPr>
                <w:rFonts w:eastAsiaTheme="minorEastAsia" w:cstheme="minorBidi"/>
                <w:noProof/>
                <w:color w:val="auto"/>
                <w:sz w:val="22"/>
                <w:szCs w:val="22"/>
              </w:rPr>
              <w:tab/>
            </w:r>
            <w:r w:rsidR="00382F92" w:rsidRPr="003F19FB">
              <w:rPr>
                <w:rStyle w:val="Hyperlink"/>
                <w:noProof/>
              </w:rPr>
              <w:t>Statistical and Analytical Plans</w:t>
            </w:r>
            <w:r w:rsidR="00382F92">
              <w:rPr>
                <w:noProof/>
                <w:webHidden/>
              </w:rPr>
              <w:tab/>
            </w:r>
            <w:r w:rsidR="00382F92">
              <w:rPr>
                <w:noProof/>
                <w:webHidden/>
              </w:rPr>
              <w:fldChar w:fldCharType="begin"/>
            </w:r>
            <w:r w:rsidR="00382F92">
              <w:rPr>
                <w:noProof/>
                <w:webHidden/>
              </w:rPr>
              <w:instrText xml:space="preserve"> PAGEREF _Toc501022044 \h </w:instrText>
            </w:r>
            <w:r w:rsidR="00382F92">
              <w:rPr>
                <w:noProof/>
                <w:webHidden/>
              </w:rPr>
            </w:r>
            <w:r w:rsidR="00382F92">
              <w:rPr>
                <w:noProof/>
                <w:webHidden/>
              </w:rPr>
              <w:fldChar w:fldCharType="separate"/>
            </w:r>
            <w:r w:rsidR="00EC010D">
              <w:rPr>
                <w:noProof/>
                <w:webHidden/>
              </w:rPr>
              <w:t>27</w:t>
            </w:r>
            <w:r w:rsidR="00382F92">
              <w:rPr>
                <w:noProof/>
                <w:webHidden/>
              </w:rPr>
              <w:fldChar w:fldCharType="end"/>
            </w:r>
          </w:hyperlink>
        </w:p>
        <w:p w:rsidR="00382F92" w:rsidRDefault="000E00CA">
          <w:pPr>
            <w:pStyle w:val="TOC3"/>
            <w:tabs>
              <w:tab w:val="left" w:pos="660"/>
              <w:tab w:val="right" w:leader="dot" w:pos="8610"/>
            </w:tabs>
            <w:rPr>
              <w:rFonts w:eastAsiaTheme="minorEastAsia" w:cstheme="minorBidi"/>
              <w:noProof/>
              <w:color w:val="auto"/>
              <w:sz w:val="22"/>
              <w:szCs w:val="22"/>
            </w:rPr>
          </w:pPr>
          <w:hyperlink w:anchor="_Toc501022045" w:history="1">
            <w:r w:rsidR="00382F92" w:rsidRPr="003F19FB">
              <w:rPr>
                <w:rStyle w:val="Hyperlink"/>
                <w:noProof/>
              </w:rPr>
              <w:t>9.7.2</w:t>
            </w:r>
            <w:r w:rsidR="00382F92">
              <w:rPr>
                <w:rFonts w:eastAsiaTheme="minorEastAsia" w:cstheme="minorBidi"/>
                <w:noProof/>
                <w:color w:val="auto"/>
                <w:sz w:val="22"/>
                <w:szCs w:val="22"/>
              </w:rPr>
              <w:tab/>
            </w:r>
            <w:r w:rsidR="00382F92" w:rsidRPr="003F19FB">
              <w:rPr>
                <w:rStyle w:val="Hyperlink"/>
                <w:noProof/>
              </w:rPr>
              <w:t>Determination of Sample Size</w:t>
            </w:r>
            <w:r w:rsidR="00382F92">
              <w:rPr>
                <w:noProof/>
                <w:webHidden/>
              </w:rPr>
              <w:tab/>
            </w:r>
            <w:r w:rsidR="00382F92">
              <w:rPr>
                <w:noProof/>
                <w:webHidden/>
              </w:rPr>
              <w:fldChar w:fldCharType="begin"/>
            </w:r>
            <w:r w:rsidR="00382F92">
              <w:rPr>
                <w:noProof/>
                <w:webHidden/>
              </w:rPr>
              <w:instrText xml:space="preserve"> PAGEREF _Toc501022045 \h </w:instrText>
            </w:r>
            <w:r w:rsidR="00382F92">
              <w:rPr>
                <w:noProof/>
                <w:webHidden/>
              </w:rPr>
            </w:r>
            <w:r w:rsidR="00382F92">
              <w:rPr>
                <w:noProof/>
                <w:webHidden/>
              </w:rPr>
              <w:fldChar w:fldCharType="separate"/>
            </w:r>
            <w:r w:rsidR="00EC010D">
              <w:rPr>
                <w:noProof/>
                <w:webHidden/>
              </w:rPr>
              <w:t>29</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46" w:history="1">
            <w:r w:rsidR="00382F92" w:rsidRPr="003F19FB">
              <w:rPr>
                <w:rStyle w:val="Hyperlink"/>
                <w:noProof/>
              </w:rPr>
              <w:t>10.</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Study Subjects</w:t>
            </w:r>
            <w:r w:rsidR="00382F92">
              <w:rPr>
                <w:noProof/>
                <w:webHidden/>
              </w:rPr>
              <w:tab/>
            </w:r>
            <w:r w:rsidR="00382F92">
              <w:rPr>
                <w:noProof/>
                <w:webHidden/>
              </w:rPr>
              <w:fldChar w:fldCharType="begin"/>
            </w:r>
            <w:r w:rsidR="00382F92">
              <w:rPr>
                <w:noProof/>
                <w:webHidden/>
              </w:rPr>
              <w:instrText xml:space="preserve"> PAGEREF _Toc501022046 \h </w:instrText>
            </w:r>
            <w:r w:rsidR="00382F92">
              <w:rPr>
                <w:noProof/>
                <w:webHidden/>
              </w:rPr>
            </w:r>
            <w:r w:rsidR="00382F92">
              <w:rPr>
                <w:noProof/>
                <w:webHidden/>
              </w:rPr>
              <w:fldChar w:fldCharType="separate"/>
            </w:r>
            <w:r w:rsidR="00EC010D">
              <w:rPr>
                <w:noProof/>
                <w:webHidden/>
              </w:rPr>
              <w:t>30</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47" w:history="1">
            <w:r w:rsidR="00382F92" w:rsidRPr="003F19FB">
              <w:rPr>
                <w:rStyle w:val="Hyperlink"/>
                <w:noProof/>
              </w:rPr>
              <w:t>10.1</w:t>
            </w:r>
            <w:r w:rsidR="00382F92">
              <w:rPr>
                <w:rFonts w:eastAsiaTheme="minorEastAsia" w:cstheme="minorBidi"/>
                <w:b w:val="0"/>
                <w:bCs w:val="0"/>
                <w:caps w:val="0"/>
                <w:noProof/>
                <w:color w:val="auto"/>
              </w:rPr>
              <w:tab/>
            </w:r>
            <w:r w:rsidR="00382F92" w:rsidRPr="003F19FB">
              <w:rPr>
                <w:rStyle w:val="Hyperlink"/>
                <w:noProof/>
              </w:rPr>
              <w:t>Discontinuations</w:t>
            </w:r>
            <w:r w:rsidR="00382F92">
              <w:rPr>
                <w:noProof/>
                <w:webHidden/>
              </w:rPr>
              <w:tab/>
            </w:r>
            <w:r w:rsidR="00382F92">
              <w:rPr>
                <w:noProof/>
                <w:webHidden/>
              </w:rPr>
              <w:fldChar w:fldCharType="begin"/>
            </w:r>
            <w:r w:rsidR="00382F92">
              <w:rPr>
                <w:noProof/>
                <w:webHidden/>
              </w:rPr>
              <w:instrText xml:space="preserve"> PAGEREF _Toc501022047 \h </w:instrText>
            </w:r>
            <w:r w:rsidR="00382F92">
              <w:rPr>
                <w:noProof/>
                <w:webHidden/>
              </w:rPr>
            </w:r>
            <w:r w:rsidR="00382F92">
              <w:rPr>
                <w:noProof/>
                <w:webHidden/>
              </w:rPr>
              <w:fldChar w:fldCharType="separate"/>
            </w:r>
            <w:r w:rsidR="00EC010D">
              <w:rPr>
                <w:noProof/>
                <w:webHidden/>
              </w:rPr>
              <w:t>31</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48" w:history="1">
            <w:r w:rsidR="00382F92" w:rsidRPr="003F19FB">
              <w:rPr>
                <w:rStyle w:val="Hyperlink"/>
                <w:noProof/>
              </w:rPr>
              <w:t>10.2</w:t>
            </w:r>
            <w:r w:rsidR="00382F92">
              <w:rPr>
                <w:rFonts w:eastAsiaTheme="minorEastAsia" w:cstheme="minorBidi"/>
                <w:b w:val="0"/>
                <w:bCs w:val="0"/>
                <w:caps w:val="0"/>
                <w:noProof/>
                <w:color w:val="auto"/>
              </w:rPr>
              <w:tab/>
            </w:r>
            <w:r w:rsidR="00382F92" w:rsidRPr="003F19FB">
              <w:rPr>
                <w:rStyle w:val="Hyperlink"/>
                <w:noProof/>
              </w:rPr>
              <w:t>Major protocol deviations</w:t>
            </w:r>
            <w:r w:rsidR="00382F92">
              <w:rPr>
                <w:noProof/>
                <w:webHidden/>
              </w:rPr>
              <w:tab/>
            </w:r>
            <w:r w:rsidR="00382F92">
              <w:rPr>
                <w:noProof/>
                <w:webHidden/>
              </w:rPr>
              <w:fldChar w:fldCharType="begin"/>
            </w:r>
            <w:r w:rsidR="00382F92">
              <w:rPr>
                <w:noProof/>
                <w:webHidden/>
              </w:rPr>
              <w:instrText xml:space="preserve"> PAGEREF _Toc501022048 \h </w:instrText>
            </w:r>
            <w:r w:rsidR="00382F92">
              <w:rPr>
                <w:noProof/>
                <w:webHidden/>
              </w:rPr>
            </w:r>
            <w:r w:rsidR="00382F92">
              <w:rPr>
                <w:noProof/>
                <w:webHidden/>
              </w:rPr>
              <w:fldChar w:fldCharType="separate"/>
            </w:r>
            <w:r w:rsidR="00EC010D">
              <w:rPr>
                <w:noProof/>
                <w:webHidden/>
              </w:rPr>
              <w:t>36</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49" w:history="1">
            <w:r w:rsidR="00382F92" w:rsidRPr="003F19FB">
              <w:rPr>
                <w:rStyle w:val="Hyperlink"/>
                <w:noProof/>
              </w:rPr>
              <w:t>11.</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EFFICACY EVALUATION</w:t>
            </w:r>
            <w:r w:rsidR="00382F92">
              <w:rPr>
                <w:noProof/>
                <w:webHidden/>
              </w:rPr>
              <w:tab/>
            </w:r>
            <w:r w:rsidR="00382F92">
              <w:rPr>
                <w:noProof/>
                <w:webHidden/>
              </w:rPr>
              <w:fldChar w:fldCharType="begin"/>
            </w:r>
            <w:r w:rsidR="00382F92">
              <w:rPr>
                <w:noProof/>
                <w:webHidden/>
              </w:rPr>
              <w:instrText xml:space="preserve"> PAGEREF _Toc501022049 \h </w:instrText>
            </w:r>
            <w:r w:rsidR="00382F92">
              <w:rPr>
                <w:noProof/>
                <w:webHidden/>
              </w:rPr>
            </w:r>
            <w:r w:rsidR="00382F92">
              <w:rPr>
                <w:noProof/>
                <w:webHidden/>
              </w:rPr>
              <w:fldChar w:fldCharType="separate"/>
            </w:r>
            <w:r w:rsidR="00EC010D">
              <w:rPr>
                <w:noProof/>
                <w:webHidden/>
              </w:rPr>
              <w:t>37</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50" w:history="1">
            <w:r w:rsidR="00382F92" w:rsidRPr="003F19FB">
              <w:rPr>
                <w:rStyle w:val="Hyperlink"/>
                <w:noProof/>
              </w:rPr>
              <w:t>11.1</w:t>
            </w:r>
            <w:r w:rsidR="00382F92">
              <w:rPr>
                <w:rFonts w:eastAsiaTheme="minorEastAsia" w:cstheme="minorBidi"/>
                <w:b w:val="0"/>
                <w:bCs w:val="0"/>
                <w:caps w:val="0"/>
                <w:noProof/>
                <w:color w:val="auto"/>
              </w:rPr>
              <w:tab/>
            </w:r>
            <w:r w:rsidR="00382F92" w:rsidRPr="003F19FB">
              <w:rPr>
                <w:rStyle w:val="Hyperlink"/>
                <w:noProof/>
              </w:rPr>
              <w:t>Data Sets Analyzed</w:t>
            </w:r>
            <w:r w:rsidR="00382F92">
              <w:rPr>
                <w:noProof/>
                <w:webHidden/>
              </w:rPr>
              <w:tab/>
            </w:r>
            <w:r w:rsidR="00382F92">
              <w:rPr>
                <w:noProof/>
                <w:webHidden/>
              </w:rPr>
              <w:fldChar w:fldCharType="begin"/>
            </w:r>
            <w:r w:rsidR="00382F92">
              <w:rPr>
                <w:noProof/>
                <w:webHidden/>
              </w:rPr>
              <w:instrText xml:space="preserve"> PAGEREF _Toc501022050 \h </w:instrText>
            </w:r>
            <w:r w:rsidR="00382F92">
              <w:rPr>
                <w:noProof/>
                <w:webHidden/>
              </w:rPr>
            </w:r>
            <w:r w:rsidR="00382F92">
              <w:rPr>
                <w:noProof/>
                <w:webHidden/>
              </w:rPr>
              <w:fldChar w:fldCharType="separate"/>
            </w:r>
            <w:r w:rsidR="00EC010D">
              <w:rPr>
                <w:noProof/>
                <w:webHidden/>
              </w:rPr>
              <w:t>37</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51" w:history="1">
            <w:r w:rsidR="00382F92" w:rsidRPr="003F19FB">
              <w:rPr>
                <w:rStyle w:val="Hyperlink"/>
                <w:noProof/>
              </w:rPr>
              <w:t>11.2</w:t>
            </w:r>
            <w:r w:rsidR="00382F92">
              <w:rPr>
                <w:rFonts w:eastAsiaTheme="minorEastAsia" w:cstheme="minorBidi"/>
                <w:b w:val="0"/>
                <w:bCs w:val="0"/>
                <w:caps w:val="0"/>
                <w:noProof/>
                <w:color w:val="auto"/>
              </w:rPr>
              <w:tab/>
            </w:r>
            <w:r w:rsidR="00382F92" w:rsidRPr="003F19FB">
              <w:rPr>
                <w:rStyle w:val="Hyperlink"/>
                <w:noProof/>
              </w:rPr>
              <w:t>Demographic and Other Baseline Characteristics</w:t>
            </w:r>
            <w:r w:rsidR="00382F92">
              <w:rPr>
                <w:noProof/>
                <w:webHidden/>
              </w:rPr>
              <w:tab/>
            </w:r>
            <w:r w:rsidR="00382F92">
              <w:rPr>
                <w:noProof/>
                <w:webHidden/>
              </w:rPr>
              <w:fldChar w:fldCharType="begin"/>
            </w:r>
            <w:r w:rsidR="00382F92">
              <w:rPr>
                <w:noProof/>
                <w:webHidden/>
              </w:rPr>
              <w:instrText xml:space="preserve"> PAGEREF _Toc501022051 \h </w:instrText>
            </w:r>
            <w:r w:rsidR="00382F92">
              <w:rPr>
                <w:noProof/>
                <w:webHidden/>
              </w:rPr>
            </w:r>
            <w:r w:rsidR="00382F92">
              <w:rPr>
                <w:noProof/>
                <w:webHidden/>
              </w:rPr>
              <w:fldChar w:fldCharType="separate"/>
            </w:r>
            <w:r w:rsidR="00EC010D">
              <w:rPr>
                <w:noProof/>
                <w:webHidden/>
              </w:rPr>
              <w:t>37</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52" w:history="1">
            <w:r w:rsidR="00382F92" w:rsidRPr="003F19FB">
              <w:rPr>
                <w:rStyle w:val="Hyperlink"/>
                <w:noProof/>
              </w:rPr>
              <w:t>11.3</w:t>
            </w:r>
            <w:r w:rsidR="00382F92">
              <w:rPr>
                <w:rFonts w:eastAsiaTheme="minorEastAsia" w:cstheme="minorBidi"/>
                <w:b w:val="0"/>
                <w:bCs w:val="0"/>
                <w:caps w:val="0"/>
                <w:noProof/>
                <w:color w:val="auto"/>
              </w:rPr>
              <w:tab/>
            </w:r>
            <w:r w:rsidR="00382F92" w:rsidRPr="003F19FB">
              <w:rPr>
                <w:rStyle w:val="Hyperlink"/>
                <w:noProof/>
              </w:rPr>
              <w:t>Efficacy Results and Tabulations</w:t>
            </w:r>
            <w:r w:rsidR="00382F92">
              <w:rPr>
                <w:noProof/>
                <w:webHidden/>
              </w:rPr>
              <w:tab/>
            </w:r>
            <w:r w:rsidR="00382F92">
              <w:rPr>
                <w:noProof/>
                <w:webHidden/>
              </w:rPr>
              <w:fldChar w:fldCharType="begin"/>
            </w:r>
            <w:r w:rsidR="00382F92">
              <w:rPr>
                <w:noProof/>
                <w:webHidden/>
              </w:rPr>
              <w:instrText xml:space="preserve"> PAGEREF _Toc501022052 \h </w:instrText>
            </w:r>
            <w:r w:rsidR="00382F92">
              <w:rPr>
                <w:noProof/>
                <w:webHidden/>
              </w:rPr>
            </w:r>
            <w:r w:rsidR="00382F92">
              <w:rPr>
                <w:noProof/>
                <w:webHidden/>
              </w:rPr>
              <w:fldChar w:fldCharType="separate"/>
            </w:r>
            <w:r w:rsidR="00EC010D">
              <w:rPr>
                <w:noProof/>
                <w:webHidden/>
              </w:rPr>
              <w:t>44</w:t>
            </w:r>
            <w:r w:rsidR="00382F92">
              <w:rPr>
                <w:noProof/>
                <w:webHidden/>
              </w:rPr>
              <w:fldChar w:fldCharType="end"/>
            </w:r>
          </w:hyperlink>
        </w:p>
        <w:p w:rsidR="00382F92" w:rsidRDefault="000E00CA">
          <w:pPr>
            <w:pStyle w:val="TOC3"/>
            <w:tabs>
              <w:tab w:val="left" w:pos="880"/>
              <w:tab w:val="right" w:leader="dot" w:pos="8610"/>
            </w:tabs>
            <w:rPr>
              <w:rFonts w:eastAsiaTheme="minorEastAsia" w:cstheme="minorBidi"/>
              <w:noProof/>
              <w:color w:val="auto"/>
              <w:sz w:val="22"/>
              <w:szCs w:val="22"/>
            </w:rPr>
          </w:pPr>
          <w:hyperlink w:anchor="_Toc501022053" w:history="1">
            <w:r w:rsidR="00382F92" w:rsidRPr="003F19FB">
              <w:rPr>
                <w:rStyle w:val="Hyperlink"/>
                <w:noProof/>
              </w:rPr>
              <w:t>11.3.1</w:t>
            </w:r>
            <w:r w:rsidR="00382F92">
              <w:rPr>
                <w:rFonts w:eastAsiaTheme="minorEastAsia" w:cstheme="minorBidi"/>
                <w:noProof/>
                <w:color w:val="auto"/>
                <w:sz w:val="22"/>
                <w:szCs w:val="22"/>
              </w:rPr>
              <w:tab/>
            </w:r>
            <w:r w:rsidR="00382F92" w:rsidRPr="003F19FB">
              <w:rPr>
                <w:rStyle w:val="Hyperlink"/>
                <w:noProof/>
              </w:rPr>
              <w:t>Analysis of Efficacy</w:t>
            </w:r>
            <w:r w:rsidR="00382F92">
              <w:rPr>
                <w:noProof/>
                <w:webHidden/>
              </w:rPr>
              <w:tab/>
            </w:r>
            <w:r w:rsidR="00382F92">
              <w:rPr>
                <w:noProof/>
                <w:webHidden/>
              </w:rPr>
              <w:fldChar w:fldCharType="begin"/>
            </w:r>
            <w:r w:rsidR="00382F92">
              <w:rPr>
                <w:noProof/>
                <w:webHidden/>
              </w:rPr>
              <w:instrText xml:space="preserve"> PAGEREF _Toc501022053 \h </w:instrText>
            </w:r>
            <w:r w:rsidR="00382F92">
              <w:rPr>
                <w:noProof/>
                <w:webHidden/>
              </w:rPr>
            </w:r>
            <w:r w:rsidR="00382F92">
              <w:rPr>
                <w:noProof/>
                <w:webHidden/>
              </w:rPr>
              <w:fldChar w:fldCharType="separate"/>
            </w:r>
            <w:r w:rsidR="00EC010D">
              <w:rPr>
                <w:noProof/>
                <w:webHidden/>
              </w:rPr>
              <w:t>44</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54" w:history="1">
            <w:r w:rsidR="00382F92" w:rsidRPr="003F19FB">
              <w:rPr>
                <w:rStyle w:val="Hyperlink"/>
                <w:noProof/>
              </w:rPr>
              <w:t>12.</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SAFETY EVALUATION</w:t>
            </w:r>
            <w:r w:rsidR="00382F92">
              <w:rPr>
                <w:noProof/>
                <w:webHidden/>
              </w:rPr>
              <w:tab/>
            </w:r>
            <w:r w:rsidR="00382F92">
              <w:rPr>
                <w:noProof/>
                <w:webHidden/>
              </w:rPr>
              <w:fldChar w:fldCharType="begin"/>
            </w:r>
            <w:r w:rsidR="00382F92">
              <w:rPr>
                <w:noProof/>
                <w:webHidden/>
              </w:rPr>
              <w:instrText xml:space="preserve"> PAGEREF _Toc501022054 \h </w:instrText>
            </w:r>
            <w:r w:rsidR="00382F92">
              <w:rPr>
                <w:noProof/>
                <w:webHidden/>
              </w:rPr>
            </w:r>
            <w:r w:rsidR="00382F92">
              <w:rPr>
                <w:noProof/>
                <w:webHidden/>
              </w:rPr>
              <w:fldChar w:fldCharType="separate"/>
            </w:r>
            <w:r w:rsidR="00EC010D">
              <w:rPr>
                <w:noProof/>
                <w:webHidden/>
              </w:rPr>
              <w:t>47</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55" w:history="1">
            <w:r w:rsidR="00382F92" w:rsidRPr="003F19FB">
              <w:rPr>
                <w:rStyle w:val="Hyperlink"/>
                <w:noProof/>
              </w:rPr>
              <w:t>12.1</w:t>
            </w:r>
            <w:r w:rsidR="00382F92">
              <w:rPr>
                <w:rFonts w:eastAsiaTheme="minorEastAsia" w:cstheme="minorBidi"/>
                <w:b w:val="0"/>
                <w:bCs w:val="0"/>
                <w:caps w:val="0"/>
                <w:noProof/>
                <w:color w:val="auto"/>
              </w:rPr>
              <w:tab/>
            </w:r>
            <w:r w:rsidR="00382F92" w:rsidRPr="003F19FB">
              <w:rPr>
                <w:rStyle w:val="Hyperlink"/>
                <w:noProof/>
              </w:rPr>
              <w:t>Adverse Events</w:t>
            </w:r>
            <w:r w:rsidR="00382F92">
              <w:rPr>
                <w:noProof/>
                <w:webHidden/>
              </w:rPr>
              <w:tab/>
            </w:r>
            <w:r w:rsidR="00382F92">
              <w:rPr>
                <w:noProof/>
                <w:webHidden/>
              </w:rPr>
              <w:fldChar w:fldCharType="begin"/>
            </w:r>
            <w:r w:rsidR="00382F92">
              <w:rPr>
                <w:noProof/>
                <w:webHidden/>
              </w:rPr>
              <w:instrText xml:space="preserve"> PAGEREF _Toc501022055 \h </w:instrText>
            </w:r>
            <w:r w:rsidR="00382F92">
              <w:rPr>
                <w:noProof/>
                <w:webHidden/>
              </w:rPr>
            </w:r>
            <w:r w:rsidR="00382F92">
              <w:rPr>
                <w:noProof/>
                <w:webHidden/>
              </w:rPr>
              <w:fldChar w:fldCharType="separate"/>
            </w:r>
            <w:r w:rsidR="00EC010D">
              <w:rPr>
                <w:noProof/>
                <w:webHidden/>
              </w:rPr>
              <w:t>47</w:t>
            </w:r>
            <w:r w:rsidR="00382F92">
              <w:rPr>
                <w:noProof/>
                <w:webHidden/>
              </w:rPr>
              <w:fldChar w:fldCharType="end"/>
            </w:r>
          </w:hyperlink>
        </w:p>
        <w:p w:rsidR="00382F92" w:rsidRDefault="000E00CA">
          <w:pPr>
            <w:pStyle w:val="TOC3"/>
            <w:tabs>
              <w:tab w:val="left" w:pos="880"/>
              <w:tab w:val="right" w:leader="dot" w:pos="8610"/>
            </w:tabs>
            <w:rPr>
              <w:rFonts w:eastAsiaTheme="minorEastAsia" w:cstheme="minorBidi"/>
              <w:noProof/>
              <w:color w:val="auto"/>
              <w:sz w:val="22"/>
              <w:szCs w:val="22"/>
            </w:rPr>
          </w:pPr>
          <w:hyperlink w:anchor="_Toc501022056" w:history="1">
            <w:r w:rsidR="00382F92" w:rsidRPr="003F19FB">
              <w:rPr>
                <w:rStyle w:val="Hyperlink"/>
                <w:noProof/>
              </w:rPr>
              <w:t>12.1.1</w:t>
            </w:r>
            <w:r w:rsidR="00382F92">
              <w:rPr>
                <w:rFonts w:eastAsiaTheme="minorEastAsia" w:cstheme="minorBidi"/>
                <w:noProof/>
                <w:color w:val="auto"/>
                <w:sz w:val="22"/>
                <w:szCs w:val="22"/>
              </w:rPr>
              <w:tab/>
            </w:r>
            <w:r w:rsidR="00382F92" w:rsidRPr="003F19FB">
              <w:rPr>
                <w:rStyle w:val="Hyperlink"/>
                <w:noProof/>
              </w:rPr>
              <w:t>Brief Summary of Adverse Events</w:t>
            </w:r>
            <w:r w:rsidR="00382F92">
              <w:rPr>
                <w:noProof/>
                <w:webHidden/>
              </w:rPr>
              <w:tab/>
            </w:r>
            <w:r w:rsidR="00382F92">
              <w:rPr>
                <w:noProof/>
                <w:webHidden/>
              </w:rPr>
              <w:fldChar w:fldCharType="begin"/>
            </w:r>
            <w:r w:rsidR="00382F92">
              <w:rPr>
                <w:noProof/>
                <w:webHidden/>
              </w:rPr>
              <w:instrText xml:space="preserve"> PAGEREF _Toc501022056 \h </w:instrText>
            </w:r>
            <w:r w:rsidR="00382F92">
              <w:rPr>
                <w:noProof/>
                <w:webHidden/>
              </w:rPr>
            </w:r>
            <w:r w:rsidR="00382F92">
              <w:rPr>
                <w:noProof/>
                <w:webHidden/>
              </w:rPr>
              <w:fldChar w:fldCharType="separate"/>
            </w:r>
            <w:r w:rsidR="00EC010D">
              <w:rPr>
                <w:noProof/>
                <w:webHidden/>
              </w:rPr>
              <w:t>48</w:t>
            </w:r>
            <w:r w:rsidR="00382F92">
              <w:rPr>
                <w:noProof/>
                <w:webHidden/>
              </w:rPr>
              <w:fldChar w:fldCharType="end"/>
            </w:r>
          </w:hyperlink>
        </w:p>
        <w:p w:rsidR="00382F92" w:rsidRDefault="000E00CA">
          <w:pPr>
            <w:pStyle w:val="TOC3"/>
            <w:tabs>
              <w:tab w:val="left" w:pos="880"/>
              <w:tab w:val="right" w:leader="dot" w:pos="8610"/>
            </w:tabs>
            <w:rPr>
              <w:rFonts w:eastAsiaTheme="minorEastAsia" w:cstheme="minorBidi"/>
              <w:noProof/>
              <w:color w:val="auto"/>
              <w:sz w:val="22"/>
              <w:szCs w:val="22"/>
            </w:rPr>
          </w:pPr>
          <w:hyperlink w:anchor="_Toc501022057" w:history="1">
            <w:r w:rsidR="00382F92" w:rsidRPr="003F19FB">
              <w:rPr>
                <w:rStyle w:val="Hyperlink"/>
                <w:noProof/>
              </w:rPr>
              <w:t>12.1.2</w:t>
            </w:r>
            <w:r w:rsidR="00382F92">
              <w:rPr>
                <w:rFonts w:eastAsiaTheme="minorEastAsia" w:cstheme="minorBidi"/>
                <w:noProof/>
                <w:color w:val="auto"/>
                <w:sz w:val="22"/>
                <w:szCs w:val="22"/>
              </w:rPr>
              <w:tab/>
            </w:r>
            <w:r w:rsidR="00382F92" w:rsidRPr="003F19FB">
              <w:rPr>
                <w:rStyle w:val="Hyperlink"/>
                <w:noProof/>
              </w:rPr>
              <w:t>Display of Adverse Events</w:t>
            </w:r>
            <w:r w:rsidR="00382F92">
              <w:rPr>
                <w:noProof/>
                <w:webHidden/>
              </w:rPr>
              <w:tab/>
            </w:r>
            <w:r w:rsidR="00382F92">
              <w:rPr>
                <w:noProof/>
                <w:webHidden/>
              </w:rPr>
              <w:fldChar w:fldCharType="begin"/>
            </w:r>
            <w:r w:rsidR="00382F92">
              <w:rPr>
                <w:noProof/>
                <w:webHidden/>
              </w:rPr>
              <w:instrText xml:space="preserve"> PAGEREF _Toc501022057 \h </w:instrText>
            </w:r>
            <w:r w:rsidR="00382F92">
              <w:rPr>
                <w:noProof/>
                <w:webHidden/>
              </w:rPr>
            </w:r>
            <w:r w:rsidR="00382F92">
              <w:rPr>
                <w:noProof/>
                <w:webHidden/>
              </w:rPr>
              <w:fldChar w:fldCharType="separate"/>
            </w:r>
            <w:r w:rsidR="00EC010D">
              <w:rPr>
                <w:noProof/>
                <w:webHidden/>
              </w:rPr>
              <w:t>48</w:t>
            </w:r>
            <w:r w:rsidR="00382F92">
              <w:rPr>
                <w:noProof/>
                <w:webHidden/>
              </w:rPr>
              <w:fldChar w:fldCharType="end"/>
            </w:r>
          </w:hyperlink>
        </w:p>
        <w:p w:rsidR="00382F92" w:rsidRDefault="000E00CA">
          <w:pPr>
            <w:pStyle w:val="TOC2"/>
            <w:tabs>
              <w:tab w:val="left" w:pos="660"/>
              <w:tab w:val="right" w:leader="dot" w:pos="8610"/>
            </w:tabs>
            <w:rPr>
              <w:rFonts w:eastAsiaTheme="minorEastAsia" w:cstheme="minorBidi"/>
              <w:b w:val="0"/>
              <w:bCs w:val="0"/>
              <w:caps w:val="0"/>
              <w:noProof/>
              <w:color w:val="auto"/>
            </w:rPr>
          </w:pPr>
          <w:hyperlink w:anchor="_Toc501022058" w:history="1">
            <w:r w:rsidR="00382F92" w:rsidRPr="003F19FB">
              <w:rPr>
                <w:rStyle w:val="Hyperlink"/>
                <w:noProof/>
              </w:rPr>
              <w:t>12.2</w:t>
            </w:r>
            <w:r w:rsidR="00382F92">
              <w:rPr>
                <w:rFonts w:eastAsiaTheme="minorEastAsia" w:cstheme="minorBidi"/>
                <w:b w:val="0"/>
                <w:bCs w:val="0"/>
                <w:caps w:val="0"/>
                <w:noProof/>
                <w:color w:val="auto"/>
              </w:rPr>
              <w:tab/>
            </w:r>
            <w:r w:rsidR="00382F92" w:rsidRPr="003F19FB">
              <w:rPr>
                <w:rStyle w:val="Hyperlink"/>
                <w:noProof/>
              </w:rPr>
              <w:t>Deaths, Other SAEs, and Other Significant Adverse Events</w:t>
            </w:r>
            <w:r w:rsidR="00382F92">
              <w:rPr>
                <w:noProof/>
                <w:webHidden/>
              </w:rPr>
              <w:tab/>
            </w:r>
            <w:r w:rsidR="00382F92">
              <w:rPr>
                <w:noProof/>
                <w:webHidden/>
              </w:rPr>
              <w:fldChar w:fldCharType="begin"/>
            </w:r>
            <w:r w:rsidR="00382F92">
              <w:rPr>
                <w:noProof/>
                <w:webHidden/>
              </w:rPr>
              <w:instrText xml:space="preserve"> PAGEREF _Toc501022058 \h </w:instrText>
            </w:r>
            <w:r w:rsidR="00382F92">
              <w:rPr>
                <w:noProof/>
                <w:webHidden/>
              </w:rPr>
            </w:r>
            <w:r w:rsidR="00382F92">
              <w:rPr>
                <w:noProof/>
                <w:webHidden/>
              </w:rPr>
              <w:fldChar w:fldCharType="separate"/>
            </w:r>
            <w:r w:rsidR="00EC010D">
              <w:rPr>
                <w:noProof/>
                <w:webHidden/>
              </w:rPr>
              <w:t>49</w:t>
            </w:r>
            <w:r w:rsidR="00382F92">
              <w:rPr>
                <w:noProof/>
                <w:webHidden/>
              </w:rPr>
              <w:fldChar w:fldCharType="end"/>
            </w:r>
          </w:hyperlink>
        </w:p>
        <w:p w:rsidR="00382F92" w:rsidRDefault="000E00CA">
          <w:pPr>
            <w:pStyle w:val="TOC3"/>
            <w:tabs>
              <w:tab w:val="left" w:pos="880"/>
              <w:tab w:val="right" w:leader="dot" w:pos="8610"/>
            </w:tabs>
            <w:rPr>
              <w:rFonts w:eastAsiaTheme="minorEastAsia" w:cstheme="minorBidi"/>
              <w:noProof/>
              <w:color w:val="auto"/>
              <w:sz w:val="22"/>
              <w:szCs w:val="22"/>
            </w:rPr>
          </w:pPr>
          <w:hyperlink w:anchor="_Toc501022059" w:history="1">
            <w:r w:rsidR="00382F92" w:rsidRPr="003F19FB">
              <w:rPr>
                <w:rStyle w:val="Hyperlink"/>
                <w:noProof/>
              </w:rPr>
              <w:t>12.2.1</w:t>
            </w:r>
            <w:r w:rsidR="00382F92">
              <w:rPr>
                <w:rFonts w:eastAsiaTheme="minorEastAsia" w:cstheme="minorBidi"/>
                <w:noProof/>
                <w:color w:val="auto"/>
                <w:sz w:val="22"/>
                <w:szCs w:val="22"/>
              </w:rPr>
              <w:tab/>
            </w:r>
            <w:r w:rsidR="00382F92" w:rsidRPr="003F19FB">
              <w:rPr>
                <w:rStyle w:val="Hyperlink"/>
                <w:noProof/>
              </w:rPr>
              <w:t>Deaths</w:t>
            </w:r>
            <w:r w:rsidR="00382F92">
              <w:rPr>
                <w:noProof/>
                <w:webHidden/>
              </w:rPr>
              <w:tab/>
            </w:r>
            <w:r w:rsidR="00382F92">
              <w:rPr>
                <w:noProof/>
                <w:webHidden/>
              </w:rPr>
              <w:fldChar w:fldCharType="begin"/>
            </w:r>
            <w:r w:rsidR="00382F92">
              <w:rPr>
                <w:noProof/>
                <w:webHidden/>
              </w:rPr>
              <w:instrText xml:space="preserve"> PAGEREF _Toc501022059 \h </w:instrText>
            </w:r>
            <w:r w:rsidR="00382F92">
              <w:rPr>
                <w:noProof/>
                <w:webHidden/>
              </w:rPr>
            </w:r>
            <w:r w:rsidR="00382F92">
              <w:rPr>
                <w:noProof/>
                <w:webHidden/>
              </w:rPr>
              <w:fldChar w:fldCharType="separate"/>
            </w:r>
            <w:r w:rsidR="00EC010D">
              <w:rPr>
                <w:noProof/>
                <w:webHidden/>
              </w:rPr>
              <w:t>49</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60" w:history="1">
            <w:r w:rsidR="00382F92" w:rsidRPr="003F19FB">
              <w:rPr>
                <w:rStyle w:val="Hyperlink"/>
                <w:noProof/>
              </w:rPr>
              <w:t>13.</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DISCUSSION AND OVERALL CONCLUSIONS</w:t>
            </w:r>
            <w:r w:rsidR="00382F92">
              <w:rPr>
                <w:noProof/>
                <w:webHidden/>
              </w:rPr>
              <w:tab/>
            </w:r>
            <w:r w:rsidR="00382F92">
              <w:rPr>
                <w:noProof/>
                <w:webHidden/>
              </w:rPr>
              <w:fldChar w:fldCharType="begin"/>
            </w:r>
            <w:r w:rsidR="00382F92">
              <w:rPr>
                <w:noProof/>
                <w:webHidden/>
              </w:rPr>
              <w:instrText xml:space="preserve"> PAGEREF _Toc501022060 \h </w:instrText>
            </w:r>
            <w:r w:rsidR="00382F92">
              <w:rPr>
                <w:noProof/>
                <w:webHidden/>
              </w:rPr>
            </w:r>
            <w:r w:rsidR="00382F92">
              <w:rPr>
                <w:noProof/>
                <w:webHidden/>
              </w:rPr>
              <w:fldChar w:fldCharType="separate"/>
            </w:r>
            <w:r w:rsidR="00EC010D">
              <w:rPr>
                <w:noProof/>
                <w:webHidden/>
              </w:rPr>
              <w:t>51</w:t>
            </w:r>
            <w:r w:rsidR="00382F92">
              <w:rPr>
                <w:noProof/>
                <w:webHidden/>
              </w:rPr>
              <w:fldChar w:fldCharType="end"/>
            </w:r>
          </w:hyperlink>
        </w:p>
        <w:p w:rsidR="00382F92" w:rsidRDefault="000E00CA">
          <w:pPr>
            <w:pStyle w:val="TOC1"/>
            <w:tabs>
              <w:tab w:val="left" w:pos="660"/>
              <w:tab w:val="right" w:leader="dot" w:pos="8610"/>
            </w:tabs>
            <w:rPr>
              <w:rFonts w:eastAsiaTheme="minorEastAsia" w:cstheme="minorBidi"/>
              <w:b w:val="0"/>
              <w:bCs w:val="0"/>
              <w:iCs w:val="0"/>
              <w:noProof/>
              <w:color w:val="auto"/>
              <w:sz w:val="22"/>
              <w:szCs w:val="22"/>
              <w:lang w:val="en-US" w:eastAsia="en-US"/>
            </w:rPr>
          </w:pPr>
          <w:hyperlink w:anchor="_Toc501022061" w:history="1">
            <w:r w:rsidR="00382F92" w:rsidRPr="003F19FB">
              <w:rPr>
                <w:rStyle w:val="Hyperlink"/>
                <w:noProof/>
              </w:rPr>
              <w:t>14.</w:t>
            </w:r>
            <w:r w:rsidR="00382F92">
              <w:rPr>
                <w:rFonts w:eastAsiaTheme="minorEastAsia" w:cstheme="minorBidi"/>
                <w:b w:val="0"/>
                <w:bCs w:val="0"/>
                <w:iCs w:val="0"/>
                <w:noProof/>
                <w:color w:val="auto"/>
                <w:sz w:val="22"/>
                <w:szCs w:val="22"/>
                <w:lang w:val="en-US" w:eastAsia="en-US"/>
              </w:rPr>
              <w:tab/>
            </w:r>
            <w:r w:rsidR="00382F92" w:rsidRPr="003F19FB">
              <w:rPr>
                <w:rStyle w:val="Hyperlink"/>
                <w:noProof/>
              </w:rPr>
              <w:t>LIST OF TABLES</w:t>
            </w:r>
            <w:r w:rsidR="00382F92">
              <w:rPr>
                <w:noProof/>
                <w:webHidden/>
              </w:rPr>
              <w:tab/>
            </w:r>
            <w:r w:rsidR="00382F92">
              <w:rPr>
                <w:noProof/>
                <w:webHidden/>
              </w:rPr>
              <w:fldChar w:fldCharType="begin"/>
            </w:r>
            <w:r w:rsidR="00382F92">
              <w:rPr>
                <w:noProof/>
                <w:webHidden/>
              </w:rPr>
              <w:instrText xml:space="preserve"> PAGEREF _Toc501022061 \h </w:instrText>
            </w:r>
            <w:r w:rsidR="00382F92">
              <w:rPr>
                <w:noProof/>
                <w:webHidden/>
              </w:rPr>
            </w:r>
            <w:r w:rsidR="00382F92">
              <w:rPr>
                <w:noProof/>
                <w:webHidden/>
              </w:rPr>
              <w:fldChar w:fldCharType="separate"/>
            </w:r>
            <w:r w:rsidR="00EC010D">
              <w:rPr>
                <w:noProof/>
                <w:webHidden/>
              </w:rPr>
              <w:t>52</w:t>
            </w:r>
            <w:r w:rsidR="00382F92">
              <w:rPr>
                <w:noProof/>
                <w:webHidden/>
              </w:rPr>
              <w:fldChar w:fldCharType="end"/>
            </w:r>
          </w:hyperlink>
        </w:p>
        <w:p w:rsidR="00E36289" w:rsidRDefault="00E36289">
          <w:r>
            <w:rPr>
              <w:b/>
              <w:bCs/>
              <w:noProof/>
            </w:rPr>
            <w:fldChar w:fldCharType="end"/>
          </w:r>
        </w:p>
      </w:sdtContent>
    </w:sdt>
    <w:p w:rsidR="003B167F" w:rsidRPr="006353B9" w:rsidRDefault="003B167F" w:rsidP="003B167F">
      <w:pPr>
        <w:pStyle w:val="Normal1"/>
        <w:jc w:val="both"/>
        <w:rPr>
          <w:color w:val="auto"/>
          <w:lang w:val="en-US"/>
        </w:rPr>
      </w:pPr>
      <w:r w:rsidRPr="006353B9">
        <w:rPr>
          <w:color w:val="auto"/>
          <w:lang w:val="en-US"/>
        </w:rPr>
        <w:br/>
      </w:r>
    </w:p>
    <w:p w:rsidR="003B167F" w:rsidRPr="006353B9" w:rsidRDefault="003B167F" w:rsidP="003B167F">
      <w:pPr>
        <w:jc w:val="both"/>
        <w:rPr>
          <w:color w:val="auto"/>
          <w:lang w:val="en-US"/>
        </w:rPr>
      </w:pPr>
      <w:r w:rsidRPr="006353B9">
        <w:rPr>
          <w:color w:val="auto"/>
          <w:lang w:val="en-US"/>
        </w:rPr>
        <w:br w:type="page"/>
      </w:r>
    </w:p>
    <w:p w:rsidR="003B167F" w:rsidRPr="006353B9" w:rsidRDefault="003B167F" w:rsidP="009A2182">
      <w:pPr>
        <w:pStyle w:val="Heading1"/>
      </w:pPr>
      <w:bookmarkStart w:id="3" w:name="_Toc501022016"/>
      <w:r w:rsidRPr="006353B9">
        <w:lastRenderedPageBreak/>
        <w:t>LIST OF ABBREVIATIONS</w:t>
      </w:r>
      <w:bookmarkEnd w:id="3"/>
    </w:p>
    <w:tbl>
      <w:tblPr>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75"/>
        <w:gridCol w:w="45"/>
        <w:gridCol w:w="45"/>
        <w:gridCol w:w="75"/>
        <w:gridCol w:w="5460"/>
      </w:tblGrid>
      <w:tr w:rsidR="003B167F" w:rsidRPr="00154580"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Abbreviation</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Definition</w:t>
            </w:r>
          </w:p>
        </w:tc>
      </w:tr>
      <w:tr w:rsidR="003B167F" w:rsidRPr="00154580"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AE</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Adverse Event</w:t>
            </w:r>
          </w:p>
        </w:tc>
      </w:tr>
      <w:tr w:rsidR="003B167F" w:rsidRPr="00154580"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ALP</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Alkaline Phosphatase</w:t>
            </w:r>
          </w:p>
        </w:tc>
      </w:tr>
      <w:tr w:rsidR="003B167F" w:rsidRPr="00154580"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ALT</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Alanine Aminotransferase</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ANC</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Absolute Neutrophil Count</w:t>
            </w:r>
          </w:p>
        </w:tc>
      </w:tr>
      <w:tr w:rsidR="003B167F" w:rsidRPr="00AC180A"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APRO</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s-ES"/>
              </w:rPr>
            </w:pPr>
            <w:proofErr w:type="spellStart"/>
            <w:r w:rsidRPr="006353B9">
              <w:rPr>
                <w:color w:val="auto"/>
                <w:lang w:val="es-ES"/>
              </w:rPr>
              <w:t>Associació</w:t>
            </w:r>
            <w:proofErr w:type="spellEnd"/>
            <w:r w:rsidRPr="006353B9">
              <w:rPr>
                <w:color w:val="auto"/>
                <w:lang w:val="es-ES"/>
              </w:rPr>
              <w:t xml:space="preserve"> per la Recerca Oncologica</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AST</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Aspartate Aminotransferase</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BAL</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Bronchoalveolar lavage</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BCC</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Basal Cell Carcinoma</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CNS</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Central Nervous System</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CRF</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Case Report Form</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roofErr w:type="spellStart"/>
            <w:r w:rsidRPr="006353B9">
              <w:rPr>
                <w:color w:val="auto"/>
                <w:lang w:val="en-US"/>
              </w:rPr>
              <w:t>eCRF</w:t>
            </w:r>
            <w:proofErr w:type="spellEnd"/>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Electronic Case Report Form</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CSR</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Clinical Study Report</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CT</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Computerized Tomography</w:t>
            </w:r>
          </w:p>
        </w:tc>
      </w:tr>
      <w:tr w:rsidR="003B167F" w:rsidRPr="00AC180A"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CTCAE</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Common Terminology Criteria for Adverse Events</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DLCO</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Carbon monoxide diffusing capacity</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ECOG</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Eastern Cooperative Oncology Group</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FAS</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Full Analysis Set</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FPFV</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First patient first visit</w:t>
            </w:r>
          </w:p>
        </w:tc>
      </w:tr>
      <w:tr w:rsidR="003B167F" w:rsidRPr="006353B9" w:rsidTr="009A2182">
        <w:tc>
          <w:tcPr>
            <w:tcW w:w="3540"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GCBP</w:t>
            </w:r>
          </w:p>
        </w:tc>
        <w:tc>
          <w:tcPr>
            <w:tcW w:w="546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Gated Cardiac Blood Pool</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GGT</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Gamma Glutamyl Transferase</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GIST</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Gastrointestinal Stromal Tumor</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HBV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Hepatitis B virus</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HCV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Hepatitis C virus</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lastRenderedPageBreak/>
              <w:t>HIF</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Hypoxia-Inducible Factor</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HIV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Human Immunodeficiency Virus</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IEC</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Independent Ethic Committee</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IFN</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Interferon alfa-2a</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INR</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International Normalized Ratio</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IRB</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Institutional Review Board</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Intravenous</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LDH</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Lactate Dehydrogenase</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LPFV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Last patient first visit</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LPLV</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Last patient last visit</w:t>
            </w:r>
          </w:p>
        </w:tc>
      </w:tr>
      <w:tr w:rsidR="003B167F" w:rsidRPr="00AC180A"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MedDRA</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Medical Dictionary for regulatory activities</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roofErr w:type="spellStart"/>
            <w:r w:rsidRPr="006353B9">
              <w:rPr>
                <w:color w:val="auto"/>
                <w:lang w:val="en-US"/>
              </w:rPr>
              <w:t>mRCC</w:t>
            </w:r>
            <w:proofErr w:type="spellEnd"/>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Metastatic RCC</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MRI</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Magnetic Resonance Imaging</w:t>
            </w:r>
          </w:p>
        </w:tc>
      </w:tr>
      <w:tr w:rsidR="003B167F" w:rsidRPr="00AC180A"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MSKCC</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Memorial Sloan Kettering Cancer Center</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mTOR</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mammalian Target of Rapamycin</w:t>
            </w:r>
          </w:p>
        </w:tc>
      </w:tr>
      <w:tr w:rsidR="003B167F" w:rsidRPr="006353B9" w:rsidTr="009A2182">
        <w:tc>
          <w:tcPr>
            <w:tcW w:w="3465"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NCI</w:t>
            </w:r>
          </w:p>
        </w:tc>
        <w:tc>
          <w:tcPr>
            <w:tcW w:w="5535"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National Cancer Institute</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NYHA</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New York Heart Association</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ORR</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Objective tumor response rate</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OS</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Overall Survival</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PFR</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Progression free rate</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PFS</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Progression-free survival</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proofErr w:type="spellStart"/>
            <w:r w:rsidRPr="006353B9">
              <w:rPr>
                <w:color w:val="auto"/>
                <w:lang w:val="en-US"/>
              </w:rPr>
              <w:t>pNET</w:t>
            </w:r>
            <w:proofErr w:type="spellEnd"/>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Pancreatic Neuroendocrine Tumors</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PP</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Per Protocol population</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PS</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Performance Status</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PT</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Prothrombin time</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lastRenderedPageBreak/>
              <w:t>QTc</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Corrected QT interval</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RBC</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Red blood cell count</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RCC</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Renal Cell Carcinoma</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REB</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Research Ethics Board</w:t>
            </w:r>
          </w:p>
        </w:tc>
      </w:tr>
      <w:tr w:rsidR="003B167F" w:rsidRPr="00AC180A"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RECIST</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Response Evaluation Criteria in Solid Tumors</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RR</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Response Rate</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SAE</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Serious Adverse Event</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SAF</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Safety population</w:t>
            </w:r>
          </w:p>
        </w:tc>
      </w:tr>
      <w:tr w:rsidR="003B167F" w:rsidRPr="00AC180A"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SUSAR</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Suspected Unexpected Serious Adverse Reaction</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TKI</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Tyrosine kinase inhibitor</w:t>
            </w:r>
          </w:p>
        </w:tc>
      </w:tr>
      <w:tr w:rsidR="003B167F" w:rsidRPr="006353B9" w:rsidTr="009A2182">
        <w:tc>
          <w:tcPr>
            <w:tcW w:w="337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TSH</w:t>
            </w:r>
          </w:p>
        </w:tc>
        <w:tc>
          <w:tcPr>
            <w:tcW w:w="5625" w:type="dxa"/>
            <w:gridSpan w:val="4"/>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Thyroid-Stimulating Hormone</w:t>
            </w:r>
          </w:p>
        </w:tc>
      </w:tr>
      <w:tr w:rsidR="003B167F" w:rsidRPr="006353B9" w:rsidTr="009A2182">
        <w:tc>
          <w:tcPr>
            <w:tcW w:w="3420"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ULN</w:t>
            </w:r>
          </w:p>
        </w:tc>
        <w:tc>
          <w:tcPr>
            <w:tcW w:w="5580"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Upper Limit of Normality</w:t>
            </w:r>
          </w:p>
        </w:tc>
      </w:tr>
      <w:tr w:rsidR="003B167F" w:rsidRPr="006353B9" w:rsidTr="009A2182">
        <w:tc>
          <w:tcPr>
            <w:tcW w:w="3420"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VEGF</w:t>
            </w:r>
          </w:p>
        </w:tc>
        <w:tc>
          <w:tcPr>
            <w:tcW w:w="5580"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 xml:space="preserve">Vascular Endothelial Growth Factor </w:t>
            </w:r>
          </w:p>
        </w:tc>
      </w:tr>
      <w:tr w:rsidR="003B167F" w:rsidRPr="00AC180A" w:rsidTr="009A2182">
        <w:tc>
          <w:tcPr>
            <w:tcW w:w="3420"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VEGFR</w:t>
            </w:r>
          </w:p>
        </w:tc>
        <w:tc>
          <w:tcPr>
            <w:tcW w:w="5580"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Vascular Endothelial Growth Factor Receptor</w:t>
            </w:r>
          </w:p>
        </w:tc>
      </w:tr>
      <w:tr w:rsidR="003B167F" w:rsidRPr="006353B9" w:rsidTr="009A2182">
        <w:tc>
          <w:tcPr>
            <w:tcW w:w="3420"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VHL</w:t>
            </w:r>
          </w:p>
        </w:tc>
        <w:tc>
          <w:tcPr>
            <w:tcW w:w="5580"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Von Hippel-Lindau</w:t>
            </w:r>
          </w:p>
        </w:tc>
      </w:tr>
      <w:tr w:rsidR="003B167F" w:rsidRPr="006353B9" w:rsidTr="009A2182">
        <w:tc>
          <w:tcPr>
            <w:tcW w:w="3420" w:type="dxa"/>
            <w:gridSpan w:val="2"/>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WBC</w:t>
            </w:r>
          </w:p>
        </w:tc>
        <w:tc>
          <w:tcPr>
            <w:tcW w:w="5580" w:type="dxa"/>
            <w:gridSpan w:val="3"/>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rsidR="003B167F" w:rsidRPr="006353B9" w:rsidRDefault="003B167F" w:rsidP="009A2182">
            <w:pPr>
              <w:pStyle w:val="Normal1"/>
              <w:widowControl w:val="0"/>
              <w:spacing w:line="240" w:lineRule="auto"/>
              <w:jc w:val="both"/>
              <w:rPr>
                <w:color w:val="auto"/>
                <w:lang w:val="en-US"/>
              </w:rPr>
            </w:pPr>
            <w:r w:rsidRPr="006353B9">
              <w:rPr>
                <w:color w:val="auto"/>
                <w:lang w:val="en-US"/>
              </w:rPr>
              <w:t>White blood count</w:t>
            </w:r>
          </w:p>
        </w:tc>
      </w:tr>
    </w:tbl>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p>
    <w:p w:rsidR="003B167F" w:rsidRPr="006353B9" w:rsidRDefault="003B167F" w:rsidP="003B167F">
      <w:pPr>
        <w:jc w:val="both"/>
        <w:rPr>
          <w:color w:val="auto"/>
          <w:lang w:val="en-US"/>
        </w:rPr>
      </w:pPr>
      <w:r w:rsidRPr="006353B9">
        <w:rPr>
          <w:color w:val="auto"/>
          <w:lang w:val="en-US"/>
        </w:rPr>
        <w:br w:type="page"/>
      </w:r>
    </w:p>
    <w:p w:rsidR="003B167F" w:rsidRPr="006353B9" w:rsidRDefault="003B167F" w:rsidP="009A2182">
      <w:pPr>
        <w:pStyle w:val="Heading1"/>
      </w:pPr>
      <w:bookmarkStart w:id="4" w:name="_Toc501022017"/>
      <w:r w:rsidRPr="006353B9">
        <w:lastRenderedPageBreak/>
        <w:t>ETHICS</w:t>
      </w:r>
      <w:bookmarkEnd w:id="4"/>
    </w:p>
    <w:p w:rsidR="003B167F" w:rsidRPr="006353B9" w:rsidRDefault="003B167F" w:rsidP="009A2182">
      <w:pPr>
        <w:pStyle w:val="Heading2"/>
      </w:pPr>
      <w:bookmarkStart w:id="5" w:name="_Toc501022018"/>
      <w:r w:rsidRPr="006353B9">
        <w:t>Independent Ethics Committee (IEC) or Institutional Review Board (IRB)</w:t>
      </w:r>
      <w:bookmarkEnd w:id="5"/>
    </w:p>
    <w:p w:rsidR="003B167F" w:rsidRPr="006353B9" w:rsidRDefault="003B167F" w:rsidP="003B167F">
      <w:pPr>
        <w:pStyle w:val="Normal1"/>
        <w:jc w:val="both"/>
        <w:rPr>
          <w:color w:val="auto"/>
          <w:lang w:val="en-US"/>
        </w:rPr>
      </w:pPr>
      <w:r w:rsidRPr="006353B9">
        <w:rPr>
          <w:color w:val="auto"/>
          <w:lang w:val="en-US"/>
        </w:rPr>
        <w:t>The protocol and the patient information sheet and informed consent form (ICF) were reviewed and approved by the institutional review board (IRB)/ Independent Ethics Committee (IEC) involved and by the reference IRB/IEC, which provided in writing to the sponsor its approval/</w:t>
      </w:r>
      <w:r w:rsidR="00704C39" w:rsidRPr="006353B9">
        <w:rPr>
          <w:color w:val="auto"/>
          <w:lang w:val="en-US"/>
        </w:rPr>
        <w:t>favorable</w:t>
      </w:r>
      <w:r w:rsidRPr="006353B9">
        <w:rPr>
          <w:color w:val="auto"/>
          <w:lang w:val="en-US"/>
        </w:rPr>
        <w:t xml:space="preserve"> opinion regarding the study development.</w:t>
      </w:r>
    </w:p>
    <w:p w:rsidR="003B167F" w:rsidRPr="006353B9" w:rsidRDefault="003B167F" w:rsidP="003B167F">
      <w:pPr>
        <w:pStyle w:val="Normal1"/>
        <w:jc w:val="both"/>
        <w:rPr>
          <w:color w:val="auto"/>
          <w:lang w:val="en-US"/>
        </w:rPr>
      </w:pPr>
      <w:r w:rsidRPr="006353B9">
        <w:rPr>
          <w:color w:val="auto"/>
          <w:lang w:val="en-US"/>
        </w:rPr>
        <w:t xml:space="preserve">According to </w:t>
      </w:r>
      <w:r>
        <w:rPr>
          <w:color w:val="auto"/>
          <w:lang w:val="en-US"/>
        </w:rPr>
        <w:t>IEC</w:t>
      </w:r>
      <w:r w:rsidRPr="006353B9">
        <w:rPr>
          <w:color w:val="auto"/>
          <w:lang w:val="en-US"/>
        </w:rPr>
        <w:t xml:space="preserve"> regulations all patients gave their consent by signing the approved ICF before any procedures specified </w:t>
      </w:r>
      <w:r>
        <w:rPr>
          <w:color w:val="auto"/>
          <w:lang w:val="en-US"/>
        </w:rPr>
        <w:t xml:space="preserve">in the protocol were performed. </w:t>
      </w:r>
      <w:r w:rsidRPr="006353B9">
        <w:rPr>
          <w:color w:val="auto"/>
          <w:lang w:val="en-US"/>
        </w:rPr>
        <w:t>The sponsor submit</w:t>
      </w:r>
      <w:r>
        <w:rPr>
          <w:color w:val="auto"/>
          <w:lang w:val="en-US"/>
        </w:rPr>
        <w:t>ted</w:t>
      </w:r>
      <w:r w:rsidRPr="006353B9">
        <w:rPr>
          <w:color w:val="auto"/>
          <w:lang w:val="en-US"/>
        </w:rPr>
        <w:t xml:space="preserve"> the required reports of the study </w:t>
      </w:r>
      <w:r>
        <w:rPr>
          <w:color w:val="auto"/>
          <w:lang w:val="en-US"/>
        </w:rPr>
        <w:t xml:space="preserve">progress </w:t>
      </w:r>
      <w:r w:rsidRPr="006353B9">
        <w:rPr>
          <w:color w:val="auto"/>
          <w:lang w:val="en-US"/>
        </w:rPr>
        <w:t>to the IRB/IEC and to communicate the eventual serious adverse events (SAE), AES that were considered life-threatening or the deaths. The sponsor informed the IEC of the termination of the study.</w:t>
      </w:r>
    </w:p>
    <w:p w:rsidR="003B167F" w:rsidRPr="006353B9" w:rsidRDefault="003B167F" w:rsidP="009A2182">
      <w:pPr>
        <w:pStyle w:val="Heading2"/>
      </w:pPr>
      <w:bookmarkStart w:id="6" w:name="_Toc501022019"/>
      <w:r w:rsidRPr="006353B9">
        <w:t>Ethical Conduct of the Study</w:t>
      </w:r>
      <w:bookmarkEnd w:id="6"/>
    </w:p>
    <w:p w:rsidR="003B167F" w:rsidRPr="006353B9" w:rsidRDefault="003B167F" w:rsidP="003B167F">
      <w:pPr>
        <w:pStyle w:val="Normal1"/>
        <w:jc w:val="both"/>
        <w:rPr>
          <w:color w:val="auto"/>
          <w:lang w:val="en-US"/>
        </w:rPr>
      </w:pPr>
      <w:r w:rsidRPr="006353B9">
        <w:rPr>
          <w:color w:val="auto"/>
          <w:lang w:val="en-US"/>
        </w:rPr>
        <w:t xml:space="preserve">This study was conducted in accordance with the ethical principles pronounced in the Declaration of Helsinki (Amendment </w:t>
      </w:r>
      <w:r w:rsidR="00704C39">
        <w:rPr>
          <w:color w:val="auto"/>
          <w:lang w:val="en-US"/>
        </w:rPr>
        <w:t>64</w:t>
      </w:r>
      <w:r w:rsidR="00704C39" w:rsidRPr="00704C39">
        <w:rPr>
          <w:color w:val="auto"/>
          <w:vertAlign w:val="superscript"/>
          <w:lang w:val="en-US"/>
        </w:rPr>
        <w:t>th</w:t>
      </w:r>
      <w:r w:rsidR="00704C39">
        <w:rPr>
          <w:color w:val="auto"/>
          <w:lang w:val="en-US"/>
        </w:rPr>
        <w:t xml:space="preserve"> </w:t>
      </w:r>
      <w:r w:rsidRPr="006353B9">
        <w:rPr>
          <w:color w:val="auto"/>
          <w:lang w:val="en-US"/>
        </w:rPr>
        <w:t xml:space="preserve">of </w:t>
      </w:r>
      <w:r w:rsidR="00704C39">
        <w:rPr>
          <w:color w:val="auto"/>
          <w:lang w:val="en-US"/>
        </w:rPr>
        <w:t xml:space="preserve">the </w:t>
      </w:r>
      <w:r w:rsidRPr="006353B9">
        <w:rPr>
          <w:color w:val="auto"/>
          <w:lang w:val="en-US"/>
        </w:rPr>
        <w:t xml:space="preserve">World Medical Association General Assembly, </w:t>
      </w:r>
      <w:r w:rsidR="00704C39">
        <w:rPr>
          <w:color w:val="auto"/>
          <w:lang w:val="en-US"/>
        </w:rPr>
        <w:t>Fortaleza</w:t>
      </w:r>
      <w:r w:rsidRPr="006353B9">
        <w:rPr>
          <w:color w:val="auto"/>
          <w:lang w:val="en-US"/>
        </w:rPr>
        <w:t xml:space="preserve">, </w:t>
      </w:r>
      <w:r w:rsidR="00363712">
        <w:rPr>
          <w:color w:val="auto"/>
          <w:lang w:val="en-US"/>
        </w:rPr>
        <w:t>Brazil</w:t>
      </w:r>
      <w:r w:rsidR="00704C39">
        <w:rPr>
          <w:color w:val="auto"/>
          <w:lang w:val="en-US"/>
        </w:rPr>
        <w:t xml:space="preserve">, </w:t>
      </w:r>
      <w:r w:rsidRPr="006353B9">
        <w:rPr>
          <w:color w:val="auto"/>
          <w:lang w:val="en-US"/>
        </w:rPr>
        <w:t>October 20</w:t>
      </w:r>
      <w:r w:rsidR="00704C39">
        <w:rPr>
          <w:color w:val="auto"/>
          <w:lang w:val="en-US"/>
        </w:rPr>
        <w:t>13</w:t>
      </w:r>
      <w:r w:rsidRPr="006353B9">
        <w:rPr>
          <w:color w:val="auto"/>
          <w:lang w:val="en-US"/>
        </w:rPr>
        <w:t>).</w:t>
      </w:r>
    </w:p>
    <w:p w:rsidR="003B167F" w:rsidRPr="006353B9" w:rsidRDefault="003B167F" w:rsidP="009A2182">
      <w:pPr>
        <w:pStyle w:val="Heading2"/>
      </w:pPr>
      <w:bookmarkStart w:id="7" w:name="_Toc501022020"/>
      <w:r w:rsidRPr="006353B9">
        <w:t>Patient Information and Consent</w:t>
      </w:r>
      <w:bookmarkStart w:id="8" w:name="_Toc382316019"/>
      <w:bookmarkStart w:id="9" w:name="_Toc384136716"/>
      <w:bookmarkEnd w:id="7"/>
    </w:p>
    <w:p w:rsidR="003B167F" w:rsidRDefault="003B167F" w:rsidP="003B167F">
      <w:pPr>
        <w:pStyle w:val="Normal1"/>
        <w:jc w:val="both"/>
        <w:rPr>
          <w:color w:val="auto"/>
          <w:lang w:val="en-US"/>
        </w:rPr>
      </w:pPr>
      <w:r w:rsidRPr="006353B9">
        <w:rPr>
          <w:color w:val="auto"/>
          <w:lang w:val="en-US"/>
        </w:rPr>
        <w:t xml:space="preserve">All subjects voluntarily consented prior to enrollment in the study. Each subject enrolled in the study received a copy of his or her signed and dated informed consent and a copy was kept on file at the institution.  Significant new study developments were made known to the subjects and documented via a revised informed consent document.  </w:t>
      </w:r>
      <w:bookmarkEnd w:id="8"/>
      <w:bookmarkEnd w:id="9"/>
    </w:p>
    <w:p w:rsidR="00FF7BCC" w:rsidRPr="006353B9" w:rsidRDefault="00FF7BCC" w:rsidP="003B167F">
      <w:pPr>
        <w:pStyle w:val="Normal1"/>
        <w:jc w:val="both"/>
        <w:rPr>
          <w:color w:val="auto"/>
          <w:lang w:val="en-US"/>
        </w:rPr>
      </w:pPr>
    </w:p>
    <w:p w:rsidR="003B167F" w:rsidRPr="006353B9" w:rsidRDefault="003B167F" w:rsidP="009A2182">
      <w:pPr>
        <w:pStyle w:val="Heading1"/>
      </w:pPr>
      <w:bookmarkStart w:id="10" w:name="_Toc501022021"/>
      <w:r w:rsidRPr="006353B9">
        <w:t>INVESTIGATORS AND STUDY ADMINISTRATIVE STRUCTURE</w:t>
      </w:r>
      <w:bookmarkEnd w:id="10"/>
    </w:p>
    <w:p w:rsidR="003B167F" w:rsidRPr="006353B9" w:rsidRDefault="003B167F" w:rsidP="009A2182">
      <w:pPr>
        <w:pStyle w:val="BodyText"/>
        <w:spacing w:before="0"/>
        <w:jc w:val="both"/>
        <w:rPr>
          <w:rFonts w:ascii="Arial" w:hAnsi="Arial" w:cs="Arial"/>
          <w:b/>
          <w:sz w:val="22"/>
          <w:szCs w:val="22"/>
        </w:rPr>
      </w:pPr>
      <w:r w:rsidRPr="006353B9">
        <w:rPr>
          <w:rFonts w:ascii="Arial" w:hAnsi="Arial" w:cs="Arial"/>
          <w:b/>
          <w:sz w:val="22"/>
          <w:szCs w:val="22"/>
        </w:rPr>
        <w:t>COORDINATING INVESTIGATOR(S):</w:t>
      </w:r>
    </w:p>
    <w:p w:rsidR="003B167F" w:rsidRPr="00370A71" w:rsidRDefault="003B167F" w:rsidP="009A2182">
      <w:pPr>
        <w:autoSpaceDE w:val="0"/>
        <w:autoSpaceDN w:val="0"/>
        <w:adjustRightInd w:val="0"/>
        <w:spacing w:line="240" w:lineRule="auto"/>
        <w:jc w:val="both"/>
        <w:rPr>
          <w:color w:val="auto"/>
          <w:lang w:val="en-US"/>
        </w:rPr>
      </w:pPr>
      <w:r w:rsidRPr="006353B9">
        <w:rPr>
          <w:color w:val="auto"/>
          <w:lang w:val="en-US"/>
        </w:rPr>
        <w:t xml:space="preserve">Joaquim Bellmunt, MD/PhD </w:t>
      </w:r>
      <w:r w:rsidRPr="006353B9">
        <w:rPr>
          <w:rFonts w:eastAsia="Times New Roman"/>
          <w:color w:val="auto"/>
          <w:shd w:val="clear" w:color="auto" w:fill="FFFFFF"/>
          <w:lang w:val="en-US"/>
        </w:rPr>
        <w:t>Hospital del Mar (Spain)</w:t>
      </w:r>
    </w:p>
    <w:p w:rsidR="009A2182" w:rsidRDefault="003B167F" w:rsidP="009A2182">
      <w:pPr>
        <w:autoSpaceDE w:val="0"/>
        <w:autoSpaceDN w:val="0"/>
        <w:adjustRightInd w:val="0"/>
        <w:spacing w:line="240" w:lineRule="auto"/>
        <w:jc w:val="both"/>
        <w:rPr>
          <w:rFonts w:eastAsia="Times New Roman"/>
          <w:color w:val="auto"/>
          <w:lang w:val="en-US"/>
        </w:rPr>
      </w:pPr>
      <w:r w:rsidRPr="006353B9">
        <w:rPr>
          <w:color w:val="auto"/>
          <w:lang w:val="en-US"/>
        </w:rPr>
        <w:t>Alain</w:t>
      </w:r>
      <w:r w:rsidR="009A2182">
        <w:rPr>
          <w:color w:val="auto"/>
          <w:lang w:val="en-US"/>
        </w:rPr>
        <w:t xml:space="preserve"> </w:t>
      </w:r>
      <w:proofErr w:type="spellStart"/>
      <w:r w:rsidRPr="006353B9">
        <w:rPr>
          <w:color w:val="auto"/>
          <w:lang w:val="en-US"/>
        </w:rPr>
        <w:t>Ravaud</w:t>
      </w:r>
      <w:proofErr w:type="spellEnd"/>
      <w:r w:rsidRPr="006353B9">
        <w:rPr>
          <w:color w:val="auto"/>
          <w:lang w:val="en-US"/>
        </w:rPr>
        <w:t xml:space="preserve"> MD/PhD </w:t>
      </w:r>
      <w:proofErr w:type="spellStart"/>
      <w:r w:rsidRPr="006353B9">
        <w:rPr>
          <w:rFonts w:eastAsia="Times New Roman"/>
          <w:color w:val="auto"/>
          <w:lang w:val="en-US"/>
        </w:rPr>
        <w:t>Hôpital</w:t>
      </w:r>
      <w:proofErr w:type="spellEnd"/>
      <w:r w:rsidRPr="006353B9">
        <w:rPr>
          <w:rFonts w:eastAsia="Times New Roman"/>
          <w:color w:val="auto"/>
          <w:lang w:val="en-US"/>
        </w:rPr>
        <w:t xml:space="preserve"> Saint André (France)</w:t>
      </w:r>
    </w:p>
    <w:p w:rsidR="003B167F" w:rsidRPr="00370A71" w:rsidRDefault="003B167F" w:rsidP="009A2182">
      <w:pPr>
        <w:autoSpaceDE w:val="0"/>
        <w:autoSpaceDN w:val="0"/>
        <w:adjustRightInd w:val="0"/>
        <w:spacing w:line="240" w:lineRule="auto"/>
        <w:jc w:val="both"/>
        <w:rPr>
          <w:color w:val="auto"/>
          <w:lang w:val="en-US"/>
        </w:rPr>
      </w:pPr>
    </w:p>
    <w:p w:rsidR="003B167F" w:rsidRPr="006353B9" w:rsidRDefault="003B167F" w:rsidP="009A2182">
      <w:pPr>
        <w:pStyle w:val="BodyText"/>
        <w:spacing w:before="0"/>
        <w:jc w:val="both"/>
        <w:rPr>
          <w:rFonts w:ascii="Arial" w:hAnsi="Arial" w:cs="Arial"/>
          <w:b/>
          <w:sz w:val="22"/>
          <w:szCs w:val="22"/>
          <w:lang w:val="en-GB"/>
        </w:rPr>
      </w:pPr>
      <w:r w:rsidRPr="006353B9">
        <w:rPr>
          <w:rFonts w:ascii="Arial" w:hAnsi="Arial" w:cs="Arial"/>
          <w:b/>
          <w:sz w:val="22"/>
          <w:szCs w:val="22"/>
          <w:lang w:val="en-GB"/>
        </w:rPr>
        <w:t>CONTRACT RESEARCH ORGANIZATION(S):</w:t>
      </w:r>
    </w:p>
    <w:p w:rsidR="003B167F" w:rsidRDefault="003B167F" w:rsidP="009A2182">
      <w:pPr>
        <w:pStyle w:val="BodyText"/>
        <w:spacing w:before="0"/>
        <w:jc w:val="both"/>
        <w:rPr>
          <w:rFonts w:ascii="Arial" w:hAnsi="Arial" w:cs="Arial"/>
          <w:sz w:val="22"/>
          <w:szCs w:val="22"/>
        </w:rPr>
      </w:pPr>
      <w:r w:rsidRPr="006353B9">
        <w:rPr>
          <w:rFonts w:ascii="Arial" w:hAnsi="Arial" w:cs="Arial"/>
          <w:sz w:val="22"/>
          <w:szCs w:val="22"/>
          <w:lang w:val="en-GB"/>
        </w:rPr>
        <w:t>The</w:t>
      </w:r>
      <w:r w:rsidRPr="006353B9">
        <w:rPr>
          <w:rFonts w:ascii="Arial" w:hAnsi="Arial" w:cs="Arial"/>
          <w:sz w:val="22"/>
          <w:szCs w:val="22"/>
        </w:rPr>
        <w:t xml:space="preserve"> following CRO was contracted to </w:t>
      </w:r>
      <w:r w:rsidR="00704C39">
        <w:rPr>
          <w:rFonts w:ascii="Arial" w:hAnsi="Arial" w:cs="Arial"/>
          <w:sz w:val="22"/>
          <w:szCs w:val="22"/>
        </w:rPr>
        <w:t xml:space="preserve">perform </w:t>
      </w:r>
      <w:r w:rsidRPr="006353B9">
        <w:rPr>
          <w:rFonts w:ascii="Arial" w:hAnsi="Arial" w:cs="Arial"/>
          <w:sz w:val="22"/>
          <w:szCs w:val="22"/>
        </w:rPr>
        <w:t xml:space="preserve">the statistical analysis and the preparation of the Integrated Clinical Trial Report: </w:t>
      </w:r>
    </w:p>
    <w:p w:rsidR="009A2182" w:rsidRDefault="003B167F" w:rsidP="009A2182">
      <w:pPr>
        <w:pStyle w:val="BodyText"/>
        <w:spacing w:before="0"/>
        <w:jc w:val="both"/>
        <w:rPr>
          <w:rFonts w:ascii="Arial" w:hAnsi="Arial" w:cs="Arial"/>
          <w:sz w:val="22"/>
          <w:szCs w:val="22"/>
          <w:lang w:val="es-ES"/>
        </w:rPr>
      </w:pPr>
      <w:r w:rsidRPr="006353B9">
        <w:rPr>
          <w:rFonts w:ascii="Arial" w:hAnsi="Arial" w:cs="Arial"/>
          <w:sz w:val="22"/>
          <w:szCs w:val="22"/>
          <w:lang w:val="es-ES"/>
        </w:rPr>
        <w:t>PIVOTAL S.L.</w:t>
      </w:r>
      <w:r>
        <w:rPr>
          <w:rFonts w:ascii="Arial" w:hAnsi="Arial" w:cs="Arial"/>
          <w:sz w:val="22"/>
          <w:szCs w:val="22"/>
          <w:lang w:val="es-ES"/>
        </w:rPr>
        <w:t xml:space="preserve">, </w:t>
      </w:r>
      <w:r w:rsidR="009A2182">
        <w:rPr>
          <w:rFonts w:ascii="Arial" w:hAnsi="Arial" w:cs="Arial"/>
          <w:sz w:val="22"/>
          <w:szCs w:val="22"/>
          <w:lang w:val="es-ES"/>
        </w:rPr>
        <w:t xml:space="preserve">C/ </w:t>
      </w:r>
      <w:proofErr w:type="spellStart"/>
      <w:r w:rsidR="009A2182">
        <w:rPr>
          <w:rFonts w:ascii="Arial" w:hAnsi="Arial" w:cs="Arial"/>
          <w:sz w:val="22"/>
          <w:szCs w:val="22"/>
          <w:lang w:val="es-ES"/>
        </w:rPr>
        <w:t>Gobelas</w:t>
      </w:r>
      <w:proofErr w:type="spellEnd"/>
      <w:r w:rsidR="009A2182">
        <w:rPr>
          <w:rFonts w:ascii="Arial" w:hAnsi="Arial" w:cs="Arial"/>
          <w:sz w:val="22"/>
          <w:szCs w:val="22"/>
          <w:lang w:val="es-ES"/>
        </w:rPr>
        <w:t>, 19</w:t>
      </w:r>
      <w:r w:rsidRPr="006353B9">
        <w:rPr>
          <w:rFonts w:ascii="Arial" w:hAnsi="Arial" w:cs="Arial"/>
          <w:sz w:val="22"/>
          <w:szCs w:val="22"/>
          <w:lang w:val="es-ES"/>
        </w:rPr>
        <w:t xml:space="preserve"> La Florida</w:t>
      </w:r>
      <w:r>
        <w:rPr>
          <w:rFonts w:ascii="Arial" w:hAnsi="Arial" w:cs="Arial"/>
          <w:sz w:val="22"/>
          <w:szCs w:val="22"/>
          <w:lang w:val="es-ES"/>
        </w:rPr>
        <w:t xml:space="preserve">, </w:t>
      </w:r>
      <w:r w:rsidRPr="00386D8E">
        <w:rPr>
          <w:rFonts w:ascii="Arial" w:hAnsi="Arial" w:cs="Arial"/>
          <w:sz w:val="22"/>
          <w:szCs w:val="22"/>
          <w:lang w:val="es-ES"/>
        </w:rPr>
        <w:t>28023 Madrid</w:t>
      </w:r>
      <w:r w:rsidR="009246A4">
        <w:rPr>
          <w:rFonts w:ascii="Arial" w:hAnsi="Arial" w:cs="Arial"/>
          <w:sz w:val="22"/>
          <w:szCs w:val="22"/>
          <w:lang w:val="es-ES"/>
        </w:rPr>
        <w:t xml:space="preserve"> (Spain)</w:t>
      </w:r>
    </w:p>
    <w:p w:rsidR="009A2182" w:rsidRDefault="009A2182" w:rsidP="009A2182">
      <w:pPr>
        <w:pStyle w:val="BodyText"/>
        <w:spacing w:before="0"/>
        <w:jc w:val="both"/>
        <w:rPr>
          <w:rFonts w:ascii="Arial" w:hAnsi="Arial" w:cs="Arial"/>
          <w:sz w:val="22"/>
          <w:szCs w:val="22"/>
        </w:rPr>
      </w:pPr>
      <w:r w:rsidRPr="00E36289">
        <w:rPr>
          <w:rFonts w:ascii="Arial" w:hAnsi="Arial" w:cs="Arial"/>
          <w:sz w:val="22"/>
          <w:szCs w:val="22"/>
        </w:rPr>
        <w:t>T</w:t>
      </w:r>
      <w:r w:rsidR="003B167F" w:rsidRPr="00E36289">
        <w:rPr>
          <w:rFonts w:ascii="Arial" w:hAnsi="Arial" w:cs="Arial"/>
          <w:sz w:val="22"/>
          <w:szCs w:val="22"/>
        </w:rPr>
        <w:t xml:space="preserve">elephone: +34 91 708 12 50. </w:t>
      </w:r>
      <w:r w:rsidR="003B167F" w:rsidRPr="006353B9">
        <w:rPr>
          <w:rFonts w:ascii="Arial" w:hAnsi="Arial" w:cs="Arial"/>
          <w:sz w:val="22"/>
          <w:szCs w:val="22"/>
        </w:rPr>
        <w:t>Fax: +34 91 708 13 01</w:t>
      </w:r>
    </w:p>
    <w:p w:rsidR="009A2182" w:rsidRDefault="009A2182" w:rsidP="009A2182">
      <w:pPr>
        <w:pStyle w:val="BodyText"/>
        <w:spacing w:before="0"/>
        <w:jc w:val="both"/>
        <w:rPr>
          <w:rFonts w:ascii="Arial" w:hAnsi="Arial" w:cs="Arial"/>
          <w:sz w:val="22"/>
          <w:szCs w:val="22"/>
        </w:rPr>
      </w:pPr>
    </w:p>
    <w:p w:rsidR="003B167F" w:rsidRPr="006353B9" w:rsidRDefault="003B167F" w:rsidP="009A2182">
      <w:pPr>
        <w:pStyle w:val="BodyText"/>
        <w:spacing w:before="0"/>
        <w:jc w:val="both"/>
        <w:rPr>
          <w:rFonts w:ascii="Arial" w:hAnsi="Arial" w:cs="Arial"/>
          <w:b/>
          <w:sz w:val="22"/>
          <w:szCs w:val="22"/>
          <w:lang w:val="en-GB"/>
        </w:rPr>
      </w:pPr>
      <w:r w:rsidRPr="006353B9">
        <w:rPr>
          <w:rFonts w:ascii="Arial" w:hAnsi="Arial" w:cs="Arial"/>
          <w:b/>
          <w:sz w:val="22"/>
          <w:szCs w:val="22"/>
          <w:lang w:val="en-GB"/>
        </w:rPr>
        <w:t>REPORT AUTHORS</w:t>
      </w:r>
    </w:p>
    <w:p w:rsidR="003B167F" w:rsidRPr="00154580" w:rsidRDefault="003B167F" w:rsidP="009A2182">
      <w:pPr>
        <w:pStyle w:val="BodyText"/>
        <w:spacing w:before="0"/>
        <w:jc w:val="both"/>
        <w:rPr>
          <w:rFonts w:ascii="Arial" w:hAnsi="Arial" w:cs="Arial"/>
          <w:b/>
          <w:sz w:val="22"/>
          <w:szCs w:val="22"/>
        </w:rPr>
      </w:pPr>
      <w:r w:rsidRPr="006353B9">
        <w:rPr>
          <w:rFonts w:ascii="Arial" w:hAnsi="Arial" w:cs="Arial"/>
          <w:b/>
          <w:sz w:val="22"/>
          <w:szCs w:val="22"/>
        </w:rPr>
        <w:t>Writer:</w:t>
      </w:r>
      <w:r>
        <w:rPr>
          <w:rFonts w:ascii="Arial" w:hAnsi="Arial" w:cs="Arial"/>
          <w:b/>
          <w:sz w:val="22"/>
          <w:szCs w:val="22"/>
        </w:rPr>
        <w:t xml:space="preserve"> </w:t>
      </w:r>
      <w:r w:rsidRPr="006353B9">
        <w:rPr>
          <w:rFonts w:ascii="Arial" w:hAnsi="Arial" w:cs="Arial"/>
          <w:sz w:val="22"/>
          <w:szCs w:val="22"/>
        </w:rPr>
        <w:t>Mark Tulchinskiy</w:t>
      </w:r>
      <w:r w:rsidR="00704C39">
        <w:rPr>
          <w:rFonts w:ascii="Arial" w:hAnsi="Arial" w:cs="Arial"/>
          <w:sz w:val="22"/>
          <w:szCs w:val="22"/>
        </w:rPr>
        <w:t>,</w:t>
      </w:r>
      <w:r>
        <w:rPr>
          <w:rFonts w:ascii="Arial" w:hAnsi="Arial" w:cs="Arial"/>
          <w:sz w:val="22"/>
          <w:szCs w:val="22"/>
        </w:rPr>
        <w:t xml:space="preserve"> MD</w:t>
      </w:r>
    </w:p>
    <w:p w:rsidR="003B167F" w:rsidRDefault="003B167F" w:rsidP="009246A4">
      <w:pPr>
        <w:pStyle w:val="BodyText"/>
        <w:spacing w:before="0"/>
        <w:jc w:val="both"/>
        <w:rPr>
          <w:b/>
        </w:rPr>
      </w:pPr>
      <w:r w:rsidRPr="006353B9">
        <w:rPr>
          <w:rFonts w:ascii="Arial" w:hAnsi="Arial" w:cs="Arial"/>
          <w:b/>
          <w:sz w:val="22"/>
          <w:szCs w:val="22"/>
        </w:rPr>
        <w:t>Biostatistician:</w:t>
      </w:r>
      <w:r w:rsidRPr="006353B9">
        <w:rPr>
          <w:rFonts w:ascii="Arial" w:hAnsi="Arial" w:cs="Arial"/>
          <w:sz w:val="22"/>
          <w:szCs w:val="22"/>
        </w:rPr>
        <w:t xml:space="preserve"> Tania San Jose</w:t>
      </w:r>
      <w:r w:rsidR="00704C39">
        <w:rPr>
          <w:rFonts w:ascii="Arial" w:hAnsi="Arial" w:cs="Arial"/>
          <w:sz w:val="22"/>
          <w:szCs w:val="22"/>
        </w:rPr>
        <w:t xml:space="preserve">, </w:t>
      </w:r>
      <w:r w:rsidR="00704C39" w:rsidRPr="00704C39">
        <w:rPr>
          <w:rFonts w:ascii="Arial" w:hAnsi="Arial" w:cs="Arial"/>
          <w:sz w:val="22"/>
          <w:szCs w:val="22"/>
        </w:rPr>
        <w:t>MSc Stats</w:t>
      </w:r>
      <w:r>
        <w:rPr>
          <w:b/>
        </w:rPr>
        <w:br w:type="page"/>
      </w:r>
    </w:p>
    <w:p w:rsidR="003B167F" w:rsidRPr="006353B9" w:rsidRDefault="003B167F" w:rsidP="009A2182">
      <w:pPr>
        <w:pStyle w:val="Heading1"/>
      </w:pPr>
      <w:bookmarkStart w:id="11" w:name="_Toc501022022"/>
      <w:r w:rsidRPr="006353B9">
        <w:lastRenderedPageBreak/>
        <w:t>INTRODUCTION</w:t>
      </w:r>
      <w:bookmarkEnd w:id="11"/>
    </w:p>
    <w:p w:rsidR="003B167F" w:rsidRPr="006353B9" w:rsidRDefault="003B167F" w:rsidP="003B167F">
      <w:pPr>
        <w:pStyle w:val="Normal1"/>
        <w:jc w:val="both"/>
        <w:rPr>
          <w:color w:val="auto"/>
          <w:lang w:val="en-US"/>
        </w:rPr>
      </w:pPr>
      <w:r w:rsidRPr="006353B9">
        <w:rPr>
          <w:color w:val="auto"/>
          <w:lang w:val="en-US"/>
        </w:rPr>
        <w:t>Renal cell cancer accounts for 100000 new diagnoses yearly in Europe and up to 25000 deaths each year. Alternatively known as clear-cell cancer or renal adenocarcinoma, RCC is characterized by a distinct clear or granular cell appearance. Median survival for patients with metastatic RCC (</w:t>
      </w:r>
      <w:proofErr w:type="spellStart"/>
      <w:r w:rsidRPr="006353B9">
        <w:rPr>
          <w:color w:val="auto"/>
          <w:lang w:val="en-US"/>
        </w:rPr>
        <w:t>mRCC</w:t>
      </w:r>
      <w:proofErr w:type="spellEnd"/>
      <w:r w:rsidRPr="006353B9">
        <w:rPr>
          <w:color w:val="auto"/>
          <w:lang w:val="en-US"/>
        </w:rPr>
        <w:t xml:space="preserve">) is about 25 months, as </w:t>
      </w:r>
      <w:proofErr w:type="spellStart"/>
      <w:r w:rsidRPr="006353B9">
        <w:rPr>
          <w:color w:val="auto"/>
          <w:lang w:val="en-US"/>
        </w:rPr>
        <w:t>mRCC</w:t>
      </w:r>
      <w:proofErr w:type="spellEnd"/>
      <w:r w:rsidRPr="006353B9">
        <w:rPr>
          <w:color w:val="auto"/>
          <w:lang w:val="en-US"/>
        </w:rPr>
        <w:t xml:space="preserve"> is usually resistant to chemotherapy agents. The 5-year survival rate for patients with </w:t>
      </w:r>
      <w:proofErr w:type="spellStart"/>
      <w:r w:rsidRPr="006353B9">
        <w:rPr>
          <w:color w:val="auto"/>
          <w:lang w:val="en-US"/>
        </w:rPr>
        <w:t>mRCC</w:t>
      </w:r>
      <w:proofErr w:type="spellEnd"/>
      <w:r w:rsidRPr="006353B9">
        <w:rPr>
          <w:color w:val="auto"/>
          <w:lang w:val="en-US"/>
        </w:rPr>
        <w:t xml:space="preserve"> is less than 10%. Interferon alfa-2a (IFN) and interleukin-2 had been standard therapies for patients with </w:t>
      </w:r>
      <w:proofErr w:type="spellStart"/>
      <w:r w:rsidRPr="006353B9">
        <w:rPr>
          <w:color w:val="auto"/>
          <w:lang w:val="en-US"/>
        </w:rPr>
        <w:t>mRCC</w:t>
      </w:r>
      <w:proofErr w:type="spellEnd"/>
      <w:r w:rsidRPr="006353B9">
        <w:rPr>
          <w:color w:val="auto"/>
          <w:lang w:val="en-US"/>
        </w:rPr>
        <w:t xml:space="preserve"> with response rates less than 20% while rather toxic side effects.</w:t>
      </w:r>
    </w:p>
    <w:p w:rsidR="009A2182" w:rsidRDefault="009A2182"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The 1st line targeted treatment dominated by VEGF receptor (VEGFR) tyrosine kinase inhibitors (TKIs) (</w:t>
      </w:r>
      <w:proofErr w:type="spellStart"/>
      <w:r w:rsidRPr="006353B9">
        <w:rPr>
          <w:color w:val="auto"/>
          <w:lang w:val="en-US"/>
        </w:rPr>
        <w:t>sunitinib</w:t>
      </w:r>
      <w:proofErr w:type="spellEnd"/>
      <w:r w:rsidRPr="006353B9">
        <w:rPr>
          <w:color w:val="auto"/>
          <w:lang w:val="en-US"/>
        </w:rPr>
        <w:t xml:space="preserve">, sorafenib, pazopanib) but also the monoclonal antibody bevacizumab in combination with Interferon. Upon progression on first line, according to all recommendations the standard of therapy should be </w:t>
      </w:r>
      <w:proofErr w:type="spellStart"/>
      <w:r w:rsidRPr="006353B9">
        <w:rPr>
          <w:color w:val="auto"/>
          <w:lang w:val="en-US"/>
        </w:rPr>
        <w:t>everolimus</w:t>
      </w:r>
      <w:proofErr w:type="spellEnd"/>
      <w:r w:rsidRPr="006353B9">
        <w:rPr>
          <w:color w:val="auto"/>
          <w:lang w:val="en-US"/>
        </w:rPr>
        <w:t>.</w:t>
      </w:r>
    </w:p>
    <w:p w:rsidR="003B167F" w:rsidRPr="006353B9" w:rsidRDefault="003B167F" w:rsidP="003B167F">
      <w:pPr>
        <w:pStyle w:val="Normal1"/>
        <w:jc w:val="both"/>
        <w:rPr>
          <w:color w:val="auto"/>
          <w:lang w:val="en-US"/>
        </w:rPr>
      </w:pPr>
      <w:proofErr w:type="spellStart"/>
      <w:r w:rsidRPr="006353B9">
        <w:rPr>
          <w:color w:val="auto"/>
          <w:u w:val="single"/>
          <w:lang w:val="en-US"/>
        </w:rPr>
        <w:t>Sunitinib</w:t>
      </w:r>
      <w:proofErr w:type="spellEnd"/>
      <w:r w:rsidRPr="006353B9">
        <w:rPr>
          <w:color w:val="auto"/>
          <w:lang w:val="en-US"/>
        </w:rPr>
        <w:t xml:space="preserve"> (Pfizer Inc.) is an oral, multitargeted receptor TKI licensed for the treatment of advanced and/or metastatic RCC. </w:t>
      </w:r>
      <w:proofErr w:type="spellStart"/>
      <w:r w:rsidRPr="006353B9">
        <w:rPr>
          <w:color w:val="auto"/>
          <w:lang w:val="en-US"/>
        </w:rPr>
        <w:t>Sunitinib</w:t>
      </w:r>
      <w:proofErr w:type="spellEnd"/>
      <w:r w:rsidRPr="006353B9">
        <w:rPr>
          <w:color w:val="auto"/>
          <w:lang w:val="en-US"/>
        </w:rPr>
        <w:t xml:space="preserve"> was associated with median progression-free survival (PFS) of 11 months.</w:t>
      </w:r>
    </w:p>
    <w:p w:rsidR="003B167F" w:rsidRPr="00492888" w:rsidRDefault="003B167F" w:rsidP="003B167F">
      <w:pPr>
        <w:pStyle w:val="Normal1"/>
        <w:jc w:val="both"/>
        <w:rPr>
          <w:color w:val="auto"/>
          <w:u w:val="single"/>
          <w:lang w:val="en-US"/>
        </w:rPr>
      </w:pPr>
      <w:r w:rsidRPr="006353B9">
        <w:rPr>
          <w:color w:val="auto"/>
          <w:u w:val="single"/>
          <w:lang w:val="en-US"/>
        </w:rPr>
        <w:t xml:space="preserve">mTOR inhibitors </w:t>
      </w:r>
      <w:r w:rsidRPr="006353B9">
        <w:rPr>
          <w:color w:val="auto"/>
          <w:lang w:val="en-US"/>
        </w:rPr>
        <w:t xml:space="preserve">(mammalian target of rapamycin) inhibitors target mTOR, a key protein kinase regulating cell growth, proliferation and survival. </w:t>
      </w:r>
      <w:proofErr w:type="spellStart"/>
      <w:r w:rsidRPr="006353B9">
        <w:rPr>
          <w:color w:val="auto"/>
          <w:lang w:val="en-US"/>
        </w:rPr>
        <w:t>Everolimus</w:t>
      </w:r>
      <w:proofErr w:type="spellEnd"/>
      <w:r w:rsidRPr="006353B9">
        <w:rPr>
          <w:color w:val="auto"/>
          <w:lang w:val="en-US"/>
        </w:rPr>
        <w:t>, an orally</w:t>
      </w:r>
      <w:r w:rsidRPr="006353B9">
        <w:rPr>
          <w:color w:val="auto"/>
          <w:u w:val="single"/>
          <w:lang w:val="en-US"/>
        </w:rPr>
        <w:t xml:space="preserve"> </w:t>
      </w:r>
      <w:r w:rsidRPr="006353B9">
        <w:rPr>
          <w:color w:val="auto"/>
          <w:lang w:val="en-US"/>
        </w:rPr>
        <w:t>administrated mTOR inhibitor, is being investigated as an anticancer agent based on its</w:t>
      </w:r>
      <w:r w:rsidRPr="006353B9">
        <w:rPr>
          <w:color w:val="auto"/>
          <w:u w:val="single"/>
          <w:lang w:val="en-US"/>
        </w:rPr>
        <w:t xml:space="preserve"> </w:t>
      </w:r>
      <w:r w:rsidRPr="006353B9">
        <w:rPr>
          <w:color w:val="auto"/>
          <w:lang w:val="en-US"/>
        </w:rPr>
        <w:t>potential to act directly on the tumor cells by inhibiting tumor cell growth and proliferation, and indirectly by inhibiting angiogenesis leading to reduced tumor</w:t>
      </w:r>
      <w:r>
        <w:rPr>
          <w:color w:val="auto"/>
          <w:u w:val="single"/>
          <w:lang w:val="en-US"/>
        </w:rPr>
        <w:t xml:space="preserve"> </w:t>
      </w:r>
      <w:r w:rsidRPr="006353B9">
        <w:rPr>
          <w:color w:val="auto"/>
          <w:lang w:val="en-US"/>
        </w:rPr>
        <w:t>vascularity. The role of angiogenesis in the maintenance of solid tumor</w:t>
      </w:r>
      <w:r>
        <w:rPr>
          <w:color w:val="auto"/>
          <w:lang w:val="en-US"/>
        </w:rPr>
        <w:t xml:space="preserve"> </w:t>
      </w:r>
      <w:r w:rsidRPr="006353B9">
        <w:rPr>
          <w:color w:val="auto"/>
          <w:lang w:val="en-US"/>
        </w:rPr>
        <w:t>growth is well established, and the mTOR pathway has been implicated in the regulation</w:t>
      </w:r>
      <w:r>
        <w:rPr>
          <w:color w:val="auto"/>
          <w:u w:val="single"/>
          <w:lang w:val="en-US"/>
        </w:rPr>
        <w:t xml:space="preserve"> </w:t>
      </w:r>
      <w:r w:rsidRPr="006353B9">
        <w:rPr>
          <w:color w:val="auto"/>
          <w:lang w:val="en-US"/>
        </w:rPr>
        <w:t>of tumor production of proangiogenic factors as well as modulation of VEGFR signaling</w:t>
      </w:r>
      <w:r>
        <w:rPr>
          <w:color w:val="auto"/>
          <w:u w:val="single"/>
          <w:lang w:val="en-US"/>
        </w:rPr>
        <w:t xml:space="preserve"> </w:t>
      </w:r>
      <w:r w:rsidRPr="006353B9">
        <w:rPr>
          <w:color w:val="auto"/>
          <w:lang w:val="en-US"/>
        </w:rPr>
        <w:t>in endothelial cells.</w:t>
      </w:r>
    </w:p>
    <w:p w:rsidR="009A2182" w:rsidRDefault="009A2182" w:rsidP="003B167F">
      <w:pPr>
        <w:pStyle w:val="Normal1"/>
        <w:jc w:val="both"/>
        <w:rPr>
          <w:color w:val="auto"/>
          <w:lang w:val="en-US"/>
        </w:rPr>
      </w:pPr>
    </w:p>
    <w:p w:rsidR="003B167F" w:rsidRPr="006353B9" w:rsidRDefault="003B167F" w:rsidP="003B167F">
      <w:pPr>
        <w:pStyle w:val="Normal1"/>
        <w:jc w:val="both"/>
        <w:rPr>
          <w:color w:val="auto"/>
          <w:lang w:val="en-US"/>
        </w:rPr>
      </w:pPr>
      <w:proofErr w:type="spellStart"/>
      <w:r w:rsidRPr="006353B9">
        <w:rPr>
          <w:color w:val="auto"/>
          <w:lang w:val="en-US"/>
        </w:rPr>
        <w:t>Everolimus</w:t>
      </w:r>
      <w:proofErr w:type="spellEnd"/>
      <w:r w:rsidRPr="006353B9">
        <w:rPr>
          <w:color w:val="auto"/>
          <w:lang w:val="en-US"/>
        </w:rPr>
        <w:t xml:space="preserve"> is approved for the treatment of patients with advanced RCC, who progressed during or after treatment with VEGF-targeted therapies. Currently there are 2 studies investigating a regimen of rotations between TKI and </w:t>
      </w:r>
      <w:proofErr w:type="spellStart"/>
      <w:r w:rsidRPr="006353B9">
        <w:rPr>
          <w:color w:val="auto"/>
          <w:lang w:val="en-US"/>
        </w:rPr>
        <w:t>everolimus</w:t>
      </w:r>
      <w:proofErr w:type="spellEnd"/>
      <w:r w:rsidRPr="006353B9">
        <w:rPr>
          <w:color w:val="auto"/>
          <w:lang w:val="en-US"/>
        </w:rPr>
        <w:t xml:space="preserve">, but none is investigating the rotational scheme of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xml:space="preserve"> in a randomized trial. There are cases in everyday practice of patients who are treated with the same agent after been exposed to other agents in between that show antitumor activity. A drug ‘holiday’ gives the opportunity to transform the cell sensitive to the drug. Recent data have shown that some patients reintroduced to the initial TKI after using another drug are re</w:t>
      </w:r>
      <w:r w:rsidR="00363712">
        <w:rPr>
          <w:color w:val="auto"/>
          <w:lang w:val="en-US"/>
        </w:rPr>
        <w:t>-</w:t>
      </w:r>
      <w:r w:rsidRPr="006353B9">
        <w:rPr>
          <w:color w:val="auto"/>
          <w:lang w:val="en-US"/>
        </w:rPr>
        <w:t>sensitized to that TKI.</w:t>
      </w:r>
    </w:p>
    <w:p w:rsidR="003B167F" w:rsidRPr="006353B9" w:rsidRDefault="003B167F" w:rsidP="003B167F">
      <w:pPr>
        <w:pStyle w:val="Normal1"/>
        <w:jc w:val="both"/>
        <w:rPr>
          <w:color w:val="auto"/>
          <w:lang w:val="en-US"/>
        </w:rPr>
      </w:pPr>
      <w:r w:rsidRPr="006353B9">
        <w:rPr>
          <w:color w:val="auto"/>
          <w:lang w:val="en-US"/>
        </w:rPr>
        <w:t>The aim of this open label randomized phase II study was to explore the efficacy and</w:t>
      </w:r>
    </w:p>
    <w:p w:rsidR="003B167F" w:rsidRPr="006353B9" w:rsidRDefault="003B167F" w:rsidP="003B167F">
      <w:pPr>
        <w:pStyle w:val="Normal1"/>
        <w:jc w:val="both"/>
        <w:rPr>
          <w:color w:val="auto"/>
          <w:lang w:val="en-US"/>
        </w:rPr>
      </w:pPr>
      <w:r w:rsidRPr="006353B9">
        <w:rPr>
          <w:color w:val="auto"/>
          <w:lang w:val="en-US"/>
        </w:rPr>
        <w:t>feasibility of upfront bi-monthly rotations of treatment consisting of 12 weeks of</w:t>
      </w:r>
      <w:r>
        <w:rPr>
          <w:color w:val="auto"/>
          <w:lang w:val="en-US"/>
        </w:rPr>
        <w:t xml:space="preserve"> </w:t>
      </w:r>
      <w:proofErr w:type="spellStart"/>
      <w:r w:rsidRPr="006353B9">
        <w:rPr>
          <w:color w:val="auto"/>
          <w:lang w:val="en-US"/>
        </w:rPr>
        <w:t>sunitinib</w:t>
      </w:r>
      <w:proofErr w:type="spellEnd"/>
      <w:r w:rsidRPr="006353B9">
        <w:rPr>
          <w:color w:val="auto"/>
          <w:lang w:val="en-US"/>
        </w:rPr>
        <w:t xml:space="preserve"> 50 mg </w:t>
      </w:r>
      <w:proofErr w:type="spellStart"/>
      <w:r w:rsidRPr="006353B9">
        <w:rPr>
          <w:color w:val="auto"/>
          <w:lang w:val="en-US"/>
        </w:rPr>
        <w:t>pd</w:t>
      </w:r>
      <w:proofErr w:type="spellEnd"/>
      <w:r w:rsidRPr="006353B9">
        <w:rPr>
          <w:color w:val="auto"/>
          <w:lang w:val="en-US"/>
        </w:rPr>
        <w:t xml:space="preserve"> followed by 12 weeks of </w:t>
      </w:r>
      <w:proofErr w:type="spellStart"/>
      <w:r w:rsidRPr="006353B9">
        <w:rPr>
          <w:color w:val="auto"/>
          <w:lang w:val="en-US"/>
        </w:rPr>
        <w:t>everolimus</w:t>
      </w:r>
      <w:proofErr w:type="spellEnd"/>
      <w:r w:rsidRPr="006353B9">
        <w:rPr>
          <w:color w:val="auto"/>
          <w:lang w:val="en-US"/>
        </w:rPr>
        <w:t xml:space="preserve"> 10 mg </w:t>
      </w:r>
      <w:proofErr w:type="spellStart"/>
      <w:r w:rsidRPr="006353B9">
        <w:rPr>
          <w:color w:val="auto"/>
          <w:lang w:val="en-US"/>
        </w:rPr>
        <w:t>qd</w:t>
      </w:r>
      <w:proofErr w:type="spellEnd"/>
      <w:r w:rsidRPr="006353B9">
        <w:rPr>
          <w:color w:val="auto"/>
          <w:lang w:val="en-US"/>
        </w:rPr>
        <w:t xml:space="preserve"> compared to the</w:t>
      </w:r>
      <w:r>
        <w:rPr>
          <w:color w:val="auto"/>
          <w:lang w:val="en-US"/>
        </w:rPr>
        <w:t xml:space="preserve"> </w:t>
      </w:r>
      <w:r w:rsidRPr="006353B9">
        <w:rPr>
          <w:color w:val="auto"/>
          <w:lang w:val="en-US"/>
        </w:rPr>
        <w:t xml:space="preserve">standard regimen of </w:t>
      </w:r>
      <w:proofErr w:type="spellStart"/>
      <w:r w:rsidRPr="006353B9">
        <w:rPr>
          <w:color w:val="auto"/>
          <w:lang w:val="en-US"/>
        </w:rPr>
        <w:t>sunitinib</w:t>
      </w:r>
      <w:proofErr w:type="spellEnd"/>
      <w:r w:rsidRPr="006353B9">
        <w:rPr>
          <w:color w:val="auto"/>
          <w:lang w:val="en-US"/>
        </w:rPr>
        <w:t xml:space="preserve"> (50 mg </w:t>
      </w:r>
      <w:proofErr w:type="spellStart"/>
      <w:r w:rsidRPr="006353B9">
        <w:rPr>
          <w:color w:val="auto"/>
          <w:lang w:val="en-US"/>
        </w:rPr>
        <w:t>qd</w:t>
      </w:r>
      <w:proofErr w:type="spellEnd"/>
      <w:r w:rsidRPr="006353B9">
        <w:rPr>
          <w:color w:val="auto"/>
          <w:lang w:val="en-US"/>
        </w:rPr>
        <w:t>) until progression, followed thereafter by</w:t>
      </w:r>
      <w:r>
        <w:rPr>
          <w:color w:val="auto"/>
          <w:lang w:val="en-US"/>
        </w:rPr>
        <w:t xml:space="preserve"> </w:t>
      </w:r>
      <w:proofErr w:type="spellStart"/>
      <w:r w:rsidRPr="006353B9">
        <w:rPr>
          <w:color w:val="auto"/>
          <w:lang w:val="en-US"/>
        </w:rPr>
        <w:t>everolimus</w:t>
      </w:r>
      <w:proofErr w:type="spellEnd"/>
      <w:r w:rsidRPr="006353B9">
        <w:rPr>
          <w:color w:val="auto"/>
          <w:lang w:val="en-US"/>
        </w:rPr>
        <w:t xml:space="preserve"> (10 mg </w:t>
      </w:r>
      <w:proofErr w:type="spellStart"/>
      <w:r w:rsidRPr="006353B9">
        <w:rPr>
          <w:color w:val="auto"/>
          <w:lang w:val="en-US"/>
        </w:rPr>
        <w:t>pd</w:t>
      </w:r>
      <w:proofErr w:type="spellEnd"/>
      <w:r w:rsidRPr="006353B9">
        <w:rPr>
          <w:color w:val="auto"/>
          <w:lang w:val="en-US"/>
        </w:rPr>
        <w:t xml:space="preserve"> continuously) until progression.</w:t>
      </w:r>
    </w:p>
    <w:p w:rsidR="009A2182" w:rsidRDefault="009A2182"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lastRenderedPageBreak/>
        <w:t xml:space="preserve">The proposed model was based on data from </w:t>
      </w:r>
      <w:proofErr w:type="spellStart"/>
      <w:r w:rsidRPr="006353B9">
        <w:rPr>
          <w:color w:val="auto"/>
          <w:lang w:val="en-US"/>
        </w:rPr>
        <w:t>sunitinib</w:t>
      </w:r>
      <w:proofErr w:type="spellEnd"/>
      <w:r w:rsidRPr="006353B9">
        <w:rPr>
          <w:color w:val="auto"/>
          <w:lang w:val="en-US"/>
        </w:rPr>
        <w:t xml:space="preserve"> studies which showed that usually maximum response with </w:t>
      </w:r>
      <w:proofErr w:type="spellStart"/>
      <w:r w:rsidRPr="006353B9">
        <w:rPr>
          <w:color w:val="auto"/>
          <w:lang w:val="en-US"/>
        </w:rPr>
        <w:t>sunitinib</w:t>
      </w:r>
      <w:proofErr w:type="spellEnd"/>
      <w:r w:rsidRPr="006353B9">
        <w:rPr>
          <w:color w:val="auto"/>
          <w:lang w:val="en-US"/>
        </w:rPr>
        <w:t xml:space="preserve"> is achieved within about 80 to 90 days from initiation of therapy. So, alternating the drugs every 12 weeks allows maximum effect of the agents and at the same time not allowing resistance mechanisms to emerge.</w:t>
      </w:r>
    </w:p>
    <w:p w:rsidR="003B167F" w:rsidRPr="006353B9" w:rsidRDefault="003B167F" w:rsidP="003B167F">
      <w:pPr>
        <w:pStyle w:val="Normal1"/>
        <w:jc w:val="both"/>
        <w:rPr>
          <w:color w:val="auto"/>
          <w:lang w:val="en-US"/>
        </w:rPr>
      </w:pPr>
    </w:p>
    <w:p w:rsidR="003B167F" w:rsidRPr="00EA6687" w:rsidRDefault="003B167F" w:rsidP="00EA6687">
      <w:pPr>
        <w:pStyle w:val="Heading1"/>
      </w:pPr>
      <w:bookmarkStart w:id="12" w:name="_Toc501022023"/>
      <w:r w:rsidRPr="006353B9">
        <w:t>STUDY OBJECTIVES</w:t>
      </w:r>
      <w:bookmarkEnd w:id="12"/>
    </w:p>
    <w:p w:rsidR="003B167F" w:rsidRPr="0027064C" w:rsidRDefault="009A2182" w:rsidP="009A2182">
      <w:pPr>
        <w:pStyle w:val="Heading2"/>
      </w:pPr>
      <w:bookmarkStart w:id="13" w:name="_Toc501022024"/>
      <w:r>
        <w:t>P</w:t>
      </w:r>
      <w:r w:rsidR="003B167F" w:rsidRPr="0027064C">
        <w:t>rimary objective</w:t>
      </w:r>
      <w:bookmarkEnd w:id="13"/>
    </w:p>
    <w:p w:rsidR="003B167F" w:rsidRPr="006353B9" w:rsidRDefault="003B167F" w:rsidP="003B167F">
      <w:pPr>
        <w:pStyle w:val="Normal1"/>
        <w:jc w:val="both"/>
        <w:rPr>
          <w:color w:val="auto"/>
          <w:lang w:val="en-US"/>
        </w:rPr>
      </w:pPr>
      <w:r w:rsidRPr="006353B9">
        <w:rPr>
          <w:color w:val="auto"/>
          <w:lang w:val="en-US"/>
        </w:rPr>
        <w:t xml:space="preserve">The primary objective was to assess the progression-free survival (PFS), in terms of PFS rate at 1 year, of patients who received rotations of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xml:space="preserve"> versus patients who received </w:t>
      </w:r>
      <w:proofErr w:type="spellStart"/>
      <w:r w:rsidRPr="006353B9">
        <w:rPr>
          <w:color w:val="auto"/>
          <w:lang w:val="en-US"/>
        </w:rPr>
        <w:t>sunitinib</w:t>
      </w:r>
      <w:proofErr w:type="spellEnd"/>
      <w:r w:rsidRPr="006353B9">
        <w:rPr>
          <w:color w:val="auto"/>
          <w:lang w:val="en-US"/>
        </w:rPr>
        <w:t xml:space="preserve"> as a first line treatment followed by </w:t>
      </w:r>
      <w:proofErr w:type="spellStart"/>
      <w:r w:rsidRPr="006353B9">
        <w:rPr>
          <w:color w:val="auto"/>
          <w:lang w:val="en-US"/>
        </w:rPr>
        <w:t>everolimus</w:t>
      </w:r>
      <w:proofErr w:type="spellEnd"/>
      <w:r w:rsidRPr="006353B9">
        <w:rPr>
          <w:color w:val="auto"/>
          <w:lang w:val="en-US"/>
        </w:rPr>
        <w:t xml:space="preserve"> when progression</w:t>
      </w:r>
      <w:r>
        <w:rPr>
          <w:color w:val="auto"/>
          <w:lang w:val="en-US"/>
        </w:rPr>
        <w:t xml:space="preserve"> </w:t>
      </w:r>
      <w:r w:rsidR="009246A4" w:rsidRPr="006353B9">
        <w:rPr>
          <w:color w:val="auto"/>
          <w:lang w:val="en-US"/>
        </w:rPr>
        <w:t>occur</w:t>
      </w:r>
      <w:r w:rsidR="009246A4">
        <w:rPr>
          <w:color w:val="auto"/>
          <w:lang w:val="en-US"/>
        </w:rPr>
        <w:t>red</w:t>
      </w:r>
      <w:r w:rsidRPr="006353B9">
        <w:rPr>
          <w:color w:val="auto"/>
          <w:lang w:val="en-US"/>
        </w:rPr>
        <w:t>. Patients who were progressed within the first 3 months of their treatment were excluded from the study. For the primary analysis, the PFS was based on the local radiological data according to Response Evaluation Criteria in Solid Tumors (RECIST) version 1.1.</w:t>
      </w:r>
    </w:p>
    <w:p w:rsidR="003B167F" w:rsidRPr="0027064C" w:rsidRDefault="003B167F" w:rsidP="009A2182">
      <w:pPr>
        <w:pStyle w:val="Heading2"/>
      </w:pPr>
      <w:bookmarkStart w:id="14" w:name="_Toc501022025"/>
      <w:r w:rsidRPr="0027064C">
        <w:t>Secondary objectives</w:t>
      </w:r>
      <w:bookmarkEnd w:id="14"/>
    </w:p>
    <w:p w:rsidR="003B167F" w:rsidRPr="006353B9" w:rsidRDefault="003B167F" w:rsidP="003B167F">
      <w:pPr>
        <w:pStyle w:val="Normal1"/>
        <w:jc w:val="both"/>
        <w:rPr>
          <w:color w:val="auto"/>
          <w:lang w:val="en-US"/>
        </w:rPr>
      </w:pPr>
      <w:r w:rsidRPr="006353B9">
        <w:rPr>
          <w:color w:val="auto"/>
          <w:lang w:val="en-US"/>
        </w:rPr>
        <w:t xml:space="preserve">The secondary objectives were PFS of randomized patients receiving alternating </w:t>
      </w:r>
      <w:proofErr w:type="spellStart"/>
      <w:r w:rsidRPr="006353B9">
        <w:rPr>
          <w:color w:val="auto"/>
          <w:lang w:val="en-US"/>
        </w:rPr>
        <w:t>sunitinib</w:t>
      </w:r>
      <w:proofErr w:type="spellEnd"/>
    </w:p>
    <w:p w:rsidR="003B167F" w:rsidRPr="006353B9" w:rsidRDefault="003B167F" w:rsidP="003B167F">
      <w:pPr>
        <w:pStyle w:val="Normal1"/>
        <w:jc w:val="both"/>
        <w:rPr>
          <w:color w:val="auto"/>
          <w:lang w:val="en-US"/>
        </w:rPr>
      </w:pPr>
      <w:r w:rsidRPr="006353B9">
        <w:rPr>
          <w:color w:val="auto"/>
          <w:lang w:val="en-US"/>
        </w:rPr>
        <w:t xml:space="preserve">and </w:t>
      </w:r>
      <w:proofErr w:type="spellStart"/>
      <w:r w:rsidRPr="006353B9">
        <w:rPr>
          <w:color w:val="auto"/>
          <w:lang w:val="en-US"/>
        </w:rPr>
        <w:t>everolimus</w:t>
      </w:r>
      <w:proofErr w:type="spellEnd"/>
      <w:r w:rsidRPr="006353B9">
        <w:rPr>
          <w:color w:val="auto"/>
          <w:lang w:val="en-US"/>
        </w:rPr>
        <w:t xml:space="preserve"> compared to sequential treatment of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Pr>
          <w:color w:val="auto"/>
          <w:lang w:val="en-US"/>
        </w:rPr>
        <w:t xml:space="preserve"> were</w:t>
      </w:r>
      <w:r w:rsidRPr="006353B9">
        <w:rPr>
          <w:color w:val="auto"/>
          <w:lang w:val="en-US"/>
        </w:rPr>
        <w:t xml:space="preserve"> PFS of rotational arm versus PFS of the 2 lines in control arm, objective tumor response rate (ORR) per arm, overall survival (OS), and safety profile.</w:t>
      </w:r>
    </w:p>
    <w:p w:rsidR="003B167F" w:rsidRPr="006353B9" w:rsidRDefault="003B167F" w:rsidP="003B167F">
      <w:pPr>
        <w:pStyle w:val="Normal1"/>
        <w:jc w:val="both"/>
        <w:rPr>
          <w:color w:val="auto"/>
          <w:lang w:val="en-US"/>
        </w:rPr>
      </w:pPr>
    </w:p>
    <w:p w:rsidR="003B167F" w:rsidRPr="00EA6687" w:rsidRDefault="003B167F" w:rsidP="00EA6687">
      <w:pPr>
        <w:pStyle w:val="Heading1"/>
      </w:pPr>
      <w:bookmarkStart w:id="15" w:name="_Toc501022026"/>
      <w:r w:rsidRPr="006353B9">
        <w:t>INVESTIGATIONAL PLAN</w:t>
      </w:r>
      <w:bookmarkEnd w:id="15"/>
    </w:p>
    <w:p w:rsidR="003B167F" w:rsidRPr="006353B9" w:rsidRDefault="003B167F" w:rsidP="009A2182">
      <w:pPr>
        <w:pStyle w:val="Heading2"/>
      </w:pPr>
      <w:bookmarkStart w:id="16" w:name="_Toc501022027"/>
      <w:r w:rsidRPr="006353B9">
        <w:t>Overall Study Design and Plan: Description</w:t>
      </w:r>
      <w:bookmarkEnd w:id="16"/>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 xml:space="preserve">Treatment duration did not have a specific period. Patients in the rotational arm received the alternating study regimen until disease progression as defined by RECIST 1.1, until unacceptable toxicity was observed, or patient withdrew for any other reason. In the comparative arm patients received standard regimen of </w:t>
      </w:r>
      <w:proofErr w:type="spellStart"/>
      <w:r w:rsidRPr="006353B9">
        <w:rPr>
          <w:rFonts w:eastAsia="Times New Roman"/>
          <w:color w:val="auto"/>
          <w:lang w:val="en-US"/>
        </w:rPr>
        <w:t>sunitinib</w:t>
      </w:r>
      <w:proofErr w:type="spellEnd"/>
      <w:r w:rsidRPr="006353B9">
        <w:rPr>
          <w:rFonts w:eastAsia="Times New Roman"/>
          <w:color w:val="auto"/>
          <w:lang w:val="en-US"/>
        </w:rPr>
        <w:t xml:space="preserve"> until progression, followed by </w:t>
      </w:r>
      <w:proofErr w:type="spellStart"/>
      <w:r w:rsidRPr="006353B9">
        <w:rPr>
          <w:rFonts w:eastAsia="Times New Roman"/>
          <w:color w:val="auto"/>
          <w:lang w:val="en-US"/>
        </w:rPr>
        <w:t>everolimus</w:t>
      </w:r>
      <w:proofErr w:type="spellEnd"/>
      <w:r w:rsidRPr="006353B9">
        <w:rPr>
          <w:rFonts w:eastAsia="Times New Roman"/>
          <w:color w:val="auto"/>
          <w:lang w:val="en-US"/>
        </w:rPr>
        <w:t xml:space="preserve"> until progression</w:t>
      </w:r>
      <w:r>
        <w:rPr>
          <w:rFonts w:eastAsia="Times New Roman"/>
          <w:color w:val="auto"/>
          <w:lang w:val="en-US"/>
        </w:rPr>
        <w:t>.</w:t>
      </w: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 xml:space="preserve">No other anticancer medication allowed to be used unless </w:t>
      </w:r>
      <w:r>
        <w:rPr>
          <w:rFonts w:eastAsia="Times New Roman"/>
          <w:color w:val="auto"/>
          <w:lang w:val="en-US"/>
        </w:rPr>
        <w:t xml:space="preserve">a </w:t>
      </w:r>
      <w:r w:rsidRPr="006353B9">
        <w:rPr>
          <w:rFonts w:eastAsia="Times New Roman"/>
          <w:color w:val="auto"/>
          <w:lang w:val="en-US"/>
        </w:rPr>
        <w:t xml:space="preserve">patient had progressed on the rotational arm or after the </w:t>
      </w:r>
      <w:proofErr w:type="spellStart"/>
      <w:r w:rsidRPr="006353B9">
        <w:rPr>
          <w:rFonts w:eastAsia="Times New Roman"/>
          <w:color w:val="auto"/>
          <w:lang w:val="en-US"/>
        </w:rPr>
        <w:t>everolimus</w:t>
      </w:r>
      <w:proofErr w:type="spellEnd"/>
      <w:r w:rsidRPr="006353B9">
        <w:rPr>
          <w:rFonts w:eastAsia="Times New Roman"/>
          <w:color w:val="auto"/>
          <w:lang w:val="en-US"/>
        </w:rPr>
        <w:t xml:space="preserve"> treatment on the standard arm</w:t>
      </w:r>
    </w:p>
    <w:p w:rsidR="003B167F" w:rsidRPr="006353B9" w:rsidRDefault="003B167F" w:rsidP="003B167F">
      <w:pPr>
        <w:spacing w:line="240" w:lineRule="auto"/>
        <w:jc w:val="both"/>
        <w:rPr>
          <w:rFonts w:eastAsia="Times New Roman"/>
          <w:color w:val="auto"/>
          <w:lang w:val="en-US"/>
        </w:rPr>
      </w:pPr>
      <w:r>
        <w:rPr>
          <w:b/>
          <w:color w:val="auto"/>
          <w:lang w:val="en-US"/>
        </w:rPr>
        <w:br/>
      </w:r>
      <w:r w:rsidRPr="006353B9">
        <w:rPr>
          <w:rFonts w:eastAsia="Times New Roman"/>
          <w:color w:val="auto"/>
          <w:lang w:val="en-US"/>
        </w:rPr>
        <w:t xml:space="preserve">Patients received prescribed (commercial drug) for the first 3 months (until 1st tumor evaluation) and then the patients who were randomized to the control arm were kept receiving commercial (prescribed) drug for both line of therapies (i.e. </w:t>
      </w:r>
      <w:proofErr w:type="spellStart"/>
      <w:r w:rsidRPr="006353B9">
        <w:rPr>
          <w:rFonts w:eastAsia="Times New Roman"/>
          <w:color w:val="auto"/>
          <w:lang w:val="en-US"/>
        </w:rPr>
        <w:t>sunitinib</w:t>
      </w:r>
      <w:proofErr w:type="spellEnd"/>
      <w:r w:rsidRPr="006353B9">
        <w:rPr>
          <w:rFonts w:eastAsia="Times New Roman"/>
          <w:color w:val="auto"/>
          <w:lang w:val="en-US"/>
        </w:rPr>
        <w:t xml:space="preserve"> first line and </w:t>
      </w:r>
      <w:proofErr w:type="spellStart"/>
      <w:r w:rsidRPr="006353B9">
        <w:rPr>
          <w:rFonts w:eastAsia="Times New Roman"/>
          <w:color w:val="auto"/>
          <w:lang w:val="en-US"/>
        </w:rPr>
        <w:t>everolimus</w:t>
      </w:r>
      <w:proofErr w:type="spellEnd"/>
      <w:r w:rsidRPr="006353B9">
        <w:rPr>
          <w:rFonts w:eastAsia="Times New Roman"/>
          <w:color w:val="auto"/>
          <w:lang w:val="en-US"/>
        </w:rPr>
        <w:t xml:space="preserve"> second line) which were dispensed under the responsibility of Pharmacy Services from the applicable sites according to the applicable regulations for commercial drugs under hospital use. To guarantee the traceability of the drug´s dispensed the </w:t>
      </w:r>
      <w:r w:rsidRPr="006353B9">
        <w:rPr>
          <w:rFonts w:eastAsia="Times New Roman"/>
          <w:color w:val="auto"/>
          <w:lang w:val="en-US"/>
        </w:rPr>
        <w:lastRenderedPageBreak/>
        <w:t>following information was registered= commercial name, quantity and batch dispensed to each subject. Patients in the investigational arm received investigational drug provided by Novartis which were dispensed under the responsibility of Pharmacy Services from the applicable sites. The quantity and batches dispensed to each subject were also registered.</w:t>
      </w:r>
    </w:p>
    <w:p w:rsidR="003B167F" w:rsidRPr="006353B9" w:rsidRDefault="003B167F" w:rsidP="003B167F">
      <w:pPr>
        <w:spacing w:line="240" w:lineRule="auto"/>
        <w:jc w:val="both"/>
        <w:rPr>
          <w:rFonts w:eastAsia="Times New Roman"/>
          <w:color w:val="auto"/>
          <w:lang w:val="en-US"/>
        </w:rPr>
      </w:pPr>
    </w:p>
    <w:p w:rsidR="003B167F" w:rsidRPr="006353B9" w:rsidRDefault="003B167F" w:rsidP="007C7E25">
      <w:pPr>
        <w:spacing w:line="240" w:lineRule="auto"/>
        <w:jc w:val="both"/>
        <w:rPr>
          <w:rFonts w:eastAsia="Times New Roman"/>
          <w:color w:val="auto"/>
          <w:lang w:val="en-US"/>
        </w:rPr>
      </w:pPr>
      <w:r w:rsidRPr="006353B9">
        <w:rPr>
          <w:rFonts w:eastAsia="Times New Roman"/>
          <w:color w:val="auto"/>
          <w:lang w:val="en-US"/>
        </w:rPr>
        <w:t>Patients were treated with study medication</w:t>
      </w:r>
      <w:r>
        <w:rPr>
          <w:rFonts w:eastAsia="Times New Roman"/>
          <w:color w:val="auto"/>
          <w:lang w:val="en-US"/>
        </w:rPr>
        <w:t>s</w:t>
      </w:r>
      <w:r w:rsidRPr="006353B9">
        <w:rPr>
          <w:rFonts w:eastAsia="Times New Roman"/>
          <w:color w:val="auto"/>
          <w:lang w:val="en-US"/>
        </w:rPr>
        <w:t xml:space="preserve"> until tumor progression, unacceptable</w:t>
      </w:r>
      <w:r w:rsidR="007C7E25">
        <w:rPr>
          <w:rFonts w:eastAsia="Times New Roman"/>
          <w:color w:val="auto"/>
          <w:lang w:val="en-US"/>
        </w:rPr>
        <w:t xml:space="preserve"> </w:t>
      </w:r>
      <w:r w:rsidRPr="006353B9">
        <w:rPr>
          <w:rFonts w:eastAsia="Times New Roman"/>
          <w:color w:val="auto"/>
          <w:lang w:val="en-US"/>
        </w:rPr>
        <w:t>toxicity, death, or discontinuation from the study for any other valid reason. If</w:t>
      </w:r>
      <w:r w:rsidR="007C7E25">
        <w:rPr>
          <w:rFonts w:eastAsia="Times New Roman"/>
          <w:color w:val="auto"/>
          <w:lang w:val="en-US"/>
        </w:rPr>
        <w:t xml:space="preserve"> </w:t>
      </w:r>
      <w:r w:rsidRPr="006353B9">
        <w:rPr>
          <w:rFonts w:eastAsia="Times New Roman"/>
          <w:color w:val="auto"/>
          <w:lang w:val="en-US"/>
        </w:rPr>
        <w:t>unexpected circumstances impeded</w:t>
      </w:r>
      <w:r>
        <w:rPr>
          <w:rFonts w:eastAsia="Times New Roman"/>
          <w:color w:val="auto"/>
          <w:lang w:val="en-US"/>
        </w:rPr>
        <w:t>,</w:t>
      </w:r>
      <w:r w:rsidRPr="006353B9">
        <w:rPr>
          <w:rFonts w:eastAsia="Times New Roman"/>
          <w:color w:val="auto"/>
          <w:lang w:val="en-US"/>
        </w:rPr>
        <w:t xml:space="preserve"> the patients were supposed to comply with the established visit schedule, </w:t>
      </w:r>
      <w:proofErr w:type="gramStart"/>
      <w:r w:rsidRPr="006353B9">
        <w:rPr>
          <w:rFonts w:eastAsia="Times New Roman"/>
          <w:color w:val="auto"/>
          <w:lang w:val="en-US"/>
        </w:rPr>
        <w:t>a window of ± 3/4 days of the planned visit date</w:t>
      </w:r>
      <w:proofErr w:type="gramEnd"/>
      <w:r w:rsidRPr="006353B9">
        <w:rPr>
          <w:rFonts w:eastAsia="Times New Roman"/>
          <w:color w:val="auto"/>
          <w:lang w:val="en-US"/>
        </w:rPr>
        <w:t xml:space="preserve"> was allowed. The reason(s) for any visit adjustments or treatment delays were recorde</w:t>
      </w:r>
      <w:r>
        <w:rPr>
          <w:rFonts w:eastAsia="Times New Roman"/>
          <w:color w:val="auto"/>
          <w:lang w:val="en-US"/>
        </w:rPr>
        <w:t xml:space="preserve">d in the electronic case report </w:t>
      </w:r>
      <w:r w:rsidRPr="006353B9">
        <w:rPr>
          <w:rFonts w:eastAsia="Times New Roman"/>
          <w:color w:val="auto"/>
          <w:lang w:val="en-US"/>
        </w:rPr>
        <w:t>form (</w:t>
      </w:r>
      <w:proofErr w:type="spellStart"/>
      <w:r w:rsidRPr="006353B9">
        <w:rPr>
          <w:rFonts w:eastAsia="Times New Roman"/>
          <w:color w:val="auto"/>
          <w:lang w:val="en-US"/>
        </w:rPr>
        <w:t>eCRF</w:t>
      </w:r>
      <w:proofErr w:type="spellEnd"/>
      <w:r w:rsidRPr="006353B9">
        <w:rPr>
          <w:rFonts w:eastAsia="Times New Roman"/>
          <w:color w:val="auto"/>
          <w:lang w:val="en-US"/>
        </w:rPr>
        <w:t>).</w:t>
      </w:r>
    </w:p>
    <w:p w:rsidR="003B167F" w:rsidRPr="006353B9" w:rsidRDefault="003B167F" w:rsidP="007C7E25">
      <w:pPr>
        <w:spacing w:line="240" w:lineRule="auto"/>
        <w:jc w:val="both"/>
        <w:rPr>
          <w:rFonts w:eastAsia="Times New Roman"/>
          <w:color w:val="auto"/>
          <w:lang w:val="en-US"/>
        </w:rPr>
      </w:pP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 xml:space="preserve">Scheduled trimonthly visits continued throughout the study phase. According to </w:t>
      </w:r>
      <w:r>
        <w:rPr>
          <w:rFonts w:eastAsia="Times New Roman"/>
          <w:color w:val="auto"/>
          <w:lang w:val="en-US"/>
        </w:rPr>
        <w:t>the study protocol all patients</w:t>
      </w:r>
      <w:r w:rsidRPr="006353B9">
        <w:rPr>
          <w:rFonts w:eastAsia="Times New Roman"/>
          <w:color w:val="auto"/>
          <w:lang w:val="en-US"/>
        </w:rPr>
        <w:t xml:space="preserve"> were supposed to be followed every 3 months for survival evaluation up to 2 years after the last patient was randomized to the study after the last scheduled visit.</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Tumor assessments</w:t>
      </w:r>
      <w:r>
        <w:rPr>
          <w:rFonts w:eastAsia="Times New Roman"/>
          <w:color w:val="auto"/>
          <w:lang w:val="en-US"/>
        </w:rPr>
        <w:t xml:space="preserve"> </w:t>
      </w:r>
      <w:r w:rsidRPr="006353B9">
        <w:rPr>
          <w:rFonts w:eastAsia="Times New Roman"/>
          <w:color w:val="auto"/>
          <w:lang w:val="en-US"/>
        </w:rPr>
        <w:t xml:space="preserve">were independently performed by </w:t>
      </w:r>
      <w:r w:rsidR="00363712">
        <w:rPr>
          <w:rFonts w:eastAsia="Times New Roman"/>
          <w:color w:val="auto"/>
          <w:lang w:val="en-US"/>
        </w:rPr>
        <w:t>local radiologist every 12 weeks</w:t>
      </w:r>
      <w:r w:rsidRPr="006353B9">
        <w:rPr>
          <w:rFonts w:eastAsia="Times New Roman"/>
          <w:color w:val="auto"/>
          <w:lang w:val="en-US"/>
        </w:rPr>
        <w:t xml:space="preserve"> (± 1 week) from randomization until study discontinuation. A partial or complete response warranted confirmation no sooner than 4 weeks and no later than 8 weeks after its initial observation. Clinical suspicion of disease progression at any time required a physical examination and radiological documentation </w:t>
      </w:r>
      <w:r>
        <w:rPr>
          <w:rFonts w:eastAsia="Times New Roman"/>
          <w:color w:val="auto"/>
          <w:lang w:val="en-US"/>
        </w:rPr>
        <w:t xml:space="preserve">that </w:t>
      </w:r>
      <w:r w:rsidRPr="006353B9">
        <w:rPr>
          <w:rFonts w:eastAsia="Times New Roman"/>
          <w:color w:val="auto"/>
          <w:lang w:val="en-US"/>
        </w:rPr>
        <w:t>were performed promptly for the next scheduled radiological assessment.</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Any patient who discontinued from the study treatment for any reason other than disease</w:t>
      </w:r>
    </w:p>
    <w:p w:rsidR="003B167F" w:rsidRPr="006353B9" w:rsidRDefault="003B167F" w:rsidP="003B167F">
      <w:pPr>
        <w:jc w:val="both"/>
        <w:rPr>
          <w:rFonts w:eastAsia="Times New Roman"/>
          <w:color w:val="auto"/>
          <w:lang w:val="en-US"/>
        </w:rPr>
      </w:pPr>
      <w:r w:rsidRPr="006353B9">
        <w:rPr>
          <w:rFonts w:eastAsia="Times New Roman"/>
          <w:color w:val="auto"/>
          <w:lang w:val="en-US"/>
        </w:rPr>
        <w:t>progression continued to have tumor assessments every12 weeks (± 1 week) until the patient began another anticancer therapy. The investigator or his/her designee continued collecting information on the initiation of additional anticancer therapies until the data cutoff date for the final analysis. All new anticancer therapies after the last dose of study treatment were</w:t>
      </w:r>
      <w:r>
        <w:rPr>
          <w:rFonts w:eastAsia="Times New Roman"/>
          <w:color w:val="auto"/>
          <w:lang w:val="en-US"/>
        </w:rPr>
        <w:t xml:space="preserve"> recorded in the </w:t>
      </w:r>
      <w:proofErr w:type="spellStart"/>
      <w:r>
        <w:rPr>
          <w:rFonts w:eastAsia="Times New Roman"/>
          <w:color w:val="auto"/>
          <w:lang w:val="en-US"/>
        </w:rPr>
        <w:t>eCRF</w:t>
      </w:r>
      <w:proofErr w:type="spellEnd"/>
      <w:r>
        <w:rPr>
          <w:rFonts w:eastAsia="Times New Roman"/>
          <w:color w:val="auto"/>
          <w:lang w:val="en-US"/>
        </w:rPr>
        <w:t>.</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At every visit during the study and every 12 weeks (± 1 week) after the end-of treatment</w:t>
      </w: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visit patients were assessed for adverse event</w:t>
      </w:r>
      <w:r>
        <w:rPr>
          <w:rFonts w:eastAsia="Times New Roman"/>
          <w:color w:val="auto"/>
          <w:lang w:val="en-US"/>
        </w:rPr>
        <w:t xml:space="preserve">s (AEs), serious adverse events </w:t>
      </w:r>
      <w:r w:rsidRPr="006353B9">
        <w:rPr>
          <w:rFonts w:eastAsia="Times New Roman"/>
          <w:color w:val="auto"/>
          <w:lang w:val="en-US"/>
        </w:rPr>
        <w:t xml:space="preserve">(SAEs) </w:t>
      </w:r>
      <w:proofErr w:type="gramStart"/>
      <w:r w:rsidRPr="006353B9">
        <w:rPr>
          <w:rFonts w:eastAsia="Times New Roman"/>
          <w:color w:val="auto"/>
          <w:lang w:val="en-US"/>
        </w:rPr>
        <w:t>and also</w:t>
      </w:r>
      <w:proofErr w:type="gramEnd"/>
      <w:r w:rsidRPr="006353B9">
        <w:rPr>
          <w:rFonts w:eastAsia="Times New Roman"/>
          <w:color w:val="auto"/>
          <w:lang w:val="en-US"/>
        </w:rPr>
        <w:t xml:space="preserve"> for hypertension, proteinuria, gastroint</w:t>
      </w:r>
      <w:r>
        <w:rPr>
          <w:rFonts w:eastAsia="Times New Roman"/>
          <w:color w:val="auto"/>
          <w:lang w:val="en-US"/>
        </w:rPr>
        <w:t xml:space="preserve">estinal perforations, any major </w:t>
      </w:r>
      <w:r w:rsidRPr="006353B9">
        <w:rPr>
          <w:rFonts w:eastAsia="Times New Roman"/>
          <w:color w:val="auto"/>
          <w:lang w:val="en-US"/>
        </w:rPr>
        <w:t>injury or surgical procedure and arterial thromboembolic</w:t>
      </w:r>
      <w:r>
        <w:rPr>
          <w:rFonts w:eastAsia="Times New Roman"/>
          <w:color w:val="auto"/>
          <w:lang w:val="en-US"/>
        </w:rPr>
        <w:t xml:space="preserve"> events, irrespective of causal </w:t>
      </w:r>
      <w:r w:rsidRPr="006353B9">
        <w:rPr>
          <w:rFonts w:eastAsia="Times New Roman"/>
          <w:color w:val="auto"/>
          <w:lang w:val="en-US"/>
        </w:rPr>
        <w:t>relationship that may have occurred after end-of treatment.</w:t>
      </w: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In case of appearance of hypertension during the treatment the algorithm as described in</w:t>
      </w: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 xml:space="preserve">chapter 6.6, Table 5 was followed until blood pressure returned </w:t>
      </w:r>
      <w:r>
        <w:rPr>
          <w:rFonts w:eastAsia="Times New Roman"/>
          <w:color w:val="auto"/>
          <w:lang w:val="en-US"/>
        </w:rPr>
        <w:t xml:space="preserve">to within acceptable </w:t>
      </w:r>
      <w:r w:rsidRPr="006353B9">
        <w:rPr>
          <w:rFonts w:eastAsia="Times New Roman"/>
          <w:color w:val="auto"/>
          <w:lang w:val="en-US"/>
        </w:rPr>
        <w:t>range (≤ 160/95 mmHg). Patients who had ongoing proteinuria or who experienced</w:t>
      </w:r>
      <w:r>
        <w:rPr>
          <w:rFonts w:eastAsia="Times New Roman"/>
          <w:color w:val="auto"/>
          <w:lang w:val="en-US"/>
        </w:rPr>
        <w:t xml:space="preserve"> new </w:t>
      </w:r>
      <w:r w:rsidRPr="006353B9">
        <w:rPr>
          <w:rFonts w:eastAsia="Times New Roman"/>
          <w:color w:val="auto"/>
          <w:lang w:val="en-US"/>
        </w:rPr>
        <w:t>proteinuria, were monitored by 24-hour urine colle</w:t>
      </w:r>
      <w:r>
        <w:rPr>
          <w:rFonts w:eastAsia="Times New Roman"/>
          <w:color w:val="auto"/>
          <w:lang w:val="en-US"/>
        </w:rPr>
        <w:t xml:space="preserve">ction until total 24-hour urine </w:t>
      </w:r>
      <w:r w:rsidRPr="006353B9">
        <w:rPr>
          <w:rFonts w:eastAsia="Times New Roman"/>
          <w:color w:val="auto"/>
          <w:lang w:val="en-US"/>
        </w:rPr>
        <w:t>protein improved to ≤ 3g.</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rFonts w:eastAsia="Times New Roman"/>
          <w:color w:val="auto"/>
          <w:lang w:val="en-US"/>
        </w:rPr>
      </w:pPr>
      <w:r w:rsidRPr="006353B9">
        <w:rPr>
          <w:rFonts w:eastAsia="Times New Roman"/>
          <w:color w:val="auto"/>
          <w:lang w:val="en-US"/>
        </w:rPr>
        <w:t>An ECG assessment was done at the first study visit (week 12). In case of</w:t>
      </w:r>
      <w:r w:rsidR="009246A4">
        <w:rPr>
          <w:rFonts w:eastAsia="Times New Roman"/>
          <w:color w:val="auto"/>
          <w:lang w:val="en-US"/>
        </w:rPr>
        <w:t xml:space="preserve"> </w:t>
      </w:r>
      <w:r w:rsidRPr="006353B9">
        <w:rPr>
          <w:rFonts w:eastAsia="Times New Roman"/>
          <w:color w:val="auto"/>
          <w:lang w:val="en-US"/>
        </w:rPr>
        <w:t xml:space="preserve">prolongation of QTc interval 500 </w:t>
      </w:r>
      <w:proofErr w:type="spellStart"/>
      <w:r w:rsidRPr="006353B9">
        <w:rPr>
          <w:rFonts w:eastAsia="Times New Roman"/>
          <w:color w:val="auto"/>
          <w:lang w:val="en-US"/>
        </w:rPr>
        <w:t>msec</w:t>
      </w:r>
      <w:proofErr w:type="spellEnd"/>
      <w:r w:rsidRPr="006353B9">
        <w:rPr>
          <w:rFonts w:eastAsia="Times New Roman"/>
          <w:color w:val="auto"/>
          <w:lang w:val="en-US"/>
        </w:rPr>
        <w:t xml:space="preserve"> or greater the specific course of action stated in</w:t>
      </w:r>
      <w:r w:rsidR="009246A4">
        <w:rPr>
          <w:rFonts w:eastAsia="Times New Roman"/>
          <w:color w:val="auto"/>
          <w:lang w:val="en-US"/>
        </w:rPr>
        <w:t xml:space="preserve"> </w:t>
      </w:r>
      <w:r w:rsidRPr="006353B9">
        <w:rPr>
          <w:rFonts w:eastAsia="Times New Roman"/>
          <w:color w:val="auto"/>
          <w:lang w:val="en-US"/>
        </w:rPr>
        <w:t>chapter 6.6</w:t>
      </w:r>
      <w:r w:rsidR="009246A4">
        <w:rPr>
          <w:rFonts w:eastAsia="Times New Roman"/>
          <w:color w:val="auto"/>
          <w:lang w:val="en-US"/>
        </w:rPr>
        <w:t xml:space="preserve"> of the CSP</w:t>
      </w:r>
      <w:r w:rsidRPr="006353B9">
        <w:rPr>
          <w:rFonts w:eastAsia="Times New Roman"/>
          <w:color w:val="auto"/>
          <w:lang w:val="en-US"/>
        </w:rPr>
        <w:t xml:space="preserve"> was followed.</w:t>
      </w:r>
    </w:p>
    <w:p w:rsidR="003B167F" w:rsidRPr="006353B9" w:rsidRDefault="003B167F" w:rsidP="003B167F">
      <w:pPr>
        <w:pStyle w:val="Normal1"/>
        <w:jc w:val="both"/>
        <w:rPr>
          <w:b/>
          <w:color w:val="auto"/>
          <w:lang w:val="en-US"/>
        </w:rPr>
      </w:pPr>
    </w:p>
    <w:p w:rsidR="003B167F" w:rsidRPr="007C7E25" w:rsidRDefault="003B167F" w:rsidP="009A2182">
      <w:pPr>
        <w:pStyle w:val="Heading2"/>
      </w:pPr>
      <w:bookmarkStart w:id="17" w:name="_Toc501022028"/>
      <w:r w:rsidRPr="007C7E25">
        <w:lastRenderedPageBreak/>
        <w:t>Discussion of Study Design, Including the Choice of Control Groups</w:t>
      </w:r>
      <w:bookmarkEnd w:id="17"/>
    </w:p>
    <w:p w:rsidR="003B167F" w:rsidRPr="006353B9" w:rsidRDefault="003B167F" w:rsidP="003B167F">
      <w:pPr>
        <w:pStyle w:val="Normal1"/>
        <w:jc w:val="both"/>
        <w:rPr>
          <w:color w:val="auto"/>
          <w:lang w:val="en-US"/>
        </w:rPr>
      </w:pPr>
      <w:r w:rsidRPr="006353B9">
        <w:rPr>
          <w:color w:val="auto"/>
          <w:lang w:val="en-US"/>
        </w:rPr>
        <w:t xml:space="preserve">The primary objective of this study was to assess whether the experimental arm (alternating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had anti-tumor activity high enough to be further explored in a larger scale study. The primary endpoint was the progression-free survival rate at 1 year in each arm.</w:t>
      </w:r>
    </w:p>
    <w:p w:rsidR="003B167F" w:rsidRPr="006353B9" w:rsidRDefault="003B167F" w:rsidP="009A2182">
      <w:pPr>
        <w:pStyle w:val="Heading2"/>
      </w:pPr>
      <w:bookmarkStart w:id="18" w:name="_Toc501022029"/>
      <w:r w:rsidRPr="006353B9">
        <w:t>Study Population</w:t>
      </w:r>
      <w:bookmarkEnd w:id="18"/>
    </w:p>
    <w:p w:rsidR="003B167F" w:rsidRPr="006353B9" w:rsidRDefault="003B167F" w:rsidP="003B167F">
      <w:pPr>
        <w:pStyle w:val="Normal1"/>
        <w:jc w:val="both"/>
        <w:rPr>
          <w:color w:val="auto"/>
          <w:lang w:val="en-US"/>
        </w:rPr>
      </w:pPr>
      <w:r w:rsidRPr="006353B9">
        <w:rPr>
          <w:color w:val="auto"/>
          <w:lang w:val="en-US"/>
        </w:rPr>
        <w:t xml:space="preserve">The study population consisted of adult patients (over 18 years old) with clear cell </w:t>
      </w:r>
      <w:proofErr w:type="spellStart"/>
      <w:r w:rsidRPr="006353B9">
        <w:rPr>
          <w:color w:val="auto"/>
          <w:lang w:val="en-US"/>
        </w:rPr>
        <w:t>mRCC</w:t>
      </w:r>
      <w:proofErr w:type="spellEnd"/>
    </w:p>
    <w:p w:rsidR="003B167F" w:rsidRPr="006353B9" w:rsidRDefault="003B167F" w:rsidP="003B167F">
      <w:pPr>
        <w:pStyle w:val="Normal1"/>
        <w:jc w:val="both"/>
        <w:rPr>
          <w:color w:val="auto"/>
          <w:lang w:val="en-US"/>
        </w:rPr>
      </w:pPr>
      <w:r w:rsidRPr="006353B9">
        <w:rPr>
          <w:color w:val="auto"/>
          <w:lang w:val="en-US"/>
        </w:rPr>
        <w:t>who had not received prior therapy for their metastatic disease.</w:t>
      </w:r>
    </w:p>
    <w:p w:rsidR="00733B6B" w:rsidRDefault="00733B6B"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 xml:space="preserve">In clear-cell renal cell carcinoma, the current standard approach of first line </w:t>
      </w:r>
      <w:proofErr w:type="spellStart"/>
      <w:r w:rsidRPr="006353B9">
        <w:rPr>
          <w:color w:val="auto"/>
          <w:lang w:val="en-US"/>
        </w:rPr>
        <w:t>sunitinib</w:t>
      </w:r>
      <w:proofErr w:type="spellEnd"/>
      <w:r w:rsidR="001849B5">
        <w:rPr>
          <w:color w:val="auto"/>
          <w:lang w:val="en-US"/>
        </w:rPr>
        <w:t xml:space="preserve"> </w:t>
      </w:r>
      <w:r w:rsidRPr="006353B9">
        <w:rPr>
          <w:color w:val="auto"/>
          <w:lang w:val="en-US"/>
        </w:rPr>
        <w:t>yield</w:t>
      </w:r>
      <w:r>
        <w:rPr>
          <w:color w:val="auto"/>
          <w:lang w:val="en-US"/>
        </w:rPr>
        <w:t>ed</w:t>
      </w:r>
      <w:r w:rsidRPr="006353B9">
        <w:rPr>
          <w:color w:val="auto"/>
          <w:lang w:val="en-US"/>
        </w:rPr>
        <w:t xml:space="preserve"> a PFS of approximately 10 months. For this study, it </w:t>
      </w:r>
      <w:r>
        <w:rPr>
          <w:color w:val="auto"/>
          <w:lang w:val="en-US"/>
        </w:rPr>
        <w:t>wa</w:t>
      </w:r>
      <w:r w:rsidRPr="006353B9">
        <w:rPr>
          <w:color w:val="auto"/>
          <w:lang w:val="en-US"/>
        </w:rPr>
        <w:t>s determined that if the</w:t>
      </w:r>
      <w:r w:rsidR="001849B5">
        <w:rPr>
          <w:color w:val="auto"/>
          <w:lang w:val="en-US"/>
        </w:rPr>
        <w:t xml:space="preserve"> </w:t>
      </w:r>
      <w:r w:rsidRPr="006353B9">
        <w:rPr>
          <w:color w:val="auto"/>
          <w:lang w:val="en-US"/>
        </w:rPr>
        <w:t xml:space="preserve">experimental arm (alternating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yield</w:t>
      </w:r>
      <w:r>
        <w:rPr>
          <w:color w:val="auto"/>
          <w:lang w:val="en-US"/>
        </w:rPr>
        <w:t>ed</w:t>
      </w:r>
      <w:r w:rsidRPr="006353B9">
        <w:rPr>
          <w:color w:val="auto"/>
          <w:lang w:val="en-US"/>
        </w:rPr>
        <w:t xml:space="preserve"> a PFS rate of 58% then</w:t>
      </w:r>
      <w:r w:rsidR="001849B5">
        <w:rPr>
          <w:color w:val="auto"/>
          <w:lang w:val="en-US"/>
        </w:rPr>
        <w:t xml:space="preserve"> </w:t>
      </w:r>
      <w:r w:rsidRPr="006353B9">
        <w:rPr>
          <w:color w:val="auto"/>
          <w:lang w:val="en-US"/>
        </w:rPr>
        <w:t>this regimen deserve</w:t>
      </w:r>
      <w:r>
        <w:rPr>
          <w:color w:val="auto"/>
          <w:lang w:val="en-US"/>
        </w:rPr>
        <w:t>d</w:t>
      </w:r>
      <w:r w:rsidRPr="006353B9">
        <w:rPr>
          <w:color w:val="auto"/>
          <w:lang w:val="en-US"/>
        </w:rPr>
        <w:t xml:space="preserve"> to be further explored. </w:t>
      </w:r>
      <w:proofErr w:type="gramStart"/>
      <w:r w:rsidRPr="006353B9">
        <w:rPr>
          <w:color w:val="auto"/>
          <w:lang w:val="en-US"/>
        </w:rPr>
        <w:t>In order to</w:t>
      </w:r>
      <w:proofErr w:type="gramEnd"/>
      <w:r w:rsidRPr="006353B9">
        <w:rPr>
          <w:color w:val="auto"/>
          <w:lang w:val="en-US"/>
        </w:rPr>
        <w:t xml:space="preserve"> control whether the initial</w:t>
      </w:r>
      <w:r w:rsidR="00733B6B">
        <w:rPr>
          <w:color w:val="auto"/>
          <w:lang w:val="en-US"/>
        </w:rPr>
        <w:t xml:space="preserve"> </w:t>
      </w:r>
      <w:r w:rsidRPr="006353B9">
        <w:rPr>
          <w:color w:val="auto"/>
          <w:lang w:val="en-US"/>
        </w:rPr>
        <w:t>assumption of a PFS rate of 43% months induced by the standard arm (</w:t>
      </w:r>
      <w:proofErr w:type="spellStart"/>
      <w:r w:rsidRPr="006353B9">
        <w:rPr>
          <w:color w:val="auto"/>
          <w:lang w:val="en-US"/>
        </w:rPr>
        <w:t>sunitinib</w:t>
      </w:r>
      <w:proofErr w:type="spellEnd"/>
      <w:r w:rsidRPr="006353B9">
        <w:rPr>
          <w:color w:val="auto"/>
          <w:lang w:val="en-US"/>
        </w:rPr>
        <w:t>) applie</w:t>
      </w:r>
      <w:r>
        <w:rPr>
          <w:color w:val="auto"/>
          <w:lang w:val="en-US"/>
        </w:rPr>
        <w:t>d</w:t>
      </w:r>
      <w:r w:rsidRPr="006353B9">
        <w:rPr>
          <w:color w:val="auto"/>
          <w:lang w:val="en-US"/>
        </w:rPr>
        <w:t xml:space="preserve"> to the population included in this study, this study was conducted in a randomized setting allocating 33 patients to the standard arm as well. This control arm helped to compare safety and toxicity profiles.</w:t>
      </w:r>
    </w:p>
    <w:p w:rsidR="003B167F" w:rsidRPr="006353B9" w:rsidRDefault="003B167F" w:rsidP="003B167F">
      <w:pPr>
        <w:pStyle w:val="Normal1"/>
        <w:jc w:val="both"/>
        <w:rPr>
          <w:b/>
          <w:color w:val="auto"/>
          <w:lang w:val="en-US"/>
        </w:rPr>
      </w:pPr>
    </w:p>
    <w:p w:rsidR="003B167F" w:rsidRPr="006353B9" w:rsidRDefault="003B167F" w:rsidP="003B167F">
      <w:pPr>
        <w:pStyle w:val="Normal1"/>
        <w:jc w:val="both"/>
        <w:rPr>
          <w:color w:val="auto"/>
          <w:lang w:val="en-US"/>
        </w:rPr>
      </w:pPr>
      <w:r w:rsidRPr="006353B9">
        <w:rPr>
          <w:color w:val="auto"/>
          <w:lang w:val="en-US"/>
        </w:rPr>
        <w:t>It was expected the group sample sizes of 85 and 43 were to achieve 80% power to detect a difference of 15% between the null hypothesis that both group values were 10 months and the alternative hypothesis that the proportion in group 2 was 15 using a one-sided Chi-square test without continuity correction and with a significance level of 0,05.</w:t>
      </w:r>
    </w:p>
    <w:p w:rsidR="003B167F" w:rsidRPr="006353B9" w:rsidRDefault="003B167F" w:rsidP="003B167F">
      <w:pPr>
        <w:pStyle w:val="Normal1"/>
        <w:jc w:val="both"/>
        <w:rPr>
          <w:color w:val="auto"/>
          <w:lang w:val="en-US"/>
        </w:rPr>
      </w:pPr>
    </w:p>
    <w:p w:rsidR="003B167F" w:rsidRPr="006353B9" w:rsidRDefault="003B167F" w:rsidP="003B167F">
      <w:pPr>
        <w:pStyle w:val="Normal1"/>
        <w:jc w:val="both"/>
        <w:rPr>
          <w:color w:val="auto"/>
          <w:lang w:val="en-US"/>
        </w:rPr>
      </w:pPr>
      <w:r w:rsidRPr="006353B9">
        <w:rPr>
          <w:color w:val="auto"/>
          <w:lang w:val="en-US"/>
        </w:rPr>
        <w:t>To compensate for non-evaluable patients, a surplus of 5% was planned to be included</w:t>
      </w:r>
    </w:p>
    <w:p w:rsidR="003B167F" w:rsidRPr="006353B9" w:rsidRDefault="003B167F" w:rsidP="003B167F">
      <w:pPr>
        <w:pStyle w:val="Normal1"/>
        <w:jc w:val="both"/>
        <w:rPr>
          <w:color w:val="auto"/>
          <w:lang w:val="en-US"/>
        </w:rPr>
      </w:pPr>
      <w:r w:rsidRPr="006353B9">
        <w:rPr>
          <w:color w:val="auto"/>
          <w:lang w:val="en-US"/>
        </w:rPr>
        <w:t>meaning that in total 135 patients were supposed to be included in this study.</w:t>
      </w:r>
    </w:p>
    <w:p w:rsidR="003B167F" w:rsidRPr="006353B9" w:rsidRDefault="003B167F" w:rsidP="009A2182">
      <w:pPr>
        <w:pStyle w:val="Heading3"/>
      </w:pPr>
      <w:bookmarkStart w:id="19" w:name="_Toc501022030"/>
      <w:r w:rsidRPr="006353B9">
        <w:t>Inclusion criteria</w:t>
      </w:r>
      <w:bookmarkEnd w:id="19"/>
    </w:p>
    <w:p w:rsidR="003B167F" w:rsidRPr="009A2182" w:rsidRDefault="003B167F" w:rsidP="00363712">
      <w:pPr>
        <w:pStyle w:val="ListBullet"/>
        <w:jc w:val="both"/>
        <w:rPr>
          <w:lang w:val="en-US"/>
        </w:rPr>
      </w:pPr>
      <w:r w:rsidRPr="009A2182">
        <w:rPr>
          <w:lang w:val="en-US"/>
        </w:rPr>
        <w:t>Renal cell carcinoma with a predominant clear cell component confirmed by</w:t>
      </w:r>
      <w:r w:rsidR="009A2182" w:rsidRPr="009A2182">
        <w:rPr>
          <w:lang w:val="en-US"/>
        </w:rPr>
        <w:t xml:space="preserve"> </w:t>
      </w:r>
      <w:r w:rsidRPr="009A2182">
        <w:rPr>
          <w:lang w:val="en-US"/>
        </w:rPr>
        <w:t>histology.</w:t>
      </w:r>
    </w:p>
    <w:p w:rsidR="003B167F" w:rsidRPr="006353B9" w:rsidRDefault="003B167F" w:rsidP="00363712">
      <w:pPr>
        <w:pStyle w:val="ListBullet"/>
        <w:jc w:val="both"/>
        <w:rPr>
          <w:lang w:val="en-US"/>
        </w:rPr>
      </w:pPr>
      <w:r w:rsidRPr="006353B9">
        <w:rPr>
          <w:lang w:val="en-US"/>
        </w:rPr>
        <w:t>Advanced disease: metastatic AND not suitable for resection</w:t>
      </w:r>
    </w:p>
    <w:p w:rsidR="003B167F" w:rsidRPr="006353B9" w:rsidRDefault="003B167F" w:rsidP="00363712">
      <w:pPr>
        <w:pStyle w:val="ListBullet"/>
        <w:jc w:val="both"/>
        <w:rPr>
          <w:lang w:val="en-US"/>
        </w:rPr>
      </w:pPr>
      <w:r w:rsidRPr="006353B9">
        <w:rPr>
          <w:lang w:val="en-US"/>
        </w:rPr>
        <w:t>Male or female, aged 18 years or older</w:t>
      </w:r>
    </w:p>
    <w:p w:rsidR="003B167F" w:rsidRPr="009A2182" w:rsidRDefault="003B167F" w:rsidP="00363712">
      <w:pPr>
        <w:pStyle w:val="ListBullet"/>
        <w:jc w:val="both"/>
        <w:rPr>
          <w:lang w:val="en-US"/>
        </w:rPr>
      </w:pPr>
      <w:r w:rsidRPr="009A2182">
        <w:rPr>
          <w:lang w:val="en-US"/>
        </w:rPr>
        <w:t>Eastern Cooperative Oncology Group (ECOG) Performance Status of 0 or 1</w:t>
      </w:r>
      <w:r w:rsidR="009A2182" w:rsidRPr="009A2182">
        <w:rPr>
          <w:lang w:val="en-US"/>
        </w:rPr>
        <w:t xml:space="preserve"> </w:t>
      </w:r>
      <w:r w:rsidRPr="009A2182">
        <w:rPr>
          <w:lang w:val="en-US"/>
        </w:rPr>
        <w:t>(</w:t>
      </w:r>
      <w:r w:rsidR="00733B6B">
        <w:rPr>
          <w:lang w:val="en-US"/>
        </w:rPr>
        <w:t xml:space="preserve">as per </w:t>
      </w:r>
      <w:r w:rsidRPr="009A2182">
        <w:rPr>
          <w:lang w:val="en-US"/>
        </w:rPr>
        <w:t>Appendix 2</w:t>
      </w:r>
      <w:r w:rsidR="00733B6B">
        <w:rPr>
          <w:lang w:val="en-US"/>
        </w:rPr>
        <w:t xml:space="preserve"> of CSP</w:t>
      </w:r>
      <w:r w:rsidRPr="009A2182">
        <w:rPr>
          <w:lang w:val="en-US"/>
        </w:rPr>
        <w:t>)</w:t>
      </w:r>
    </w:p>
    <w:p w:rsidR="003B167F" w:rsidRPr="009A2182" w:rsidRDefault="003B167F" w:rsidP="00363712">
      <w:pPr>
        <w:pStyle w:val="ListBullet"/>
        <w:jc w:val="both"/>
        <w:rPr>
          <w:lang w:val="en-US"/>
        </w:rPr>
      </w:pPr>
      <w:r w:rsidRPr="009A2182">
        <w:rPr>
          <w:lang w:val="en-US"/>
        </w:rPr>
        <w:t>Low or intermediate MSKCC prognostic risk score (Appendix 3), i.e. no more</w:t>
      </w:r>
      <w:r w:rsidR="009A2182" w:rsidRPr="009A2182">
        <w:rPr>
          <w:lang w:val="en-US"/>
        </w:rPr>
        <w:t xml:space="preserve"> </w:t>
      </w:r>
      <w:r w:rsidRPr="009A2182">
        <w:rPr>
          <w:lang w:val="en-US"/>
        </w:rPr>
        <w:t>than 2 of the following:</w:t>
      </w:r>
    </w:p>
    <w:p w:rsidR="003B167F" w:rsidRPr="006353B9" w:rsidRDefault="003B167F" w:rsidP="00363712">
      <w:pPr>
        <w:pStyle w:val="ListBullet"/>
        <w:numPr>
          <w:ilvl w:val="0"/>
          <w:numId w:val="14"/>
        </w:numPr>
        <w:jc w:val="both"/>
        <w:rPr>
          <w:lang w:val="en-US"/>
        </w:rPr>
      </w:pPr>
      <w:proofErr w:type="spellStart"/>
      <w:r w:rsidRPr="006353B9">
        <w:rPr>
          <w:lang w:val="en-US"/>
        </w:rPr>
        <w:t>Karnofsky</w:t>
      </w:r>
      <w:proofErr w:type="spellEnd"/>
      <w:r w:rsidRPr="006353B9">
        <w:rPr>
          <w:lang w:val="en-US"/>
        </w:rPr>
        <w:t xml:space="preserve"> performance status (&lt;80%)</w:t>
      </w:r>
    </w:p>
    <w:p w:rsidR="003B167F" w:rsidRPr="009A2182" w:rsidRDefault="003B167F" w:rsidP="00363712">
      <w:pPr>
        <w:pStyle w:val="ListBullet"/>
        <w:numPr>
          <w:ilvl w:val="0"/>
          <w:numId w:val="14"/>
        </w:numPr>
        <w:jc w:val="both"/>
        <w:rPr>
          <w:lang w:val="en-US"/>
        </w:rPr>
      </w:pPr>
      <w:r w:rsidRPr="009A2182">
        <w:rPr>
          <w:lang w:val="en-US"/>
        </w:rPr>
        <w:t>Low serum hemoglobin (≤ 13 g/</w:t>
      </w:r>
      <w:proofErr w:type="spellStart"/>
      <w:r w:rsidRPr="009A2182">
        <w:rPr>
          <w:lang w:val="en-US"/>
        </w:rPr>
        <w:t>dL</w:t>
      </w:r>
      <w:proofErr w:type="spellEnd"/>
      <w:r w:rsidRPr="009A2182">
        <w:rPr>
          <w:lang w:val="en-US"/>
        </w:rPr>
        <w:t xml:space="preserve"> for males and ≤ 11.5 g/</w:t>
      </w:r>
      <w:proofErr w:type="spellStart"/>
      <w:r w:rsidRPr="009A2182">
        <w:rPr>
          <w:lang w:val="en-US"/>
        </w:rPr>
        <w:t>dL</w:t>
      </w:r>
      <w:proofErr w:type="spellEnd"/>
      <w:r w:rsidRPr="009A2182">
        <w:rPr>
          <w:lang w:val="en-US"/>
        </w:rPr>
        <w:t xml:space="preserve"> for</w:t>
      </w:r>
      <w:r w:rsidR="009A2182" w:rsidRPr="009A2182">
        <w:rPr>
          <w:lang w:val="en-US"/>
        </w:rPr>
        <w:t xml:space="preserve"> </w:t>
      </w:r>
      <w:r w:rsidRPr="009A2182">
        <w:rPr>
          <w:lang w:val="en-US"/>
        </w:rPr>
        <w:t>females)</w:t>
      </w:r>
    </w:p>
    <w:p w:rsidR="003B167F" w:rsidRPr="006353B9" w:rsidRDefault="003B167F" w:rsidP="00363712">
      <w:pPr>
        <w:pStyle w:val="ListBullet"/>
        <w:numPr>
          <w:ilvl w:val="0"/>
          <w:numId w:val="14"/>
        </w:numPr>
        <w:jc w:val="both"/>
        <w:rPr>
          <w:lang w:val="en-US"/>
        </w:rPr>
      </w:pPr>
      <w:r w:rsidRPr="006353B9">
        <w:rPr>
          <w:lang w:val="en-US"/>
        </w:rPr>
        <w:t>High corrected serum calcium (≥ 10 mg/</w:t>
      </w:r>
      <w:proofErr w:type="spellStart"/>
      <w:r w:rsidRPr="006353B9">
        <w:rPr>
          <w:lang w:val="en-US"/>
        </w:rPr>
        <w:t>dL</w:t>
      </w:r>
      <w:proofErr w:type="spellEnd"/>
      <w:r w:rsidRPr="006353B9">
        <w:rPr>
          <w:lang w:val="en-US"/>
        </w:rPr>
        <w:t>)</w:t>
      </w:r>
    </w:p>
    <w:p w:rsidR="003B167F" w:rsidRPr="006353B9" w:rsidRDefault="003B167F" w:rsidP="00363712">
      <w:pPr>
        <w:pStyle w:val="ListBullet"/>
        <w:jc w:val="both"/>
        <w:rPr>
          <w:lang w:val="en-US"/>
        </w:rPr>
      </w:pPr>
      <w:r w:rsidRPr="006353B9">
        <w:rPr>
          <w:lang w:val="en-US"/>
        </w:rPr>
        <w:lastRenderedPageBreak/>
        <w:t>Target and/or non-target lesions according to RECIST 1.1 (</w:t>
      </w:r>
      <w:r w:rsidR="00733B6B">
        <w:rPr>
          <w:lang w:val="en-US"/>
        </w:rPr>
        <w:t xml:space="preserve">as per </w:t>
      </w:r>
      <w:r w:rsidRPr="006353B9">
        <w:rPr>
          <w:lang w:val="en-US"/>
        </w:rPr>
        <w:t>Appendix 4</w:t>
      </w:r>
      <w:r w:rsidR="00733B6B">
        <w:rPr>
          <w:lang w:val="en-US"/>
        </w:rPr>
        <w:t xml:space="preserve"> of CSP</w:t>
      </w:r>
      <w:r w:rsidRPr="006353B9">
        <w:rPr>
          <w:lang w:val="en-US"/>
        </w:rPr>
        <w:t>).</w:t>
      </w:r>
    </w:p>
    <w:p w:rsidR="003B167F" w:rsidRPr="006353B9" w:rsidRDefault="003B167F" w:rsidP="00363712">
      <w:pPr>
        <w:pStyle w:val="ListBullet"/>
        <w:jc w:val="both"/>
        <w:rPr>
          <w:lang w:val="en-US"/>
        </w:rPr>
      </w:pPr>
      <w:r w:rsidRPr="006353B9">
        <w:rPr>
          <w:lang w:val="en-US"/>
        </w:rPr>
        <w:t>Expected survival of at least 3 months.</w:t>
      </w:r>
    </w:p>
    <w:p w:rsidR="003B167F" w:rsidRPr="009A2182" w:rsidRDefault="003B167F" w:rsidP="00363712">
      <w:pPr>
        <w:pStyle w:val="ListBullet"/>
        <w:jc w:val="both"/>
        <w:rPr>
          <w:lang w:val="en-US"/>
        </w:rPr>
      </w:pPr>
      <w:r w:rsidRPr="009A2182">
        <w:rPr>
          <w:lang w:val="en-US"/>
        </w:rPr>
        <w:t>No prior systemic treatment. But adjuvant treatment is ok if stopped from ≥ 24</w:t>
      </w:r>
      <w:r w:rsidR="009A2182" w:rsidRPr="009A2182">
        <w:rPr>
          <w:lang w:val="en-US"/>
        </w:rPr>
        <w:t xml:space="preserve"> </w:t>
      </w:r>
      <w:r w:rsidRPr="009A2182">
        <w:rPr>
          <w:lang w:val="en-US"/>
        </w:rPr>
        <w:t>months</w:t>
      </w:r>
    </w:p>
    <w:p w:rsidR="003B167F" w:rsidRPr="006353B9" w:rsidRDefault="003B167F" w:rsidP="00363712">
      <w:pPr>
        <w:pStyle w:val="ListBullet"/>
        <w:jc w:val="both"/>
        <w:rPr>
          <w:lang w:val="en-US"/>
        </w:rPr>
      </w:pPr>
      <w:r w:rsidRPr="006353B9">
        <w:rPr>
          <w:lang w:val="en-US"/>
        </w:rPr>
        <w:t>Adequate bone marrow function as shown by:</w:t>
      </w:r>
    </w:p>
    <w:p w:rsidR="003B167F" w:rsidRPr="006353B9" w:rsidRDefault="003B167F" w:rsidP="00363712">
      <w:pPr>
        <w:pStyle w:val="ListBullet"/>
        <w:numPr>
          <w:ilvl w:val="0"/>
          <w:numId w:val="13"/>
        </w:numPr>
        <w:jc w:val="both"/>
        <w:rPr>
          <w:lang w:val="en-US"/>
        </w:rPr>
      </w:pPr>
      <w:r w:rsidRPr="006353B9">
        <w:rPr>
          <w:lang w:val="en-US"/>
        </w:rPr>
        <w:t>Blood absolute neutrophil count (ANC) ≥ 1.5 x 10</w:t>
      </w:r>
      <w:r w:rsidRPr="00733B6B">
        <w:rPr>
          <w:vertAlign w:val="superscript"/>
          <w:lang w:val="en-US"/>
        </w:rPr>
        <w:t>9</w:t>
      </w:r>
      <w:r w:rsidRPr="006353B9">
        <w:rPr>
          <w:lang w:val="en-US"/>
        </w:rPr>
        <w:t>/L</w:t>
      </w:r>
    </w:p>
    <w:p w:rsidR="003B167F" w:rsidRPr="006353B9" w:rsidRDefault="003B167F" w:rsidP="00363712">
      <w:pPr>
        <w:pStyle w:val="ListBullet"/>
        <w:numPr>
          <w:ilvl w:val="0"/>
          <w:numId w:val="13"/>
        </w:numPr>
        <w:jc w:val="both"/>
        <w:rPr>
          <w:lang w:val="en-US"/>
        </w:rPr>
      </w:pPr>
      <w:r w:rsidRPr="006353B9">
        <w:rPr>
          <w:lang w:val="en-US"/>
        </w:rPr>
        <w:t>Blood platelets ≥ 100 x 10</w:t>
      </w:r>
      <w:r w:rsidRPr="00733B6B">
        <w:rPr>
          <w:vertAlign w:val="superscript"/>
          <w:lang w:val="en-US"/>
        </w:rPr>
        <w:t>9</w:t>
      </w:r>
      <w:r w:rsidRPr="006353B9">
        <w:rPr>
          <w:lang w:val="en-US"/>
        </w:rPr>
        <w:t>/L</w:t>
      </w:r>
    </w:p>
    <w:p w:rsidR="003B167F" w:rsidRPr="006353B9" w:rsidRDefault="003B167F" w:rsidP="00363712">
      <w:pPr>
        <w:pStyle w:val="ListBullet"/>
        <w:numPr>
          <w:ilvl w:val="0"/>
          <w:numId w:val="13"/>
        </w:numPr>
        <w:jc w:val="both"/>
        <w:rPr>
          <w:lang w:val="en-US"/>
        </w:rPr>
      </w:pPr>
      <w:r w:rsidRPr="006353B9">
        <w:rPr>
          <w:lang w:val="en-US"/>
        </w:rPr>
        <w:t>Blood hemoglobin (Hgb) &gt; 9 g/</w:t>
      </w:r>
      <w:proofErr w:type="spellStart"/>
      <w:r w:rsidRPr="006353B9">
        <w:rPr>
          <w:lang w:val="en-US"/>
        </w:rPr>
        <w:t>dL</w:t>
      </w:r>
      <w:proofErr w:type="spellEnd"/>
    </w:p>
    <w:p w:rsidR="003B167F" w:rsidRPr="006353B9" w:rsidRDefault="003B167F" w:rsidP="00363712">
      <w:pPr>
        <w:pStyle w:val="ListBullet"/>
        <w:jc w:val="both"/>
        <w:rPr>
          <w:lang w:val="en-US"/>
        </w:rPr>
      </w:pPr>
      <w:r w:rsidRPr="006353B9">
        <w:rPr>
          <w:lang w:val="en-US"/>
        </w:rPr>
        <w:t>Adequate liver function as shown by:</w:t>
      </w:r>
    </w:p>
    <w:p w:rsidR="003B167F" w:rsidRPr="006353B9" w:rsidRDefault="003B167F" w:rsidP="00363712">
      <w:pPr>
        <w:pStyle w:val="ListBullet"/>
        <w:numPr>
          <w:ilvl w:val="0"/>
          <w:numId w:val="15"/>
        </w:numPr>
        <w:jc w:val="both"/>
        <w:rPr>
          <w:lang w:val="en-US"/>
        </w:rPr>
      </w:pPr>
      <w:r w:rsidRPr="006353B9">
        <w:rPr>
          <w:lang w:val="en-US"/>
        </w:rPr>
        <w:t>Serum or plasma ALT and AST ≤ 3.0 x ULN (regardless of the presence or absence of metastases)</w:t>
      </w:r>
    </w:p>
    <w:p w:rsidR="003B167F" w:rsidRPr="006353B9" w:rsidRDefault="003B167F" w:rsidP="00363712">
      <w:pPr>
        <w:pStyle w:val="ListBullet"/>
        <w:numPr>
          <w:ilvl w:val="0"/>
          <w:numId w:val="15"/>
        </w:numPr>
        <w:jc w:val="both"/>
        <w:rPr>
          <w:lang w:val="en-US"/>
        </w:rPr>
      </w:pPr>
      <w:r w:rsidRPr="006353B9">
        <w:rPr>
          <w:lang w:val="en-US"/>
        </w:rPr>
        <w:t>Serum or plasma total bilirubin: ≤ 1.5 x ULN (excepted for patients with Gilbert’s syndrome)</w:t>
      </w:r>
    </w:p>
    <w:p w:rsidR="003B167F" w:rsidRPr="006353B9" w:rsidRDefault="003B167F" w:rsidP="00363712">
      <w:pPr>
        <w:pStyle w:val="ListBullet"/>
        <w:jc w:val="both"/>
        <w:rPr>
          <w:lang w:val="en-US"/>
        </w:rPr>
      </w:pPr>
      <w:r w:rsidRPr="006353B9">
        <w:rPr>
          <w:lang w:val="en-US"/>
        </w:rPr>
        <w:t>Adequate renal function as shown by serum creatinine ≤ 1.5 x ULN</w:t>
      </w:r>
    </w:p>
    <w:p w:rsidR="003B167F" w:rsidRPr="006353B9" w:rsidRDefault="003B167F" w:rsidP="00363712">
      <w:pPr>
        <w:pStyle w:val="ListBullet"/>
        <w:jc w:val="both"/>
        <w:rPr>
          <w:lang w:val="en-US"/>
        </w:rPr>
      </w:pPr>
      <w:r w:rsidRPr="006353B9">
        <w:rPr>
          <w:lang w:val="en-US"/>
        </w:rPr>
        <w:t>Left ventricular ejection fraction ≥55% on gated cardiac blood pool scan, or normal left ventricular function and fractional shortening on echocardiogram (according to institutional limits).</w:t>
      </w:r>
    </w:p>
    <w:p w:rsidR="003B167F" w:rsidRPr="006353B9" w:rsidRDefault="003B167F" w:rsidP="00363712">
      <w:pPr>
        <w:pStyle w:val="ListBullet"/>
        <w:jc w:val="both"/>
        <w:rPr>
          <w:lang w:val="en-US"/>
        </w:rPr>
      </w:pPr>
      <w:r w:rsidRPr="006353B9">
        <w:rPr>
          <w:lang w:val="en-US"/>
        </w:rPr>
        <w:t>Systolic blood pressure ≤140mmHg and diastolic blood pressure ≤90mmHg (it is</w:t>
      </w:r>
    </w:p>
    <w:p w:rsidR="003B167F" w:rsidRPr="009A2182" w:rsidRDefault="003B167F" w:rsidP="00363712">
      <w:pPr>
        <w:pStyle w:val="ListBullet"/>
        <w:jc w:val="both"/>
        <w:rPr>
          <w:lang w:val="en-US"/>
        </w:rPr>
      </w:pPr>
      <w:r w:rsidRPr="009A2182">
        <w:rPr>
          <w:lang w:val="en-US"/>
        </w:rPr>
        <w:t>acceptable to initiate antihypertensive treatment prior to registration to achieve</w:t>
      </w:r>
      <w:r w:rsidR="009A2182" w:rsidRPr="009A2182">
        <w:rPr>
          <w:lang w:val="en-US"/>
        </w:rPr>
        <w:t xml:space="preserve"> </w:t>
      </w:r>
      <w:r w:rsidRPr="009A2182">
        <w:rPr>
          <w:lang w:val="en-US"/>
        </w:rPr>
        <w:t>these goals).</w:t>
      </w:r>
    </w:p>
    <w:p w:rsidR="003B167F" w:rsidRPr="006353B9" w:rsidRDefault="003B167F" w:rsidP="00363712">
      <w:pPr>
        <w:pStyle w:val="ListBullet"/>
        <w:jc w:val="both"/>
        <w:rPr>
          <w:lang w:val="en-US"/>
        </w:rPr>
      </w:pPr>
      <w:r w:rsidRPr="006353B9">
        <w:rPr>
          <w:lang w:val="en-US"/>
        </w:rPr>
        <w:t>Able to commence treatment within 7 days of registration.</w:t>
      </w:r>
    </w:p>
    <w:p w:rsidR="003B167F" w:rsidRPr="006353B9" w:rsidRDefault="003B167F" w:rsidP="00363712">
      <w:pPr>
        <w:pStyle w:val="ListBullet"/>
        <w:jc w:val="both"/>
        <w:rPr>
          <w:lang w:val="en-US"/>
        </w:rPr>
      </w:pPr>
      <w:r w:rsidRPr="006353B9">
        <w:rPr>
          <w:lang w:val="en-US"/>
        </w:rPr>
        <w:t>Willing and able to comply with follow-up and all other protocol requirements.</w:t>
      </w:r>
    </w:p>
    <w:p w:rsidR="003B167F" w:rsidRPr="006353B9" w:rsidRDefault="003B167F" w:rsidP="00363712">
      <w:pPr>
        <w:pStyle w:val="ListBullet"/>
        <w:jc w:val="both"/>
        <w:rPr>
          <w:lang w:val="en-US"/>
        </w:rPr>
      </w:pPr>
      <w:r w:rsidRPr="006353B9">
        <w:rPr>
          <w:lang w:val="en-US"/>
        </w:rPr>
        <w:t>Written informed consent</w:t>
      </w:r>
    </w:p>
    <w:p w:rsidR="003B167F" w:rsidRPr="006353B9" w:rsidRDefault="003B167F" w:rsidP="00363712">
      <w:pPr>
        <w:pStyle w:val="Heading3"/>
      </w:pPr>
      <w:bookmarkStart w:id="20" w:name="_Toc501022031"/>
      <w:r w:rsidRPr="006353B9">
        <w:t>Exclusion criteria</w:t>
      </w:r>
      <w:bookmarkEnd w:id="20"/>
    </w:p>
    <w:p w:rsidR="003B167F" w:rsidRPr="006353B9" w:rsidRDefault="003B167F" w:rsidP="00363712">
      <w:pPr>
        <w:pStyle w:val="Normal1"/>
        <w:jc w:val="both"/>
        <w:rPr>
          <w:b/>
          <w:color w:val="auto"/>
          <w:lang w:val="en-US"/>
        </w:rPr>
      </w:pPr>
      <w:r w:rsidRPr="006353B9">
        <w:rPr>
          <w:color w:val="auto"/>
          <w:lang w:val="en-US"/>
        </w:rPr>
        <w:t>Patients were excluded from the study for any of the following reasons</w:t>
      </w:r>
      <w:r w:rsidRPr="006353B9">
        <w:rPr>
          <w:b/>
          <w:color w:val="auto"/>
          <w:lang w:val="en-US"/>
        </w:rPr>
        <w:t>:</w:t>
      </w:r>
    </w:p>
    <w:p w:rsidR="003B167F" w:rsidRPr="0027064C" w:rsidRDefault="003B167F" w:rsidP="00363712">
      <w:pPr>
        <w:pStyle w:val="ListBullet"/>
        <w:jc w:val="both"/>
        <w:rPr>
          <w:lang w:val="en-US"/>
        </w:rPr>
      </w:pPr>
      <w:r w:rsidRPr="006353B9">
        <w:rPr>
          <w:lang w:val="en-US"/>
        </w:rPr>
        <w:t>Prior treatment with VEGF-targeting agents (e.g. bevacizumab) or multi-kinase</w:t>
      </w:r>
      <w:r w:rsidR="00363712">
        <w:rPr>
          <w:lang w:val="en-US"/>
        </w:rPr>
        <w:t xml:space="preserve"> </w:t>
      </w:r>
      <w:r w:rsidRPr="0027064C">
        <w:rPr>
          <w:lang w:val="en-US"/>
        </w:rPr>
        <w:t xml:space="preserve">inhibitors (e.g. sorafenib or </w:t>
      </w:r>
      <w:proofErr w:type="spellStart"/>
      <w:r w:rsidRPr="0027064C">
        <w:rPr>
          <w:lang w:val="en-US"/>
        </w:rPr>
        <w:t>sunitinib</w:t>
      </w:r>
      <w:proofErr w:type="spellEnd"/>
      <w:r w:rsidRPr="0027064C">
        <w:rPr>
          <w:lang w:val="en-US"/>
        </w:rPr>
        <w:t xml:space="preserve">), or mTOR-targeting agents (e.g. </w:t>
      </w:r>
      <w:proofErr w:type="spellStart"/>
      <w:r w:rsidRPr="0027064C">
        <w:rPr>
          <w:lang w:val="en-US"/>
        </w:rPr>
        <w:t>everolimusor</w:t>
      </w:r>
      <w:proofErr w:type="spellEnd"/>
      <w:r w:rsidRPr="0027064C">
        <w:rPr>
          <w:lang w:val="en-US"/>
        </w:rPr>
        <w:t xml:space="preserve"> </w:t>
      </w:r>
      <w:proofErr w:type="spellStart"/>
      <w:r w:rsidRPr="0027064C">
        <w:rPr>
          <w:lang w:val="en-US"/>
        </w:rPr>
        <w:t>temsirolimus</w:t>
      </w:r>
      <w:proofErr w:type="spellEnd"/>
      <w:r w:rsidRPr="0027064C">
        <w:rPr>
          <w:lang w:val="en-US"/>
        </w:rPr>
        <w:t>).</w:t>
      </w:r>
    </w:p>
    <w:p w:rsidR="003B167F" w:rsidRPr="009A2182" w:rsidRDefault="003B167F" w:rsidP="00363712">
      <w:pPr>
        <w:pStyle w:val="ListBullet"/>
        <w:jc w:val="both"/>
        <w:rPr>
          <w:color w:val="auto"/>
          <w:lang w:val="en-US"/>
        </w:rPr>
      </w:pPr>
      <w:r w:rsidRPr="009A2182">
        <w:rPr>
          <w:lang w:val="en-US"/>
        </w:rPr>
        <w:t>Active central nervous system metastases. Patients may be eligible if they have central nervous system metastases that have been adequately treated (surgery or</w:t>
      </w:r>
      <w:r w:rsidR="009A2182" w:rsidRPr="009A2182">
        <w:rPr>
          <w:lang w:val="en-US"/>
        </w:rPr>
        <w:t xml:space="preserve"> </w:t>
      </w:r>
      <w:r w:rsidRPr="009A2182">
        <w:rPr>
          <w:color w:val="auto"/>
          <w:lang w:val="en-US"/>
        </w:rPr>
        <w:t>radiotherapy), do not require ongoing corticosteroids for control of symptoms,</w:t>
      </w:r>
      <w:r w:rsidR="009A2182" w:rsidRPr="009A2182">
        <w:rPr>
          <w:color w:val="auto"/>
          <w:lang w:val="en-US"/>
        </w:rPr>
        <w:t xml:space="preserve"> </w:t>
      </w:r>
      <w:r w:rsidRPr="009A2182">
        <w:rPr>
          <w:color w:val="auto"/>
          <w:lang w:val="en-US"/>
        </w:rPr>
        <w:t>and have had no evidence of progression for at least three months.</w:t>
      </w:r>
    </w:p>
    <w:p w:rsidR="003B167F" w:rsidRPr="00EE6286" w:rsidRDefault="003B167F" w:rsidP="00363712">
      <w:pPr>
        <w:pStyle w:val="ListBullet"/>
        <w:jc w:val="both"/>
        <w:rPr>
          <w:lang w:val="en-US"/>
        </w:rPr>
      </w:pPr>
      <w:r w:rsidRPr="00EE6286">
        <w:rPr>
          <w:lang w:val="en-US"/>
        </w:rPr>
        <w:t xml:space="preserve">Other malignancy diagnosed within the last 5 years, except the following if </w:t>
      </w:r>
      <w:r w:rsidR="00EE6286" w:rsidRPr="00EE6286">
        <w:rPr>
          <w:lang w:val="en-US"/>
        </w:rPr>
        <w:t>a</w:t>
      </w:r>
      <w:r w:rsidRPr="00EE6286">
        <w:rPr>
          <w:lang w:val="en-US"/>
        </w:rPr>
        <w:t>dequately treated: superficial squamous cell carcinoma or basal cell carcinoma</w:t>
      </w:r>
      <w:r w:rsidR="009A2182" w:rsidRPr="00EE6286">
        <w:rPr>
          <w:lang w:val="en-US"/>
        </w:rPr>
        <w:t xml:space="preserve"> </w:t>
      </w:r>
      <w:r w:rsidRPr="00EE6286">
        <w:rPr>
          <w:lang w:val="en-US"/>
        </w:rPr>
        <w:t>of skin, superficial bladder cancer (T1 and G1 or T1 and G2), stage 1 cervical</w:t>
      </w:r>
      <w:r w:rsidR="00EE6286" w:rsidRPr="00EE6286">
        <w:rPr>
          <w:lang w:val="en-US"/>
        </w:rPr>
        <w:t xml:space="preserve"> </w:t>
      </w:r>
      <w:r w:rsidRPr="00EE6286">
        <w:rPr>
          <w:lang w:val="en-US"/>
        </w:rPr>
        <w:t>cancer.</w:t>
      </w:r>
    </w:p>
    <w:p w:rsidR="003B167F" w:rsidRPr="006353B9" w:rsidRDefault="003B167F" w:rsidP="00363712">
      <w:pPr>
        <w:pStyle w:val="ListBullet"/>
        <w:jc w:val="both"/>
        <w:rPr>
          <w:lang w:val="en-US"/>
        </w:rPr>
      </w:pPr>
      <w:r w:rsidRPr="006353B9">
        <w:rPr>
          <w:lang w:val="en-US"/>
        </w:rPr>
        <w:t>Treatment with an investigational agent in the last 4 weeks.</w:t>
      </w:r>
    </w:p>
    <w:p w:rsidR="003B167F" w:rsidRPr="006353B9" w:rsidRDefault="003B167F" w:rsidP="00363712">
      <w:pPr>
        <w:pStyle w:val="ListBullet"/>
        <w:jc w:val="both"/>
        <w:rPr>
          <w:b/>
          <w:lang w:val="en-US"/>
        </w:rPr>
      </w:pPr>
      <w:r w:rsidRPr="006353B9">
        <w:rPr>
          <w:lang w:val="en-US"/>
        </w:rPr>
        <w:t>Known to be human immunodeficiency virus (HIV) positive (testing not</w:t>
      </w:r>
      <w:r w:rsidRPr="006353B9">
        <w:rPr>
          <w:b/>
          <w:lang w:val="en-US"/>
        </w:rPr>
        <w:t xml:space="preserve"> </w:t>
      </w:r>
      <w:r>
        <w:rPr>
          <w:lang w:val="en-US"/>
        </w:rPr>
        <w:t xml:space="preserve">mandator </w:t>
      </w:r>
      <w:r w:rsidRPr="006353B9">
        <w:rPr>
          <w:lang w:val="en-US"/>
        </w:rPr>
        <w:t>unless clinically indicated).</w:t>
      </w:r>
    </w:p>
    <w:p w:rsidR="003B167F" w:rsidRPr="00EE6286" w:rsidRDefault="003B167F" w:rsidP="00363712">
      <w:pPr>
        <w:pStyle w:val="ListBullet"/>
        <w:jc w:val="both"/>
        <w:rPr>
          <w:lang w:val="en-US"/>
        </w:rPr>
      </w:pPr>
      <w:r w:rsidRPr="00EE6286">
        <w:rPr>
          <w:lang w:val="en-US"/>
        </w:rPr>
        <w:lastRenderedPageBreak/>
        <w:t>Evidence of chronic hepatitis due to HBV (HBV surface antigen positive) or hepatitis C virus (HCV) (HCV RNA positive). All potential participants will be</w:t>
      </w:r>
      <w:r w:rsidR="00EE6286" w:rsidRPr="00EE6286">
        <w:rPr>
          <w:lang w:val="en-US"/>
        </w:rPr>
        <w:t xml:space="preserve"> </w:t>
      </w:r>
      <w:r w:rsidRPr="00EE6286">
        <w:rPr>
          <w:lang w:val="en-US"/>
        </w:rPr>
        <w:t>tested for HBV surface antigen, HBV core antibody, HCV antibody, and</w:t>
      </w:r>
      <w:r w:rsidR="00EE6286" w:rsidRPr="00EE6286">
        <w:rPr>
          <w:lang w:val="en-US"/>
        </w:rPr>
        <w:t xml:space="preserve"> </w:t>
      </w:r>
      <w:r w:rsidRPr="00EE6286">
        <w:rPr>
          <w:lang w:val="en-US"/>
        </w:rPr>
        <w:t>HCVRNA if the HCV Ab is positive.</w:t>
      </w:r>
    </w:p>
    <w:p w:rsidR="003B167F" w:rsidRPr="006353B9" w:rsidRDefault="003B167F" w:rsidP="00363712">
      <w:pPr>
        <w:pStyle w:val="ListBullet"/>
        <w:jc w:val="both"/>
        <w:rPr>
          <w:b/>
          <w:lang w:val="en-US"/>
        </w:rPr>
      </w:pPr>
      <w:r w:rsidRPr="006353B9">
        <w:rPr>
          <w:lang w:val="en-US"/>
        </w:rPr>
        <w:t>Clinically significant heart disease (NYHA Class III or IV) (</w:t>
      </w:r>
      <w:r w:rsidR="00733B6B">
        <w:rPr>
          <w:lang w:val="en-US"/>
        </w:rPr>
        <w:t xml:space="preserve">as per </w:t>
      </w:r>
      <w:r w:rsidRPr="006353B9">
        <w:rPr>
          <w:lang w:val="en-US"/>
        </w:rPr>
        <w:t>Appendix 5</w:t>
      </w:r>
      <w:r w:rsidR="00733B6B">
        <w:rPr>
          <w:lang w:val="en-US"/>
        </w:rPr>
        <w:t xml:space="preserve"> of CSP</w:t>
      </w:r>
      <w:r w:rsidRPr="006353B9">
        <w:rPr>
          <w:lang w:val="en-US"/>
        </w:rPr>
        <w:t>).</w:t>
      </w:r>
    </w:p>
    <w:p w:rsidR="003B167F" w:rsidRPr="006353B9" w:rsidRDefault="003B167F" w:rsidP="00363712">
      <w:pPr>
        <w:pStyle w:val="ListBullet"/>
        <w:jc w:val="both"/>
        <w:rPr>
          <w:lang w:val="en-US"/>
        </w:rPr>
      </w:pPr>
      <w:r w:rsidRPr="006353B9">
        <w:rPr>
          <w:lang w:val="en-US"/>
        </w:rPr>
        <w:t>History of hypertension requiring hospitalization.</w:t>
      </w:r>
    </w:p>
    <w:p w:rsidR="003B167F" w:rsidRPr="0027064C" w:rsidRDefault="003B167F" w:rsidP="00363712">
      <w:pPr>
        <w:pStyle w:val="ListBullet"/>
        <w:jc w:val="both"/>
        <w:rPr>
          <w:lang w:val="en-US"/>
        </w:rPr>
      </w:pPr>
      <w:r w:rsidRPr="006353B9">
        <w:rPr>
          <w:lang w:val="en-US"/>
        </w:rPr>
        <w:t>Other serious illnesses, e.g. active infection requiring antibiotics, bleeding</w:t>
      </w:r>
      <w:r>
        <w:rPr>
          <w:lang w:val="en-US"/>
        </w:rPr>
        <w:t xml:space="preserve"> </w:t>
      </w:r>
      <w:r w:rsidRPr="0027064C">
        <w:rPr>
          <w:lang w:val="en-US"/>
        </w:rPr>
        <w:t>disorders.</w:t>
      </w:r>
    </w:p>
    <w:p w:rsidR="003B167F" w:rsidRPr="006353B9" w:rsidRDefault="003B167F" w:rsidP="00363712">
      <w:pPr>
        <w:pStyle w:val="ListBullet"/>
        <w:jc w:val="both"/>
        <w:rPr>
          <w:lang w:val="en-US"/>
        </w:rPr>
      </w:pPr>
      <w:r w:rsidRPr="006353B9">
        <w:rPr>
          <w:lang w:val="en-US"/>
        </w:rPr>
        <w:t>Immunotherapy or chemotherapy in the last 4 weeks (6 weeks for nitrosoureas).</w:t>
      </w:r>
    </w:p>
    <w:p w:rsidR="003B167F" w:rsidRPr="006353B9" w:rsidRDefault="003B167F" w:rsidP="00363712">
      <w:pPr>
        <w:pStyle w:val="ListBullet"/>
        <w:jc w:val="both"/>
        <w:rPr>
          <w:lang w:val="en-US"/>
        </w:rPr>
      </w:pPr>
      <w:r w:rsidRPr="006353B9">
        <w:rPr>
          <w:lang w:val="en-US"/>
        </w:rPr>
        <w:t>Major surgery in the last 4 weeks, or planned in the next 6 weeks.</w:t>
      </w:r>
    </w:p>
    <w:p w:rsidR="003B167F" w:rsidRPr="00EE6286" w:rsidRDefault="003B167F" w:rsidP="00363712">
      <w:pPr>
        <w:pStyle w:val="ListBullet"/>
        <w:jc w:val="both"/>
        <w:rPr>
          <w:lang w:val="en-US"/>
        </w:rPr>
      </w:pPr>
      <w:r w:rsidRPr="00EE6286">
        <w:rPr>
          <w:lang w:val="en-US"/>
        </w:rPr>
        <w:t>Radiation therapy in the last 2 weeks, or planned in the next 6 weeks. Any acute adverse effects of recent radiation must have resolved prior to registration. Prior</w:t>
      </w:r>
      <w:r w:rsidR="00EE6286" w:rsidRPr="00EE6286">
        <w:rPr>
          <w:lang w:val="en-US"/>
        </w:rPr>
        <w:t xml:space="preserve"> </w:t>
      </w:r>
      <w:r w:rsidRPr="00EE6286">
        <w:rPr>
          <w:lang w:val="en-US"/>
        </w:rPr>
        <w:t>palliative radiotherapy to metastatic lesion(s) is permitted, provided there is at</w:t>
      </w:r>
      <w:r w:rsidR="00EE6286" w:rsidRPr="00EE6286">
        <w:rPr>
          <w:lang w:val="en-US"/>
        </w:rPr>
        <w:t xml:space="preserve"> </w:t>
      </w:r>
      <w:r w:rsidRPr="00EE6286">
        <w:rPr>
          <w:lang w:val="en-US"/>
        </w:rPr>
        <w:t>least one lesion that has not been irradiated or which has progressed following</w:t>
      </w:r>
      <w:r w:rsidR="00EE6286" w:rsidRPr="00EE6286">
        <w:rPr>
          <w:lang w:val="en-US"/>
        </w:rPr>
        <w:t xml:space="preserve"> </w:t>
      </w:r>
      <w:r w:rsidRPr="00EE6286">
        <w:rPr>
          <w:lang w:val="en-US"/>
        </w:rPr>
        <w:t>radiotherapy.</w:t>
      </w:r>
    </w:p>
    <w:p w:rsidR="003B167F" w:rsidRPr="0027064C" w:rsidRDefault="003B167F" w:rsidP="00363712">
      <w:pPr>
        <w:pStyle w:val="ListBullet"/>
        <w:jc w:val="both"/>
        <w:rPr>
          <w:lang w:val="en-US"/>
        </w:rPr>
      </w:pPr>
      <w:r w:rsidRPr="006353B9">
        <w:rPr>
          <w:lang w:val="en-US"/>
        </w:rPr>
        <w:t>National Cancer Institute Common Terminology Criteria for Adverse Events</w:t>
      </w:r>
      <w:r>
        <w:rPr>
          <w:lang w:val="en-US"/>
        </w:rPr>
        <w:t xml:space="preserve"> </w:t>
      </w:r>
      <w:r w:rsidRPr="0027064C">
        <w:rPr>
          <w:lang w:val="en-US"/>
        </w:rPr>
        <w:t>(NCI CTCAE) version 4.0 grade 3 or worse hemorrhage in last 4 weeks.</w:t>
      </w:r>
      <w:r w:rsidR="00381674">
        <w:rPr>
          <w:lang w:val="en-US"/>
        </w:rPr>
        <w:t xml:space="preserve"> (as per Appendix 7 of CSP)</w:t>
      </w:r>
    </w:p>
    <w:p w:rsidR="003B167F" w:rsidRPr="0027064C" w:rsidRDefault="003B167F" w:rsidP="00363712">
      <w:pPr>
        <w:pStyle w:val="ListBullet"/>
        <w:jc w:val="both"/>
        <w:rPr>
          <w:lang w:val="en-US"/>
        </w:rPr>
      </w:pPr>
      <w:r w:rsidRPr="006353B9">
        <w:rPr>
          <w:lang w:val="en-US"/>
        </w:rPr>
        <w:t>Any of the following in the last year: myocardial infarction, severe/unstable</w:t>
      </w:r>
      <w:r>
        <w:rPr>
          <w:lang w:val="en-US"/>
        </w:rPr>
        <w:t xml:space="preserve"> </w:t>
      </w:r>
      <w:r w:rsidRPr="0027064C">
        <w:rPr>
          <w:lang w:val="en-US"/>
        </w:rPr>
        <w:t>angina, coronary/peripheral artery bypass gra</w:t>
      </w:r>
      <w:r>
        <w:rPr>
          <w:lang w:val="en-US"/>
        </w:rPr>
        <w:t xml:space="preserve">ft, symptomatic congestive heart </w:t>
      </w:r>
      <w:r w:rsidRPr="0027064C">
        <w:rPr>
          <w:lang w:val="en-US"/>
        </w:rPr>
        <w:t>failure, cerebrovascular accident or transient ischemic attack, or pulmonary</w:t>
      </w:r>
      <w:r>
        <w:rPr>
          <w:lang w:val="en-US"/>
        </w:rPr>
        <w:t xml:space="preserve"> </w:t>
      </w:r>
      <w:r w:rsidRPr="0027064C">
        <w:rPr>
          <w:lang w:val="en-US"/>
        </w:rPr>
        <w:t>embolism.</w:t>
      </w:r>
    </w:p>
    <w:p w:rsidR="003B167F" w:rsidRPr="0027064C" w:rsidRDefault="003B167F" w:rsidP="00363712">
      <w:pPr>
        <w:pStyle w:val="ListBullet"/>
        <w:jc w:val="both"/>
        <w:rPr>
          <w:lang w:val="en-US"/>
        </w:rPr>
      </w:pPr>
      <w:r w:rsidRPr="006353B9">
        <w:rPr>
          <w:lang w:val="en-US"/>
        </w:rPr>
        <w:t>Pre-existing thyroid abnormality with thyroid function that cannot be maintained</w:t>
      </w:r>
      <w:r>
        <w:rPr>
          <w:lang w:val="en-US"/>
        </w:rPr>
        <w:t xml:space="preserve"> </w:t>
      </w:r>
      <w:r w:rsidRPr="0027064C">
        <w:rPr>
          <w:lang w:val="en-US"/>
        </w:rPr>
        <w:t>in the normal range with medication.</w:t>
      </w:r>
    </w:p>
    <w:p w:rsidR="003B167F" w:rsidRPr="0027064C" w:rsidRDefault="003B167F" w:rsidP="00363712">
      <w:pPr>
        <w:pStyle w:val="ListBullet"/>
        <w:jc w:val="both"/>
        <w:rPr>
          <w:lang w:val="en-US"/>
        </w:rPr>
      </w:pPr>
      <w:r w:rsidRPr="006353B9">
        <w:rPr>
          <w:lang w:val="en-US"/>
        </w:rPr>
        <w:t>Ongoing cardiac dysrhythmias of NCI CTCAE version 4.0 grade ≥2, atrial</w:t>
      </w:r>
      <w:r>
        <w:rPr>
          <w:lang w:val="en-US"/>
        </w:rPr>
        <w:t xml:space="preserve"> </w:t>
      </w:r>
      <w:r w:rsidRPr="0027064C">
        <w:rPr>
          <w:lang w:val="en-US"/>
        </w:rPr>
        <w:t>fibrillation of any grade, or prolongation of the corrected QT interval (QTc) to</w:t>
      </w:r>
      <w:r>
        <w:rPr>
          <w:lang w:val="en-US"/>
        </w:rPr>
        <w:t xml:space="preserve"> </w:t>
      </w:r>
      <w:r w:rsidRPr="0027064C">
        <w:rPr>
          <w:lang w:val="en-US"/>
        </w:rPr>
        <w:t xml:space="preserve">&gt;450 </w:t>
      </w:r>
      <w:proofErr w:type="spellStart"/>
      <w:r w:rsidRPr="0027064C">
        <w:rPr>
          <w:lang w:val="en-US"/>
        </w:rPr>
        <w:t>msec</w:t>
      </w:r>
      <w:proofErr w:type="spellEnd"/>
      <w:r w:rsidRPr="0027064C">
        <w:rPr>
          <w:lang w:val="en-US"/>
        </w:rPr>
        <w:t xml:space="preserve"> for males or &gt;470 </w:t>
      </w:r>
      <w:proofErr w:type="spellStart"/>
      <w:r w:rsidRPr="0027064C">
        <w:rPr>
          <w:lang w:val="en-US"/>
        </w:rPr>
        <w:t>msec</w:t>
      </w:r>
      <w:proofErr w:type="spellEnd"/>
      <w:r w:rsidRPr="0027064C">
        <w:rPr>
          <w:lang w:val="en-US"/>
        </w:rPr>
        <w:t xml:space="preserve"> for females</w:t>
      </w:r>
    </w:p>
    <w:p w:rsidR="003B167F" w:rsidRPr="006353B9" w:rsidRDefault="003B167F" w:rsidP="00363712">
      <w:pPr>
        <w:pStyle w:val="ListBullet"/>
        <w:jc w:val="both"/>
        <w:rPr>
          <w:lang w:val="en-US"/>
        </w:rPr>
      </w:pPr>
      <w:r w:rsidRPr="006353B9">
        <w:rPr>
          <w:lang w:val="en-US"/>
        </w:rPr>
        <w:t>Uncontrolled diabetes as defined by fasting serum glucose &gt;1.5 X ULN.</w:t>
      </w:r>
    </w:p>
    <w:p w:rsidR="003B167F" w:rsidRPr="00EE6286" w:rsidRDefault="003B167F" w:rsidP="00363712">
      <w:pPr>
        <w:pStyle w:val="ListBullet"/>
        <w:jc w:val="both"/>
        <w:rPr>
          <w:lang w:val="en-US"/>
        </w:rPr>
      </w:pPr>
      <w:r w:rsidRPr="00EE6286">
        <w:rPr>
          <w:lang w:val="en-US"/>
        </w:rPr>
        <w:t>Pregnancy (negative pregnancy test required for women of child-bearing potential), lactation. Inadequate contraception. Women must be post-menopausal,</w:t>
      </w:r>
      <w:r w:rsidR="00EE6286" w:rsidRPr="00EE6286">
        <w:rPr>
          <w:lang w:val="en-US"/>
        </w:rPr>
        <w:t xml:space="preserve"> </w:t>
      </w:r>
      <w:r w:rsidRPr="00EE6286">
        <w:rPr>
          <w:lang w:val="en-US"/>
        </w:rPr>
        <w:t>surgically sterile, or use 2 reliable forms of contraception. Men must be surgically</w:t>
      </w:r>
      <w:r w:rsidR="00EE6286" w:rsidRPr="00EE6286">
        <w:rPr>
          <w:lang w:val="en-US"/>
        </w:rPr>
        <w:t xml:space="preserve"> </w:t>
      </w:r>
      <w:r w:rsidRPr="00EE6286">
        <w:rPr>
          <w:lang w:val="en-US"/>
        </w:rPr>
        <w:t>sterile or use a barrier method of contraception. Women of childbearing potential</w:t>
      </w:r>
      <w:r w:rsidR="00EE6286" w:rsidRPr="00EE6286">
        <w:rPr>
          <w:lang w:val="en-US"/>
        </w:rPr>
        <w:t xml:space="preserve"> </w:t>
      </w:r>
      <w:r w:rsidRPr="00EE6286">
        <w:rPr>
          <w:lang w:val="en-US"/>
        </w:rPr>
        <w:t>should be advised to use a highly effective method of contraception while</w:t>
      </w:r>
      <w:r w:rsidR="00EE6286" w:rsidRPr="00EE6286">
        <w:rPr>
          <w:lang w:val="en-US"/>
        </w:rPr>
        <w:t xml:space="preserve"> </w:t>
      </w:r>
      <w:r w:rsidRPr="00EE6286">
        <w:rPr>
          <w:lang w:val="en-US"/>
        </w:rPr>
        <w:t xml:space="preserve">receiving </w:t>
      </w:r>
      <w:proofErr w:type="spellStart"/>
      <w:r w:rsidRPr="00EE6286">
        <w:rPr>
          <w:lang w:val="en-US"/>
        </w:rPr>
        <w:t>everolimus</w:t>
      </w:r>
      <w:proofErr w:type="spellEnd"/>
      <w:r w:rsidRPr="00EE6286">
        <w:rPr>
          <w:lang w:val="en-US"/>
        </w:rPr>
        <w:t>, and for up to 8 weeks after ending treatment.</w:t>
      </w:r>
    </w:p>
    <w:p w:rsidR="003B167F" w:rsidRPr="006353B9" w:rsidRDefault="003B167F" w:rsidP="00363712">
      <w:pPr>
        <w:pStyle w:val="ListBullet"/>
        <w:jc w:val="both"/>
        <w:rPr>
          <w:lang w:val="en-US"/>
        </w:rPr>
      </w:pPr>
      <w:r w:rsidRPr="006353B9">
        <w:rPr>
          <w:lang w:val="en-US"/>
        </w:rPr>
        <w:t xml:space="preserve">Known allergy or hypersensitivity to </w:t>
      </w:r>
      <w:proofErr w:type="spellStart"/>
      <w:r w:rsidRPr="006353B9">
        <w:rPr>
          <w:lang w:val="en-US"/>
        </w:rPr>
        <w:t>everolimus</w:t>
      </w:r>
      <w:proofErr w:type="spellEnd"/>
      <w:r w:rsidRPr="006353B9">
        <w:rPr>
          <w:lang w:val="en-US"/>
        </w:rPr>
        <w:t xml:space="preserve">, </w:t>
      </w:r>
      <w:proofErr w:type="spellStart"/>
      <w:r w:rsidRPr="006353B9">
        <w:rPr>
          <w:lang w:val="en-US"/>
        </w:rPr>
        <w:t>sunitinib</w:t>
      </w:r>
      <w:proofErr w:type="spellEnd"/>
      <w:r w:rsidRPr="006353B9">
        <w:rPr>
          <w:lang w:val="en-US"/>
        </w:rPr>
        <w:t xml:space="preserve"> or iodine.</w:t>
      </w:r>
    </w:p>
    <w:p w:rsidR="003B167F" w:rsidRPr="006353B9" w:rsidRDefault="003B167F" w:rsidP="00363712">
      <w:pPr>
        <w:pStyle w:val="ListBullet"/>
        <w:jc w:val="both"/>
        <w:rPr>
          <w:lang w:val="en-US"/>
        </w:rPr>
      </w:pPr>
      <w:r w:rsidRPr="006353B9">
        <w:rPr>
          <w:lang w:val="en-US"/>
        </w:rPr>
        <w:t>Medical or psychiatric condition that compromises the patient’s ability to give informed consent.</w:t>
      </w:r>
    </w:p>
    <w:p w:rsidR="003B167F" w:rsidRPr="006353B9" w:rsidRDefault="003B167F" w:rsidP="00363712">
      <w:pPr>
        <w:pStyle w:val="Normal1"/>
        <w:jc w:val="both"/>
        <w:rPr>
          <w:color w:val="auto"/>
          <w:lang w:val="en-US"/>
        </w:rPr>
      </w:pPr>
    </w:p>
    <w:p w:rsidR="00FF7BCC" w:rsidRDefault="00FF7BCC">
      <w:pPr>
        <w:spacing w:after="160" w:line="240" w:lineRule="auto"/>
        <w:jc w:val="both"/>
        <w:rPr>
          <w:rFonts w:asciiTheme="majorHAnsi" w:eastAsia="Times New Roman" w:hAnsiTheme="majorHAnsi" w:cs="Tahoma"/>
          <w:color w:val="0070B9" w:themeColor="accent5"/>
          <w:szCs w:val="20"/>
          <w:lang w:val="en-GB" w:eastAsia="es-ES"/>
        </w:rPr>
      </w:pPr>
      <w:bookmarkStart w:id="21" w:name="_Toc501022032"/>
      <w:r>
        <w:br w:type="page"/>
      </w:r>
    </w:p>
    <w:p w:rsidR="003B167F" w:rsidRPr="006353B9" w:rsidRDefault="00EC0597" w:rsidP="00EE6286">
      <w:pPr>
        <w:pStyle w:val="Heading3"/>
      </w:pPr>
      <w:r>
        <w:lastRenderedPageBreak/>
        <w:t>R</w:t>
      </w:r>
      <w:r w:rsidR="003B167F" w:rsidRPr="006353B9">
        <w:t xml:space="preserve">emoval of Patients </w:t>
      </w:r>
      <w:proofErr w:type="gramStart"/>
      <w:r w:rsidR="003B167F" w:rsidRPr="006353B9">
        <w:t>From</w:t>
      </w:r>
      <w:proofErr w:type="gramEnd"/>
      <w:r w:rsidR="003B167F" w:rsidRPr="006353B9">
        <w:t xml:space="preserve"> Therapy or Assessment</w:t>
      </w:r>
      <w:bookmarkEnd w:id="21"/>
    </w:p>
    <w:p w:rsidR="00381674" w:rsidRDefault="00381674" w:rsidP="00EC0597">
      <w:pPr>
        <w:autoSpaceDE w:val="0"/>
        <w:autoSpaceDN w:val="0"/>
        <w:adjustRightInd w:val="0"/>
        <w:spacing w:line="240" w:lineRule="auto"/>
        <w:jc w:val="both"/>
        <w:rPr>
          <w:noProof/>
          <w:color w:val="auto"/>
          <w:lang w:val="en-US"/>
        </w:rPr>
      </w:pPr>
    </w:p>
    <w:p w:rsidR="003B167F" w:rsidRPr="006353B9" w:rsidRDefault="003B167F" w:rsidP="00EC0597">
      <w:pPr>
        <w:autoSpaceDE w:val="0"/>
        <w:autoSpaceDN w:val="0"/>
        <w:adjustRightInd w:val="0"/>
        <w:spacing w:line="240" w:lineRule="auto"/>
        <w:jc w:val="both"/>
        <w:rPr>
          <w:rFonts w:eastAsia="Calibri"/>
          <w:noProof/>
          <w:color w:val="auto"/>
          <w:lang w:val="en-US"/>
        </w:rPr>
      </w:pPr>
      <w:r w:rsidRPr="006353B9">
        <w:rPr>
          <w:noProof/>
          <w:color w:val="auto"/>
          <w:lang w:val="en-US"/>
        </w:rPr>
        <w:t>Patients were removed from the study after they had completed 3 months of therapy with sunitinib and they had progressed at the time of evaluation at 3 months.</w:t>
      </w:r>
      <w:r w:rsidRPr="006353B9">
        <w:rPr>
          <w:noProof/>
          <w:color w:val="auto"/>
          <w:lang w:val="en-US"/>
        </w:rPr>
        <w:br/>
      </w:r>
      <w:r w:rsidRPr="006353B9">
        <w:rPr>
          <w:rFonts w:eastAsia="Calibri"/>
          <w:noProof/>
          <w:color w:val="auto"/>
          <w:lang w:val="en-US"/>
        </w:rPr>
        <w:t xml:space="preserve">Any patient who discontinued the study treatment prior to disease progression was considered a premature withdrawal. These patients continued to have tumor assessment as per protocol, until the start of an additional anti-cancer therapy. These patients </w:t>
      </w:r>
      <w:r>
        <w:rPr>
          <w:rFonts w:eastAsia="Calibri"/>
          <w:noProof/>
          <w:color w:val="auto"/>
          <w:lang w:val="en-US"/>
        </w:rPr>
        <w:t xml:space="preserve">also </w:t>
      </w:r>
      <w:r w:rsidRPr="006353B9">
        <w:rPr>
          <w:rFonts w:eastAsia="Calibri"/>
          <w:noProof/>
          <w:color w:val="auto"/>
          <w:lang w:val="en-US"/>
        </w:rPr>
        <w:t xml:space="preserve">had an end-of-treatment visit, a 28-day follow-up visit, in addition to the tumor assessments every 12 weeks (until the start of an additional anti-cancer therapy) and survival follow-up every 3 months after the 28 days follow-up visit or patient’s last visit up to 2 years after the last patient is enrolled. Also, information on the initiation of additional anticancer therapies was collected on these patients until the date of data cutoff for the final. Patients </w:t>
      </w:r>
      <w:r w:rsidRPr="006353B9">
        <w:rPr>
          <w:rFonts w:eastAsia="Calibri"/>
          <w:bCs/>
          <w:noProof/>
          <w:color w:val="auto"/>
          <w:lang w:val="en-US"/>
        </w:rPr>
        <w:t>had a right to</w:t>
      </w:r>
      <w:r w:rsidRPr="006353B9">
        <w:rPr>
          <w:rFonts w:eastAsia="Calibri"/>
          <w:b/>
          <w:bCs/>
          <w:noProof/>
          <w:color w:val="auto"/>
          <w:lang w:val="en-US"/>
        </w:rPr>
        <w:t xml:space="preserve"> </w:t>
      </w:r>
      <w:r w:rsidRPr="006353B9">
        <w:rPr>
          <w:rFonts w:eastAsia="Calibri"/>
          <w:noProof/>
          <w:color w:val="auto"/>
          <w:lang w:val="en-US"/>
        </w:rPr>
        <w:t>voluntarily withdraw from the study or could be dropped from it at the discretion of the investigator at any time.</w:t>
      </w:r>
    </w:p>
    <w:p w:rsidR="00EC0597" w:rsidRDefault="00EC0597" w:rsidP="00EC0597">
      <w:pPr>
        <w:autoSpaceDE w:val="0"/>
        <w:autoSpaceDN w:val="0"/>
        <w:adjustRightInd w:val="0"/>
        <w:spacing w:line="240" w:lineRule="auto"/>
        <w:jc w:val="both"/>
        <w:rPr>
          <w:rFonts w:eastAsia="Calibri"/>
          <w:noProof/>
          <w:color w:val="auto"/>
          <w:lang w:val="en-US"/>
        </w:rPr>
      </w:pPr>
    </w:p>
    <w:p w:rsidR="003B167F" w:rsidRDefault="003B167F" w:rsidP="00EC0597">
      <w:pPr>
        <w:autoSpaceDE w:val="0"/>
        <w:autoSpaceDN w:val="0"/>
        <w:adjustRightInd w:val="0"/>
        <w:spacing w:line="240" w:lineRule="auto"/>
        <w:jc w:val="both"/>
        <w:rPr>
          <w:rFonts w:eastAsia="Calibri"/>
          <w:noProof/>
          <w:color w:val="auto"/>
          <w:lang w:val="en-US"/>
        </w:rPr>
      </w:pPr>
      <w:r w:rsidRPr="006353B9">
        <w:rPr>
          <w:rFonts w:eastAsia="Calibri"/>
          <w:noProof/>
          <w:color w:val="auto"/>
          <w:lang w:val="en-US"/>
        </w:rPr>
        <w:t>If such withdrawal occured, or if the patient failed to return for visits, the investigator determined the primary reason for a patient’s premature withdrawal from the study and recorded this information on eCRF. The reasons for premature withdrawn from the study could be:</w:t>
      </w:r>
    </w:p>
    <w:p w:rsidR="003B167F" w:rsidRPr="00EC0597" w:rsidRDefault="003B167F" w:rsidP="00381674">
      <w:pPr>
        <w:pStyle w:val="ListBullet"/>
        <w:rPr>
          <w:noProof/>
        </w:rPr>
      </w:pPr>
      <w:r w:rsidRPr="00EC0597">
        <w:rPr>
          <w:noProof/>
        </w:rPr>
        <w:t>Adverse event(s)</w:t>
      </w:r>
    </w:p>
    <w:p w:rsidR="003B167F" w:rsidRPr="006353B9" w:rsidRDefault="003B167F" w:rsidP="00381674">
      <w:pPr>
        <w:pStyle w:val="ListBullet"/>
        <w:rPr>
          <w:noProof/>
        </w:rPr>
      </w:pPr>
      <w:r w:rsidRPr="006353B9">
        <w:rPr>
          <w:noProof/>
        </w:rPr>
        <w:t>Abnormal laboratory value(s)</w:t>
      </w:r>
    </w:p>
    <w:p w:rsidR="003B167F" w:rsidRPr="006353B9" w:rsidRDefault="003B167F" w:rsidP="00381674">
      <w:pPr>
        <w:pStyle w:val="ListBullet"/>
        <w:rPr>
          <w:noProof/>
          <w:lang w:val="en-US"/>
        </w:rPr>
      </w:pPr>
      <w:r w:rsidRPr="006353B9">
        <w:rPr>
          <w:noProof/>
          <w:lang w:val="en-US"/>
        </w:rPr>
        <w:t>Abnormal test procedure result(s)</w:t>
      </w:r>
    </w:p>
    <w:p w:rsidR="003B167F" w:rsidRPr="006353B9" w:rsidRDefault="003B167F" w:rsidP="00381674">
      <w:pPr>
        <w:pStyle w:val="ListBullet"/>
        <w:rPr>
          <w:noProof/>
        </w:rPr>
      </w:pPr>
      <w:r w:rsidRPr="006353B9">
        <w:rPr>
          <w:noProof/>
        </w:rPr>
        <w:t>Protocol deviation</w:t>
      </w:r>
    </w:p>
    <w:p w:rsidR="003B167F" w:rsidRPr="006353B9" w:rsidRDefault="003B167F" w:rsidP="00381674">
      <w:pPr>
        <w:pStyle w:val="ListBullet"/>
        <w:rPr>
          <w:noProof/>
        </w:rPr>
      </w:pPr>
      <w:r w:rsidRPr="006353B9">
        <w:rPr>
          <w:noProof/>
        </w:rPr>
        <w:t>Subject withdrew consent</w:t>
      </w:r>
    </w:p>
    <w:p w:rsidR="003B167F" w:rsidRPr="006353B9" w:rsidRDefault="003B167F" w:rsidP="00381674">
      <w:pPr>
        <w:pStyle w:val="ListBullet"/>
        <w:rPr>
          <w:noProof/>
        </w:rPr>
      </w:pPr>
      <w:r w:rsidRPr="006353B9">
        <w:rPr>
          <w:noProof/>
        </w:rPr>
        <w:t>Lost to follow-up</w:t>
      </w:r>
    </w:p>
    <w:p w:rsidR="003B167F" w:rsidRPr="006353B9" w:rsidRDefault="003B167F" w:rsidP="00381674">
      <w:pPr>
        <w:pStyle w:val="ListBullet"/>
        <w:rPr>
          <w:noProof/>
        </w:rPr>
      </w:pPr>
      <w:r w:rsidRPr="006353B9">
        <w:rPr>
          <w:noProof/>
        </w:rPr>
        <w:t>Death</w:t>
      </w:r>
    </w:p>
    <w:p w:rsidR="003B167F" w:rsidRPr="006353B9" w:rsidRDefault="003B167F" w:rsidP="00381674">
      <w:pPr>
        <w:pStyle w:val="ListBullet"/>
        <w:rPr>
          <w:noProof/>
        </w:rPr>
      </w:pPr>
      <w:r w:rsidRPr="006353B9">
        <w:rPr>
          <w:noProof/>
        </w:rPr>
        <w:t>New cancer therapy</w:t>
      </w:r>
    </w:p>
    <w:p w:rsidR="003B167F" w:rsidRPr="006353B9" w:rsidRDefault="003B167F" w:rsidP="00381674">
      <w:pPr>
        <w:pStyle w:val="ListBullet"/>
        <w:rPr>
          <w:noProof/>
        </w:rPr>
      </w:pPr>
      <w:r w:rsidRPr="006353B9">
        <w:rPr>
          <w:noProof/>
        </w:rPr>
        <w:t>Disease progression</w:t>
      </w:r>
    </w:p>
    <w:p w:rsidR="003B167F" w:rsidRPr="006353B9" w:rsidRDefault="003B167F" w:rsidP="00381674">
      <w:pPr>
        <w:pStyle w:val="ListBullet"/>
        <w:numPr>
          <w:ilvl w:val="0"/>
          <w:numId w:val="0"/>
        </w:numPr>
        <w:rPr>
          <w:noProof/>
          <w:lang w:val="en-US"/>
        </w:rPr>
      </w:pPr>
      <w:r w:rsidRPr="006353B9">
        <w:rPr>
          <w:noProof/>
          <w:lang w:val="en-US"/>
        </w:rPr>
        <w:t>Subjects who had entered the study and who were withdrawn were not substituted.</w:t>
      </w:r>
    </w:p>
    <w:p w:rsidR="00EC0597" w:rsidRDefault="00EC0597" w:rsidP="00EC0597">
      <w:pPr>
        <w:pStyle w:val="Heading2"/>
        <w:rPr>
          <w:noProof/>
        </w:rPr>
      </w:pPr>
      <w:bookmarkStart w:id="22" w:name="_Toc501022033"/>
      <w:r>
        <w:rPr>
          <w:noProof/>
        </w:rPr>
        <w:t>Treatments</w:t>
      </w:r>
      <w:bookmarkEnd w:id="22"/>
    </w:p>
    <w:p w:rsidR="003B167F" w:rsidRPr="002B3DF6" w:rsidRDefault="003B167F" w:rsidP="00381674">
      <w:pPr>
        <w:autoSpaceDE w:val="0"/>
        <w:autoSpaceDN w:val="0"/>
        <w:adjustRightInd w:val="0"/>
        <w:spacing w:line="240" w:lineRule="auto"/>
        <w:jc w:val="both"/>
        <w:rPr>
          <w:rFonts w:eastAsia="Calibri"/>
          <w:noProof/>
          <w:color w:val="auto"/>
          <w:lang w:val="en-US"/>
        </w:rPr>
      </w:pPr>
      <w:r w:rsidRPr="006353B9">
        <w:rPr>
          <w:noProof/>
          <w:color w:val="auto"/>
          <w:lang w:val="en-US"/>
        </w:rPr>
        <w:t>Patients were randomized after they had completed 3 months of therapy with sunitinib and they had not progressed at the time of evaluation at 3 months. Two cycles of</w:t>
      </w:r>
      <w:r w:rsidR="00381674">
        <w:rPr>
          <w:noProof/>
          <w:color w:val="auto"/>
          <w:lang w:val="en-US"/>
        </w:rPr>
        <w:t xml:space="preserve"> s</w:t>
      </w:r>
      <w:r w:rsidRPr="006353B9">
        <w:rPr>
          <w:noProof/>
          <w:color w:val="auto"/>
          <w:lang w:val="en-US"/>
        </w:rPr>
        <w:t xml:space="preserve">unitinib must have been completed before randomization (12 weeks); after those two cycles, patient were evaluated and randomized. </w:t>
      </w:r>
    </w:p>
    <w:p w:rsidR="00EC0597" w:rsidRDefault="00EC0597" w:rsidP="00EC0597">
      <w:pPr>
        <w:pStyle w:val="Heading3"/>
        <w:rPr>
          <w:noProof/>
        </w:rPr>
      </w:pPr>
      <w:bookmarkStart w:id="23" w:name="_Toc501022034"/>
      <w:r>
        <w:rPr>
          <w:noProof/>
        </w:rPr>
        <w:t>Treatments Administered</w:t>
      </w:r>
      <w:bookmarkEnd w:id="23"/>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Treatment duration did not have a specific period. Patients in the rotational arm were receiving the alternating study regimen until disease progression as defined by RECIST 1.1, until unacceptable toxicity was observed, or patient withdrew for any other reason. In the comparative arm patients were receiving standard regimen of sunitinib until progression, followed by everolimus until progression.</w:t>
      </w: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lastRenderedPageBreak/>
        <w:t xml:space="preserve">No other anticancer medication were allowed to be used unless the patient had progressed on the rotational arm or after the everolimus treatment on the standard arm. </w:t>
      </w:r>
    </w:p>
    <w:p w:rsidR="003B167F" w:rsidRPr="006353B9" w:rsidRDefault="003B167F" w:rsidP="00EC0597">
      <w:pPr>
        <w:autoSpaceDE w:val="0"/>
        <w:autoSpaceDN w:val="0"/>
        <w:adjustRightInd w:val="0"/>
        <w:spacing w:line="240" w:lineRule="auto"/>
        <w:jc w:val="both"/>
        <w:rPr>
          <w:noProof/>
          <w:color w:val="auto"/>
          <w:lang w:val="en-US"/>
        </w:rPr>
      </w:pP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Patients received prescribed (commercial drug) for the first 3 months (until 1st tumor evaluation) and then the patients who were randomized to the control arm had to be kept receiving commercial (prescribed) drug for both line of therapies (i.e. sunitinib first line and everolimus second line) which was dispensed under the responsibility of Pharmacy Services from the applicable sites according to the applicable regulations for commercial drugs under hospital use. In order to guarantee the traceability of the drug´s dispensed the following information was registered; commercial name, quantity and batch dispensed to each subject. Patients in the investigational arm received investigational drug provided by Novartis which was dispensed under the responsibility of Pharmacy Services from the applicable sites. The quantity and batches dispensed to each subject was also registered.</w:t>
      </w:r>
    </w:p>
    <w:p w:rsidR="003B167F" w:rsidRPr="006353B9" w:rsidRDefault="003B167F" w:rsidP="00EC0597">
      <w:pPr>
        <w:autoSpaceDE w:val="0"/>
        <w:autoSpaceDN w:val="0"/>
        <w:adjustRightInd w:val="0"/>
        <w:spacing w:line="240" w:lineRule="auto"/>
        <w:jc w:val="both"/>
        <w:rPr>
          <w:noProof/>
          <w:color w:val="auto"/>
          <w:lang w:val="en-US"/>
        </w:rPr>
      </w:pP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 xml:space="preserve">Patients were treated with study medication until tumor progression, unacceptable toxicity, death, or discontinuation from the study for any other valid reason. </w:t>
      </w: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 xml:space="preserve">Scheduled trimonthly visits continued throughout the study phase. After the last scheduled visit, all patients were followed every 3 months for survival. </w:t>
      </w:r>
    </w:p>
    <w:p w:rsidR="003B167F" w:rsidRPr="006353B9" w:rsidRDefault="003B167F" w:rsidP="00EC0597">
      <w:pPr>
        <w:autoSpaceDE w:val="0"/>
        <w:autoSpaceDN w:val="0"/>
        <w:adjustRightInd w:val="0"/>
        <w:spacing w:line="240" w:lineRule="auto"/>
        <w:jc w:val="both"/>
        <w:rPr>
          <w:noProof/>
          <w:color w:val="auto"/>
          <w:lang w:val="en-US"/>
        </w:rPr>
      </w:pP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 xml:space="preserve">Tumor assessments, by the local radiologist were independently performed every 12 weeks (± 1 week) from randomization until study discontinuation. A partial or complete response warranted confirmation no sooner than 4 weeks and no later than 8 weeks after its initial observation. Clinical suspicion of disease progression at any time required a physical examination and radiological documentation to be performed promptly rather than waiting for the next scheduled radiological assessment. </w:t>
      </w:r>
    </w:p>
    <w:p w:rsidR="00EC0597" w:rsidRDefault="00EC0597" w:rsidP="00EC0597">
      <w:pPr>
        <w:pStyle w:val="Heading3"/>
        <w:rPr>
          <w:noProof/>
        </w:rPr>
      </w:pPr>
      <w:bookmarkStart w:id="24" w:name="_Toc501022035"/>
      <w:r>
        <w:rPr>
          <w:noProof/>
        </w:rPr>
        <w:t>Identity of Investigational Product(s)</w:t>
      </w:r>
      <w:bookmarkEnd w:id="24"/>
    </w:p>
    <w:p w:rsidR="003B167F" w:rsidRDefault="003B167F" w:rsidP="007C7E25">
      <w:pPr>
        <w:autoSpaceDE w:val="0"/>
        <w:autoSpaceDN w:val="0"/>
        <w:adjustRightInd w:val="0"/>
        <w:spacing w:line="240" w:lineRule="auto"/>
        <w:jc w:val="both"/>
        <w:rPr>
          <w:noProof/>
          <w:color w:val="auto"/>
          <w:lang w:val="en-US"/>
        </w:rPr>
      </w:pPr>
      <w:r w:rsidRPr="006353B9">
        <w:rPr>
          <w:noProof/>
          <w:color w:val="auto"/>
          <w:lang w:val="en-US"/>
        </w:rPr>
        <w:t>The recommended dose of Afinitor® (everolimus) was 10 mg daily. Afinitor® tablets</w:t>
      </w:r>
      <w:r w:rsidR="007C7E25">
        <w:rPr>
          <w:noProof/>
          <w:color w:val="auto"/>
          <w:lang w:val="en-US"/>
        </w:rPr>
        <w:t xml:space="preserve"> </w:t>
      </w:r>
      <w:r w:rsidRPr="006353B9">
        <w:rPr>
          <w:noProof/>
          <w:color w:val="auto"/>
          <w:lang w:val="en-US"/>
        </w:rPr>
        <w:t>were in blister-packed under aluminum foil. Tablets were available with several dosages: 2.5 mg, 5 mg, 7.5 mg and 10 mg.</w:t>
      </w:r>
    </w:p>
    <w:p w:rsidR="00EC0597" w:rsidRPr="006353B9" w:rsidRDefault="00EC0597" w:rsidP="00EC0597">
      <w:pPr>
        <w:autoSpaceDE w:val="0"/>
        <w:autoSpaceDN w:val="0"/>
        <w:adjustRightInd w:val="0"/>
        <w:spacing w:line="240" w:lineRule="auto"/>
        <w:rPr>
          <w:noProof/>
          <w:color w:val="auto"/>
          <w:lang w:val="en-US"/>
        </w:rPr>
      </w:pPr>
    </w:p>
    <w:p w:rsidR="003B167F" w:rsidRDefault="003B167F" w:rsidP="00EC0597">
      <w:pPr>
        <w:autoSpaceDE w:val="0"/>
        <w:autoSpaceDN w:val="0"/>
        <w:adjustRightInd w:val="0"/>
        <w:spacing w:line="240" w:lineRule="auto"/>
        <w:jc w:val="both"/>
        <w:rPr>
          <w:noProof/>
          <w:color w:val="auto"/>
          <w:lang w:val="en-US"/>
        </w:rPr>
      </w:pPr>
      <w:r w:rsidRPr="006353B9">
        <w:rPr>
          <w:noProof/>
          <w:color w:val="auto"/>
          <w:lang w:val="en-US"/>
        </w:rPr>
        <w:t xml:space="preserve">The storage conditions for everolimus were provided on commercial label, tablets were supposed to be kept in the blister packs until the time of administration as it is both hygroscopic and light-sensitive. Patients were provided with an adequate supply of everolimus for self administration at home. The investigator instructed the patient to take everolimus exactly as prescribed. All dosages prescribed and dispensed to the patient and all dose changes during the study were recorded in the eCRF. </w:t>
      </w:r>
    </w:p>
    <w:p w:rsidR="00EC0597" w:rsidRPr="006353B9" w:rsidRDefault="00EC0597" w:rsidP="00EC0597">
      <w:pPr>
        <w:autoSpaceDE w:val="0"/>
        <w:autoSpaceDN w:val="0"/>
        <w:adjustRightInd w:val="0"/>
        <w:spacing w:line="240" w:lineRule="auto"/>
        <w:jc w:val="both"/>
        <w:rPr>
          <w:noProof/>
          <w:color w:val="auto"/>
          <w:lang w:val="en-US"/>
        </w:rPr>
      </w:pPr>
    </w:p>
    <w:p w:rsidR="003B167F" w:rsidRPr="006353B9" w:rsidRDefault="003B167F" w:rsidP="00EC0597">
      <w:pPr>
        <w:autoSpaceDE w:val="0"/>
        <w:autoSpaceDN w:val="0"/>
        <w:adjustRightInd w:val="0"/>
        <w:spacing w:line="240" w:lineRule="auto"/>
        <w:jc w:val="both"/>
        <w:rPr>
          <w:noProof/>
          <w:color w:val="auto"/>
          <w:lang w:val="en-US"/>
        </w:rPr>
      </w:pPr>
      <w:r w:rsidRPr="006353B9">
        <w:rPr>
          <w:noProof/>
          <w:color w:val="auto"/>
          <w:lang w:val="en-US"/>
        </w:rPr>
        <w:t xml:space="preserve">Patients were instructed to take the tablets of everolimus orally with a glass of water, once daily at the same time each day in the morning, after meal. If vomiting occurs, no attempt were made to replace the vomited dose unless two everolimus tablets were clearly visible. </w:t>
      </w:r>
    </w:p>
    <w:p w:rsidR="003B167F" w:rsidRDefault="003B167F" w:rsidP="00EA6687">
      <w:pPr>
        <w:autoSpaceDE w:val="0"/>
        <w:autoSpaceDN w:val="0"/>
        <w:adjustRightInd w:val="0"/>
        <w:spacing w:line="240" w:lineRule="auto"/>
        <w:jc w:val="both"/>
        <w:rPr>
          <w:noProof/>
          <w:color w:val="auto"/>
          <w:lang w:val="en-US"/>
        </w:rPr>
      </w:pPr>
      <w:r w:rsidRPr="006353B9">
        <w:rPr>
          <w:noProof/>
          <w:color w:val="auto"/>
          <w:lang w:val="en-US"/>
        </w:rPr>
        <w:t xml:space="preserve">At clinic visits, patients were to bring their unused everolimus as well as the empty blister packs, to the clinic. Compliance was verified by the investigator’s staff by counting the number of tablets consumed between visits. The patients were continue to take everolimus until disease progression, a rotation to sunitinib was expected to be made according to protocol, major toxicity or withdrawal from the study for any reason. The </w:t>
      </w:r>
      <w:r w:rsidRPr="006353B9">
        <w:rPr>
          <w:noProof/>
          <w:color w:val="auto"/>
          <w:lang w:val="en-US"/>
        </w:rPr>
        <w:lastRenderedPageBreak/>
        <w:t>maximum allowed time of study medication interruption was 3 weeks. In spite of a treatment interruption, the 11 weeks cycle were supposed to be completed.</w:t>
      </w:r>
    </w:p>
    <w:p w:rsidR="00EC0597" w:rsidRDefault="00EC0597" w:rsidP="00EC0597">
      <w:pPr>
        <w:pStyle w:val="Heading3"/>
      </w:pPr>
      <w:bookmarkStart w:id="25" w:name="_Toc501022036"/>
      <w:r>
        <w:t>Method of Assigning Patients to Treatment Groups</w:t>
      </w:r>
      <w:bookmarkEnd w:id="25"/>
    </w:p>
    <w:p w:rsidR="00EC0597" w:rsidRDefault="003B167F" w:rsidP="00EC0597">
      <w:pPr>
        <w:spacing w:line="240" w:lineRule="auto"/>
        <w:jc w:val="both"/>
        <w:rPr>
          <w:color w:val="auto"/>
          <w:lang w:val="en-US"/>
        </w:rPr>
      </w:pPr>
      <w:r w:rsidRPr="006353B9">
        <w:rPr>
          <w:color w:val="auto"/>
          <w:lang w:val="en-US"/>
        </w:rPr>
        <w:t>Randomization was performed centrally by the Contract Research Organization PIVOTAL. Patients were randomized in a 2:1 ratio respectively to the investigational arm</w:t>
      </w:r>
      <w:r>
        <w:rPr>
          <w:color w:val="auto"/>
          <w:lang w:val="en-US"/>
        </w:rPr>
        <w:t xml:space="preserve"> or the control arm as follows:</w:t>
      </w:r>
    </w:p>
    <w:p w:rsidR="00EC0597" w:rsidRPr="00381674" w:rsidRDefault="003B167F" w:rsidP="00381674">
      <w:pPr>
        <w:pStyle w:val="ListBullet"/>
        <w:spacing w:before="120" w:after="120"/>
        <w:ind w:left="720" w:hanging="431"/>
        <w:contextualSpacing w:val="0"/>
        <w:rPr>
          <w:noProof/>
        </w:rPr>
      </w:pPr>
      <w:r w:rsidRPr="00381674">
        <w:rPr>
          <w:noProof/>
        </w:rPr>
        <w:t>Rotational/Investigational arm: 2</w:t>
      </w:r>
    </w:p>
    <w:p w:rsidR="00EC0597" w:rsidRPr="00381674" w:rsidRDefault="003B167F" w:rsidP="00381674">
      <w:pPr>
        <w:pStyle w:val="ListBullet"/>
        <w:spacing w:before="120" w:after="120"/>
        <w:ind w:left="720" w:hanging="431"/>
        <w:contextualSpacing w:val="0"/>
        <w:rPr>
          <w:noProof/>
        </w:rPr>
      </w:pPr>
      <w:r w:rsidRPr="00381674">
        <w:rPr>
          <w:noProof/>
        </w:rPr>
        <w:t>Standard/Control arm: 1</w:t>
      </w:r>
    </w:p>
    <w:p w:rsidR="00EC0597" w:rsidRDefault="003B167F" w:rsidP="00EC0597">
      <w:pPr>
        <w:spacing w:line="240" w:lineRule="auto"/>
        <w:jc w:val="both"/>
        <w:rPr>
          <w:color w:val="auto"/>
          <w:lang w:val="en-US"/>
        </w:rPr>
      </w:pPr>
      <w:r w:rsidRPr="00EC0597">
        <w:rPr>
          <w:color w:val="auto"/>
          <w:lang w:val="en-US"/>
        </w:rPr>
        <w:t>A patient was randomized only after verification of eligibility. This was done after the first tumor evaluation at 3 months. If the patient failed to be randomized for any reason, the reason for not being randomized was recorded.</w:t>
      </w:r>
    </w:p>
    <w:p w:rsidR="00EC0597" w:rsidRDefault="00EC0597" w:rsidP="00EC0597">
      <w:pPr>
        <w:pStyle w:val="Heading3"/>
        <w:rPr>
          <w:noProof/>
        </w:rPr>
      </w:pPr>
      <w:bookmarkStart w:id="26" w:name="_Toc501022037"/>
      <w:r>
        <w:rPr>
          <w:noProof/>
        </w:rPr>
        <w:t>Selection of Doses in the Study</w:t>
      </w:r>
      <w:bookmarkEnd w:id="26"/>
    </w:p>
    <w:p w:rsidR="003B167F" w:rsidRDefault="003B167F" w:rsidP="00EC0597">
      <w:pPr>
        <w:spacing w:line="240" w:lineRule="auto"/>
        <w:jc w:val="both"/>
        <w:rPr>
          <w:noProof/>
          <w:color w:val="auto"/>
          <w:lang w:val="en-US"/>
        </w:rPr>
      </w:pPr>
      <w:r w:rsidRPr="006353B9">
        <w:rPr>
          <w:noProof/>
          <w:color w:val="auto"/>
          <w:lang w:val="en-US"/>
        </w:rPr>
        <w:t>Everolimus and sunitinib were administered at approved doses as per IB.</w:t>
      </w:r>
      <w:r>
        <w:rPr>
          <w:rFonts w:eastAsia="Times New Roman"/>
          <w:b/>
          <w:color w:val="auto"/>
          <w:lang w:val="en-US"/>
        </w:rPr>
        <w:t xml:space="preserve"> </w:t>
      </w:r>
      <w:r w:rsidRPr="006353B9">
        <w:rPr>
          <w:noProof/>
          <w:color w:val="auto"/>
          <w:lang w:val="en-US"/>
        </w:rPr>
        <w:t xml:space="preserve">For patients who were unable to tolerate the protocol-specified dosing schedule, dose adjustments were permitted in order to keep the patient on everolimus. The guidelines set forth in Table below were  followed: If treatment was interrupted due to toxicity, everolimus were not expected to be resumed until recovery to ≤ Grade 1, then reintroduce everolimus at the initial dose or lower dose level depending on toxicity type and Grade </w:t>
      </w:r>
      <w:r w:rsidRPr="00EC0597">
        <w:rPr>
          <w:bCs/>
          <w:noProof/>
          <w:color w:val="auto"/>
          <w:lang w:val="en-US"/>
        </w:rPr>
        <w:t>(</w:t>
      </w:r>
      <w:r w:rsidRPr="006353B9">
        <w:rPr>
          <w:noProof/>
          <w:color w:val="auto"/>
          <w:lang w:val="en-US"/>
        </w:rPr>
        <w:t xml:space="preserve">Table </w:t>
      </w:r>
      <w:r>
        <w:rPr>
          <w:noProof/>
          <w:color w:val="auto"/>
          <w:lang w:val="en-US"/>
        </w:rPr>
        <w:t>1</w:t>
      </w:r>
      <w:r w:rsidRPr="00EC0597">
        <w:rPr>
          <w:bCs/>
          <w:noProof/>
          <w:color w:val="auto"/>
          <w:lang w:val="en-US"/>
        </w:rPr>
        <w:t>)</w:t>
      </w:r>
      <w:r w:rsidRPr="006353B9">
        <w:rPr>
          <w:noProof/>
          <w:color w:val="auto"/>
          <w:lang w:val="en-US"/>
        </w:rPr>
        <w:t xml:space="preserve">. </w:t>
      </w:r>
      <w:r>
        <w:rPr>
          <w:noProof/>
          <w:color w:val="auto"/>
          <w:lang w:val="en-US"/>
        </w:rPr>
        <w:br/>
      </w:r>
      <w:r w:rsidRPr="006353B9">
        <w:rPr>
          <w:noProof/>
          <w:color w:val="auto"/>
          <w:lang w:val="en-US"/>
        </w:rPr>
        <w:t>These changes were recorded on the Dosage Administration Record eCRF.</w:t>
      </w:r>
      <w:r>
        <w:rPr>
          <w:rFonts w:eastAsia="Times New Roman"/>
          <w:b/>
          <w:color w:val="auto"/>
          <w:lang w:val="en-US"/>
        </w:rPr>
        <w:br/>
      </w:r>
      <w:r w:rsidRPr="006353B9">
        <w:rPr>
          <w:noProof/>
          <w:color w:val="auto"/>
          <w:lang w:val="en-US"/>
        </w:rPr>
        <w:t>If a patient had already decreased 2 dose levels and no further dose reduction was possible, those requiring a third dose reduction were supposed to be discontinue everolimus. The maximum allowed time of interruption of everolimus was 3 weeks. In spite of a dose interruption, the 12 weeks cycle was expected  to be completed. Table 4 of the study protocol provided the procedure for dose modification and re-initiation of everolimus in the event of toxicities suspected to be related to the study drug.</w:t>
      </w:r>
    </w:p>
    <w:p w:rsidR="00381674" w:rsidRDefault="00381674" w:rsidP="003B167F">
      <w:pPr>
        <w:tabs>
          <w:tab w:val="left" w:pos="700"/>
        </w:tabs>
        <w:spacing w:line="0" w:lineRule="atLeast"/>
        <w:jc w:val="both"/>
        <w:rPr>
          <w:b/>
          <w:noProof/>
          <w:color w:val="auto"/>
          <w:lang w:val="en-US"/>
        </w:rPr>
      </w:pPr>
    </w:p>
    <w:p w:rsidR="003B167F" w:rsidRPr="003B18F5" w:rsidRDefault="003B167F" w:rsidP="003B167F">
      <w:pPr>
        <w:tabs>
          <w:tab w:val="left" w:pos="700"/>
        </w:tabs>
        <w:spacing w:line="0" w:lineRule="atLeast"/>
        <w:jc w:val="both"/>
        <w:rPr>
          <w:rFonts w:eastAsia="Times New Roman"/>
          <w:b/>
          <w:color w:val="auto"/>
          <w:lang w:val="en-US"/>
        </w:rPr>
      </w:pPr>
      <w:r w:rsidRPr="006353B9">
        <w:rPr>
          <w:b/>
          <w:noProof/>
          <w:color w:val="auto"/>
          <w:lang w:val="en-US"/>
        </w:rPr>
        <w:t xml:space="preserve">Table </w:t>
      </w:r>
      <w:r>
        <w:rPr>
          <w:b/>
          <w:noProof/>
          <w:color w:val="auto"/>
          <w:lang w:val="en-US"/>
        </w:rPr>
        <w:t>1</w:t>
      </w:r>
      <w:r w:rsidRPr="006353B9">
        <w:rPr>
          <w:b/>
          <w:noProof/>
          <w:color w:val="auto"/>
          <w:lang w:val="en-US"/>
        </w:rPr>
        <w:t>: Guidelines for everolimus dose reduction in case of toxicity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2"/>
        <w:gridCol w:w="4308"/>
      </w:tblGrid>
      <w:tr w:rsidR="003B167F" w:rsidRPr="006353B9" w:rsidTr="009A2182">
        <w:trPr>
          <w:trHeight w:val="247"/>
        </w:trPr>
        <w:tc>
          <w:tcPr>
            <w:tcW w:w="4302" w:type="dxa"/>
          </w:tcPr>
          <w:p w:rsidR="003B167F" w:rsidRPr="006353B9" w:rsidRDefault="003B167F" w:rsidP="009A2182">
            <w:pPr>
              <w:keepNext/>
              <w:keepLines/>
              <w:autoSpaceDE w:val="0"/>
              <w:autoSpaceDN w:val="0"/>
              <w:adjustRightInd w:val="0"/>
              <w:spacing w:line="360" w:lineRule="auto"/>
              <w:jc w:val="both"/>
              <w:rPr>
                <w:b/>
                <w:noProof/>
                <w:color w:val="auto"/>
              </w:rPr>
            </w:pPr>
            <w:r w:rsidRPr="006353B9">
              <w:rPr>
                <w:noProof/>
                <w:color w:val="auto"/>
                <w:lang w:val="en-US"/>
              </w:rPr>
              <w:t xml:space="preserve"> </w:t>
            </w:r>
            <w:r w:rsidRPr="006353B9">
              <w:rPr>
                <w:b/>
                <w:noProof/>
                <w:color w:val="auto"/>
              </w:rPr>
              <w:t>Dose Level</w:t>
            </w:r>
          </w:p>
        </w:tc>
        <w:tc>
          <w:tcPr>
            <w:tcW w:w="4308" w:type="dxa"/>
          </w:tcPr>
          <w:p w:rsidR="003B167F" w:rsidRPr="006353B9" w:rsidRDefault="003B167F" w:rsidP="009A2182">
            <w:pPr>
              <w:keepNext/>
              <w:keepLines/>
              <w:autoSpaceDE w:val="0"/>
              <w:autoSpaceDN w:val="0"/>
              <w:adjustRightInd w:val="0"/>
              <w:spacing w:line="360" w:lineRule="auto"/>
              <w:jc w:val="both"/>
              <w:rPr>
                <w:b/>
                <w:noProof/>
                <w:color w:val="auto"/>
              </w:rPr>
            </w:pPr>
            <w:r>
              <w:rPr>
                <w:b/>
                <w:noProof/>
                <w:color w:val="auto"/>
              </w:rPr>
              <w:t>Dose and Schedule</w:t>
            </w:r>
          </w:p>
        </w:tc>
      </w:tr>
      <w:tr w:rsidR="003B167F" w:rsidRPr="006353B9" w:rsidTr="009A2182">
        <w:trPr>
          <w:trHeight w:val="308"/>
        </w:trPr>
        <w:tc>
          <w:tcPr>
            <w:tcW w:w="4302" w:type="dxa"/>
          </w:tcPr>
          <w:p w:rsidR="003B167F" w:rsidRPr="006353B9" w:rsidRDefault="003B167F" w:rsidP="009A2182">
            <w:pPr>
              <w:keepNext/>
              <w:keepLines/>
              <w:autoSpaceDE w:val="0"/>
              <w:autoSpaceDN w:val="0"/>
              <w:adjustRightInd w:val="0"/>
              <w:spacing w:line="360" w:lineRule="auto"/>
              <w:jc w:val="both"/>
              <w:rPr>
                <w:noProof/>
                <w:color w:val="auto"/>
              </w:rPr>
            </w:pPr>
            <w:r w:rsidRPr="006353B9">
              <w:rPr>
                <w:noProof/>
                <w:color w:val="auto"/>
              </w:rPr>
              <w:t>0 (starting dose)</w:t>
            </w:r>
          </w:p>
        </w:tc>
        <w:tc>
          <w:tcPr>
            <w:tcW w:w="4308" w:type="dxa"/>
          </w:tcPr>
          <w:p w:rsidR="003B167F" w:rsidRPr="006353B9" w:rsidRDefault="003B167F" w:rsidP="009A2182">
            <w:pPr>
              <w:keepNext/>
              <w:keepLines/>
              <w:autoSpaceDE w:val="0"/>
              <w:autoSpaceDN w:val="0"/>
              <w:adjustRightInd w:val="0"/>
              <w:spacing w:line="360" w:lineRule="auto"/>
              <w:jc w:val="both"/>
              <w:rPr>
                <w:noProof/>
                <w:color w:val="auto"/>
              </w:rPr>
            </w:pPr>
            <w:r w:rsidRPr="006353B9">
              <w:rPr>
                <w:noProof/>
                <w:color w:val="auto"/>
              </w:rPr>
              <w:t>10 mg, p.o. daily</w:t>
            </w:r>
          </w:p>
        </w:tc>
      </w:tr>
      <w:tr w:rsidR="003B167F" w:rsidRPr="006353B9" w:rsidTr="009A2182">
        <w:trPr>
          <w:trHeight w:val="345"/>
        </w:trPr>
        <w:tc>
          <w:tcPr>
            <w:tcW w:w="4302" w:type="dxa"/>
          </w:tcPr>
          <w:p w:rsidR="003B167F" w:rsidRPr="006353B9" w:rsidRDefault="003B167F" w:rsidP="009A2182">
            <w:pPr>
              <w:keepNext/>
              <w:keepLines/>
              <w:autoSpaceDE w:val="0"/>
              <w:autoSpaceDN w:val="0"/>
              <w:adjustRightInd w:val="0"/>
              <w:spacing w:line="360" w:lineRule="auto"/>
              <w:jc w:val="both"/>
              <w:rPr>
                <w:noProof/>
                <w:color w:val="auto"/>
              </w:rPr>
            </w:pPr>
            <w:r w:rsidRPr="006353B9">
              <w:rPr>
                <w:noProof/>
                <w:color w:val="auto"/>
              </w:rPr>
              <w:t>Decrease 1 dose level</w:t>
            </w:r>
          </w:p>
        </w:tc>
        <w:tc>
          <w:tcPr>
            <w:tcW w:w="4308" w:type="dxa"/>
          </w:tcPr>
          <w:p w:rsidR="003B167F" w:rsidRPr="006353B9" w:rsidRDefault="003B167F" w:rsidP="009A2182">
            <w:pPr>
              <w:keepNext/>
              <w:keepLines/>
              <w:autoSpaceDE w:val="0"/>
              <w:autoSpaceDN w:val="0"/>
              <w:adjustRightInd w:val="0"/>
              <w:spacing w:line="360" w:lineRule="auto"/>
              <w:jc w:val="both"/>
              <w:rPr>
                <w:noProof/>
                <w:color w:val="auto"/>
              </w:rPr>
            </w:pPr>
            <w:r w:rsidRPr="006353B9">
              <w:rPr>
                <w:noProof/>
                <w:color w:val="auto"/>
              </w:rPr>
              <w:t>5 mg, p.o. daily</w:t>
            </w:r>
          </w:p>
        </w:tc>
      </w:tr>
      <w:tr w:rsidR="003B167F" w:rsidRPr="00AC180A" w:rsidTr="009A2182">
        <w:trPr>
          <w:trHeight w:val="366"/>
        </w:trPr>
        <w:tc>
          <w:tcPr>
            <w:tcW w:w="4302" w:type="dxa"/>
          </w:tcPr>
          <w:p w:rsidR="003B167F" w:rsidRPr="006353B9" w:rsidRDefault="003B167F" w:rsidP="009A2182">
            <w:pPr>
              <w:keepNext/>
              <w:keepLines/>
              <w:autoSpaceDE w:val="0"/>
              <w:autoSpaceDN w:val="0"/>
              <w:adjustRightInd w:val="0"/>
              <w:spacing w:line="360" w:lineRule="auto"/>
              <w:jc w:val="both"/>
              <w:rPr>
                <w:noProof/>
                <w:color w:val="auto"/>
              </w:rPr>
            </w:pPr>
            <w:r w:rsidRPr="006353B9">
              <w:rPr>
                <w:noProof/>
                <w:color w:val="auto"/>
              </w:rPr>
              <w:t>Decrease 2 dose level</w:t>
            </w:r>
          </w:p>
        </w:tc>
        <w:tc>
          <w:tcPr>
            <w:tcW w:w="4308" w:type="dxa"/>
          </w:tcPr>
          <w:p w:rsidR="003B167F" w:rsidRPr="006353B9" w:rsidRDefault="003B167F" w:rsidP="009A2182">
            <w:pPr>
              <w:keepNext/>
              <w:keepLines/>
              <w:autoSpaceDE w:val="0"/>
              <w:autoSpaceDN w:val="0"/>
              <w:adjustRightInd w:val="0"/>
              <w:spacing w:line="360" w:lineRule="auto"/>
              <w:jc w:val="both"/>
              <w:rPr>
                <w:noProof/>
                <w:color w:val="auto"/>
                <w:lang w:val="en-US"/>
              </w:rPr>
            </w:pPr>
            <w:r w:rsidRPr="006353B9">
              <w:rPr>
                <w:noProof/>
                <w:color w:val="auto"/>
                <w:lang w:val="en-US"/>
              </w:rPr>
              <w:t>5 mg, p.o. every other day</w:t>
            </w:r>
          </w:p>
        </w:tc>
      </w:tr>
    </w:tbl>
    <w:p w:rsidR="00B94DC6" w:rsidRDefault="00B94DC6" w:rsidP="00B94DC6">
      <w:pPr>
        <w:pStyle w:val="Heading3"/>
        <w:rPr>
          <w:noProof/>
        </w:rPr>
      </w:pPr>
      <w:bookmarkStart w:id="27" w:name="_Toc501022038"/>
      <w:r>
        <w:rPr>
          <w:noProof/>
        </w:rPr>
        <w:t>Prior and concomitant therapy</w:t>
      </w:r>
      <w:bookmarkEnd w:id="27"/>
    </w:p>
    <w:p w:rsidR="003B167F" w:rsidRPr="006353B9" w:rsidRDefault="003B167F" w:rsidP="00E36289">
      <w:pPr>
        <w:spacing w:line="240" w:lineRule="auto"/>
        <w:jc w:val="both"/>
        <w:rPr>
          <w:noProof/>
          <w:lang w:val="en-US"/>
        </w:rPr>
      </w:pPr>
      <w:r w:rsidRPr="006353B9">
        <w:rPr>
          <w:noProof/>
          <w:lang w:val="en-US"/>
        </w:rPr>
        <w:t xml:space="preserve">Caution was recommended to be exercised when sunitinib and IV bisphosphonates </w:t>
      </w:r>
      <w:r>
        <w:rPr>
          <w:noProof/>
          <w:lang w:val="en-US"/>
        </w:rPr>
        <w:t>we</w:t>
      </w:r>
      <w:r w:rsidRPr="006353B9">
        <w:rPr>
          <w:noProof/>
          <w:lang w:val="en-US"/>
        </w:rPr>
        <w:t xml:space="preserve">re used either simultaneously or sequentially. Invasive dental procedures </w:t>
      </w:r>
      <w:r>
        <w:rPr>
          <w:noProof/>
          <w:lang w:val="en-US"/>
        </w:rPr>
        <w:t>we</w:t>
      </w:r>
      <w:r w:rsidRPr="006353B9">
        <w:rPr>
          <w:noProof/>
          <w:lang w:val="en-US"/>
        </w:rPr>
        <w:t xml:space="preserve">re an identified risk factor for osteonecrosis of the jaw. Prior to treatment with sunitinib, a dental examination and appropriate preventive dentistry </w:t>
      </w:r>
      <w:r>
        <w:rPr>
          <w:noProof/>
          <w:lang w:val="en-US"/>
        </w:rPr>
        <w:t>were</w:t>
      </w:r>
      <w:r w:rsidRPr="006353B9">
        <w:rPr>
          <w:noProof/>
          <w:lang w:val="en-US"/>
        </w:rPr>
        <w:t xml:space="preserve"> recommened. </w:t>
      </w:r>
    </w:p>
    <w:p w:rsidR="00E36289" w:rsidRDefault="00E36289" w:rsidP="00E36289">
      <w:pPr>
        <w:spacing w:line="240" w:lineRule="auto"/>
        <w:jc w:val="both"/>
        <w:rPr>
          <w:noProof/>
          <w:lang w:val="en-US"/>
        </w:rPr>
      </w:pPr>
    </w:p>
    <w:p w:rsidR="003B167F" w:rsidRDefault="003B167F" w:rsidP="00E36289">
      <w:pPr>
        <w:spacing w:line="240" w:lineRule="auto"/>
        <w:jc w:val="both"/>
        <w:rPr>
          <w:noProof/>
          <w:lang w:val="en-US"/>
        </w:rPr>
      </w:pPr>
      <w:r w:rsidRPr="00AC180A">
        <w:rPr>
          <w:noProof/>
          <w:lang w:val="en-US"/>
        </w:rPr>
        <w:t xml:space="preserve">Co-administration of everolimus with strong inhibitors of CYP3A4 (e.g., ketoconazole, itraconazole, ritonavir) or P-glycoprotein (PgP) was recommended to be avoided by the </w:t>
      </w:r>
      <w:r w:rsidRPr="00AC180A">
        <w:rPr>
          <w:noProof/>
          <w:lang w:val="en-US"/>
        </w:rPr>
        <w:lastRenderedPageBreak/>
        <w:t xml:space="preserve">study protocol. </w:t>
      </w:r>
      <w:r w:rsidRPr="00AC180A">
        <w:rPr>
          <w:rFonts w:eastAsia="Calibri"/>
          <w:lang w:val="en-US"/>
        </w:rPr>
        <w:t xml:space="preserve">The study protocol also recommended some caution when </w:t>
      </w:r>
      <w:r w:rsidRPr="00AC180A">
        <w:rPr>
          <w:noProof/>
          <w:lang w:val="en-US"/>
        </w:rPr>
        <w:t>everolimus</w:t>
      </w:r>
      <w:r w:rsidRPr="00AC180A">
        <w:rPr>
          <w:rFonts w:eastAsia="Calibri"/>
          <w:lang w:val="en-US"/>
        </w:rPr>
        <w:t xml:space="preserve"> was administered in combination with moderate CYP3A4 inhibitors or </w:t>
      </w:r>
      <w:proofErr w:type="spellStart"/>
      <w:r w:rsidRPr="00AC180A">
        <w:rPr>
          <w:rFonts w:eastAsia="Calibri"/>
          <w:lang w:val="en-US"/>
        </w:rPr>
        <w:t>PgP</w:t>
      </w:r>
      <w:proofErr w:type="spellEnd"/>
      <w:r w:rsidRPr="00AC180A">
        <w:rPr>
          <w:rFonts w:eastAsia="Calibri"/>
          <w:lang w:val="en-US"/>
        </w:rPr>
        <w:t xml:space="preserve"> inhibitors. Patients who required co administration of a moderate CYP3A4 or </w:t>
      </w:r>
      <w:proofErr w:type="spellStart"/>
      <w:r w:rsidRPr="00AC180A">
        <w:rPr>
          <w:rFonts w:eastAsia="Calibri"/>
          <w:lang w:val="en-US"/>
        </w:rPr>
        <w:t>PgP</w:t>
      </w:r>
      <w:proofErr w:type="spellEnd"/>
      <w:r w:rsidRPr="00AC180A">
        <w:rPr>
          <w:rFonts w:eastAsia="Calibri"/>
          <w:lang w:val="en-US"/>
        </w:rPr>
        <w:t xml:space="preserve"> inhibitor, had their </w:t>
      </w:r>
      <w:proofErr w:type="spellStart"/>
      <w:r w:rsidRPr="00AC180A">
        <w:rPr>
          <w:rFonts w:eastAsia="Calibri"/>
          <w:lang w:val="en-US"/>
        </w:rPr>
        <w:t>everolimus</w:t>
      </w:r>
      <w:proofErr w:type="spellEnd"/>
      <w:r w:rsidRPr="00AC180A">
        <w:rPr>
          <w:rFonts w:eastAsia="Calibri"/>
          <w:lang w:val="en-US"/>
        </w:rPr>
        <w:t xml:space="preserve"> dose reduced to approximately 50% lower than the dose previously administered. For dose reductions below the lowest available </w:t>
      </w:r>
      <w:proofErr w:type="spellStart"/>
      <w:r w:rsidRPr="00AC180A">
        <w:rPr>
          <w:rFonts w:eastAsia="Calibri"/>
          <w:lang w:val="en-US"/>
        </w:rPr>
        <w:t>everolimus</w:t>
      </w:r>
      <w:proofErr w:type="spellEnd"/>
      <w:r w:rsidRPr="00AC180A">
        <w:rPr>
          <w:rFonts w:eastAsia="Calibri"/>
          <w:lang w:val="en-US"/>
        </w:rPr>
        <w:t xml:space="preserve"> strength, alternate day dosing was considered. Further dose reduction must have been required to manage adverse drug reactions (ADRs). C</w:t>
      </w:r>
      <w:r w:rsidRPr="00AC180A">
        <w:rPr>
          <w:noProof/>
          <w:lang w:val="en-US"/>
        </w:rPr>
        <w:t>oncomitant use of the following products, that affected P450 and PgP activity, seville orange, star fruit, grapefruit and their juices were recomended to be avoided.</w:t>
      </w:r>
    </w:p>
    <w:p w:rsidR="00381674" w:rsidRPr="00AC180A" w:rsidRDefault="00381674" w:rsidP="00E36289">
      <w:pPr>
        <w:spacing w:line="240" w:lineRule="auto"/>
        <w:jc w:val="both"/>
        <w:rPr>
          <w:noProof/>
          <w:lang w:val="en-US"/>
        </w:rPr>
      </w:pPr>
    </w:p>
    <w:p w:rsidR="00381674" w:rsidRDefault="003B167F" w:rsidP="00381674">
      <w:pPr>
        <w:pStyle w:val="Text"/>
        <w:spacing w:before="0"/>
        <w:rPr>
          <w:rFonts w:ascii="Arial" w:hAnsi="Arial" w:cs="Arial"/>
          <w:iCs/>
          <w:noProof/>
          <w:sz w:val="22"/>
          <w:szCs w:val="22"/>
        </w:rPr>
      </w:pPr>
      <w:r w:rsidRPr="006353B9">
        <w:rPr>
          <w:rFonts w:ascii="Arial" w:hAnsi="Arial" w:cs="Arial"/>
          <w:iCs/>
          <w:noProof/>
          <w:sz w:val="22"/>
          <w:szCs w:val="22"/>
        </w:rPr>
        <w:t>The following website was suggested to be referenced for a more extensive list of P450 substrates, inhibitors, or inducers: [</w:t>
      </w:r>
      <w:hyperlink r:id="rId11" w:history="1">
        <w:r w:rsidRPr="00381674">
          <w:rPr>
            <w:rStyle w:val="Hyperlink"/>
            <w:rFonts w:cs="Arial"/>
            <w:noProof/>
            <w:szCs w:val="22"/>
          </w:rPr>
          <w:t>http://medicine.iupui.edu/clinpharm/ddis/table.asp</w:t>
        </w:r>
      </w:hyperlink>
      <w:r w:rsidRPr="006353B9">
        <w:rPr>
          <w:rFonts w:ascii="Arial" w:hAnsi="Arial" w:cs="Arial"/>
          <w:iCs/>
          <w:noProof/>
          <w:sz w:val="22"/>
          <w:szCs w:val="22"/>
        </w:rPr>
        <w:t>].</w:t>
      </w:r>
    </w:p>
    <w:p w:rsidR="00381674" w:rsidRDefault="00381674" w:rsidP="00381674">
      <w:pPr>
        <w:pStyle w:val="Text"/>
        <w:spacing w:before="0"/>
        <w:rPr>
          <w:rFonts w:eastAsia="Calibri"/>
        </w:rPr>
      </w:pPr>
    </w:p>
    <w:p w:rsidR="00381674" w:rsidRDefault="003B167F" w:rsidP="00381674">
      <w:pPr>
        <w:pStyle w:val="Text"/>
        <w:spacing w:before="0"/>
        <w:rPr>
          <w:rFonts w:asciiTheme="minorHAnsi" w:hAnsiTheme="minorHAnsi" w:cstheme="minorHAnsi"/>
          <w:iCs/>
          <w:noProof/>
          <w:sz w:val="22"/>
          <w:szCs w:val="22"/>
        </w:rPr>
      </w:pPr>
      <w:r w:rsidRPr="00381674">
        <w:rPr>
          <w:rFonts w:asciiTheme="minorHAnsi" w:eastAsia="Calibri" w:hAnsiTheme="minorHAnsi" w:cstheme="minorHAnsi"/>
          <w:sz w:val="22"/>
          <w:szCs w:val="22"/>
        </w:rPr>
        <w:t xml:space="preserve">It was recommended to avoid the use of concomitant strong CYP3A4 inducers. Patients who required co-administration of a strong CYP3A4 inducer, an </w:t>
      </w:r>
      <w:proofErr w:type="spellStart"/>
      <w:r w:rsidRPr="00381674">
        <w:rPr>
          <w:rFonts w:asciiTheme="minorHAnsi" w:eastAsia="Calibri" w:hAnsiTheme="minorHAnsi" w:cstheme="minorHAnsi"/>
          <w:sz w:val="22"/>
          <w:szCs w:val="22"/>
        </w:rPr>
        <w:t>everolimus</w:t>
      </w:r>
      <w:proofErr w:type="spellEnd"/>
      <w:r w:rsidRPr="00381674">
        <w:rPr>
          <w:rFonts w:asciiTheme="minorHAnsi" w:eastAsia="Calibri" w:hAnsiTheme="minorHAnsi" w:cstheme="minorHAnsi"/>
          <w:sz w:val="22"/>
          <w:szCs w:val="22"/>
        </w:rPr>
        <w:t xml:space="preserve"> dose was supposed to be increased from 10 mg daily up to 20 mg daily, using 5 mg increments. This dose of </w:t>
      </w:r>
      <w:proofErr w:type="spellStart"/>
      <w:r w:rsidRPr="00381674">
        <w:rPr>
          <w:rFonts w:asciiTheme="minorHAnsi" w:eastAsia="Calibri" w:hAnsiTheme="minorHAnsi" w:cstheme="minorHAnsi"/>
          <w:sz w:val="22"/>
          <w:szCs w:val="22"/>
        </w:rPr>
        <w:t>everolimus</w:t>
      </w:r>
      <w:proofErr w:type="spellEnd"/>
      <w:r w:rsidRPr="00381674">
        <w:rPr>
          <w:rFonts w:asciiTheme="minorHAnsi" w:eastAsia="Calibri" w:hAnsiTheme="minorHAnsi" w:cstheme="minorHAnsi"/>
          <w:sz w:val="22"/>
          <w:szCs w:val="22"/>
        </w:rPr>
        <w:t xml:space="preserve"> was predicted to adjust the AUC to the range observed without inducers. If the strong CYP3A4/</w:t>
      </w:r>
      <w:proofErr w:type="spellStart"/>
      <w:r w:rsidRPr="00381674">
        <w:rPr>
          <w:rFonts w:asciiTheme="minorHAnsi" w:eastAsia="Calibri" w:hAnsiTheme="minorHAnsi" w:cstheme="minorHAnsi"/>
          <w:sz w:val="22"/>
          <w:szCs w:val="22"/>
        </w:rPr>
        <w:t>Pgp</w:t>
      </w:r>
      <w:proofErr w:type="spellEnd"/>
      <w:r w:rsidRPr="00381674">
        <w:rPr>
          <w:rFonts w:asciiTheme="minorHAnsi" w:eastAsia="Calibri" w:hAnsiTheme="minorHAnsi" w:cstheme="minorHAnsi"/>
          <w:sz w:val="22"/>
          <w:szCs w:val="22"/>
        </w:rPr>
        <w:t xml:space="preserve"> inducer was discontinued the </w:t>
      </w:r>
      <w:proofErr w:type="spellStart"/>
      <w:r w:rsidRPr="00381674">
        <w:rPr>
          <w:rFonts w:asciiTheme="minorHAnsi" w:eastAsia="Calibri" w:hAnsiTheme="minorHAnsi" w:cstheme="minorHAnsi"/>
          <w:sz w:val="22"/>
          <w:szCs w:val="22"/>
        </w:rPr>
        <w:t>everolimus</w:t>
      </w:r>
      <w:proofErr w:type="spellEnd"/>
      <w:r w:rsidRPr="00381674">
        <w:rPr>
          <w:rFonts w:asciiTheme="minorHAnsi" w:eastAsia="Calibri" w:hAnsiTheme="minorHAnsi" w:cstheme="minorHAnsi"/>
          <w:sz w:val="22"/>
          <w:szCs w:val="22"/>
        </w:rPr>
        <w:t xml:space="preserve"> dose was supposed to be returned to the dose used prior to initiation of the strong CYP3A4 inducer. </w:t>
      </w:r>
      <w:r w:rsidRPr="00381674">
        <w:rPr>
          <w:rFonts w:asciiTheme="minorHAnsi" w:hAnsiTheme="minorHAnsi" w:cstheme="minorHAnsi"/>
          <w:iCs/>
          <w:noProof/>
          <w:sz w:val="22"/>
          <w:szCs w:val="22"/>
        </w:rPr>
        <w:t>The study protocol had a list of clinically relevant drug interactions: substrates, inducers, and inhibitors of isoenzyme CYP3A</w:t>
      </w:r>
      <w:bookmarkStart w:id="28" w:name="_188Table_51Clinically_relevant_drug_i"/>
      <w:bookmarkEnd w:id="28"/>
      <w:r w:rsidRPr="00381674">
        <w:rPr>
          <w:rFonts w:asciiTheme="minorHAnsi" w:hAnsiTheme="minorHAnsi" w:cstheme="minorHAnsi"/>
          <w:iCs/>
          <w:noProof/>
          <w:sz w:val="22"/>
          <w:szCs w:val="22"/>
        </w:rPr>
        <w:t xml:space="preserve"> and PgP.</w:t>
      </w:r>
    </w:p>
    <w:p w:rsidR="003B167F" w:rsidRPr="00381674" w:rsidRDefault="003B167F" w:rsidP="00381674">
      <w:pPr>
        <w:pStyle w:val="Text"/>
        <w:spacing w:before="0"/>
        <w:rPr>
          <w:rFonts w:asciiTheme="minorHAnsi" w:hAnsiTheme="minorHAnsi" w:cstheme="minorHAnsi"/>
          <w:noProof/>
          <w:sz w:val="22"/>
          <w:szCs w:val="22"/>
        </w:rPr>
      </w:pPr>
      <w:r>
        <w:rPr>
          <w:noProof/>
        </w:rPr>
        <w:br/>
      </w:r>
      <w:r w:rsidRPr="00381674">
        <w:rPr>
          <w:rFonts w:asciiTheme="minorHAnsi" w:hAnsiTheme="minorHAnsi" w:cstheme="minorHAnsi"/>
          <w:noProof/>
          <w:sz w:val="22"/>
          <w:szCs w:val="22"/>
        </w:rPr>
        <w:t>Administration of sunitinib with potent CYP3A4 inhibitors (e.g. ritonavir, itraconazole, erythromycin, clarithromycin, grapefruit juice) could increase sunitinib concentrations.</w:t>
      </w:r>
      <w:r w:rsidR="00381674" w:rsidRPr="00381674">
        <w:rPr>
          <w:rFonts w:asciiTheme="minorHAnsi" w:hAnsiTheme="minorHAnsi" w:cstheme="minorHAnsi"/>
          <w:noProof/>
          <w:sz w:val="22"/>
          <w:szCs w:val="22"/>
        </w:rPr>
        <w:t xml:space="preserve"> </w:t>
      </w:r>
      <w:r w:rsidRPr="00381674">
        <w:rPr>
          <w:rFonts w:asciiTheme="minorHAnsi" w:hAnsiTheme="minorHAnsi" w:cstheme="minorHAnsi"/>
          <w:noProof/>
          <w:sz w:val="22"/>
          <w:szCs w:val="22"/>
        </w:rPr>
        <w:t>Combination of Sunitinib with CYP3A4 inhibitors was recommended to be avoided, or the selection of an alternate concomitant medicinal product with no or minimal potential to inhibit CYP3A4 was recommnded to be considered. If this was not possible, the dose of Sunitinib may expected to be reduced to a minimum of 37.5 mg daily for GIST and MRCC or 25 mg daily for pNET, based on careful monitoring of Medicinal products that may decrease sunitinib plasma concentrations.</w:t>
      </w:r>
    </w:p>
    <w:p w:rsidR="00381674" w:rsidRPr="006353B9" w:rsidRDefault="00381674" w:rsidP="00381674">
      <w:pPr>
        <w:pStyle w:val="Text"/>
        <w:spacing w:before="0"/>
        <w:rPr>
          <w:noProof/>
        </w:rPr>
      </w:pPr>
    </w:p>
    <w:p w:rsidR="003B167F" w:rsidRDefault="003B167F" w:rsidP="00B94DC6">
      <w:pPr>
        <w:autoSpaceDE w:val="0"/>
        <w:autoSpaceDN w:val="0"/>
        <w:adjustRightInd w:val="0"/>
        <w:spacing w:line="240" w:lineRule="auto"/>
        <w:jc w:val="both"/>
        <w:rPr>
          <w:noProof/>
          <w:color w:val="auto"/>
          <w:lang w:val="en-US"/>
        </w:rPr>
      </w:pPr>
      <w:r w:rsidRPr="006353B9">
        <w:rPr>
          <w:noProof/>
          <w:color w:val="auto"/>
          <w:lang w:val="en-US"/>
        </w:rPr>
        <w:t>Administration of sunitinib with potent CYP3A4 inducers (e.g., dexamethasone, phenytoin, carbamazepine, rifampicin, phenobarbital or herbal preparations containing St. John’s Wort/Hypericum perforatum may decrease sunitinib concentrations</w:t>
      </w:r>
      <w:r>
        <w:rPr>
          <w:noProof/>
          <w:color w:val="auto"/>
          <w:lang w:val="en-US"/>
        </w:rPr>
        <w:t xml:space="preserve">) </w:t>
      </w:r>
      <w:r w:rsidRPr="006353B9">
        <w:rPr>
          <w:noProof/>
          <w:color w:val="auto"/>
          <w:lang w:val="en-US"/>
        </w:rPr>
        <w:t xml:space="preserve">were recommended to be avoided, or selection of an alternate concomitant medicinal product, with no or minimal potential to induce CYP3A4 </w:t>
      </w:r>
      <w:r>
        <w:rPr>
          <w:noProof/>
          <w:color w:val="auto"/>
          <w:lang w:val="en-US"/>
        </w:rPr>
        <w:t>were</w:t>
      </w:r>
      <w:r w:rsidRPr="006353B9">
        <w:rPr>
          <w:noProof/>
          <w:color w:val="auto"/>
          <w:lang w:val="en-US"/>
        </w:rPr>
        <w:t xml:space="preserve"> considered. If this was not possible, the dose of SUTENT </w:t>
      </w:r>
      <w:r>
        <w:rPr>
          <w:noProof/>
          <w:color w:val="auto"/>
          <w:lang w:val="en-US"/>
        </w:rPr>
        <w:t>were expected</w:t>
      </w:r>
      <w:r w:rsidRPr="006353B9">
        <w:rPr>
          <w:noProof/>
          <w:color w:val="auto"/>
          <w:lang w:val="en-US"/>
        </w:rPr>
        <w:t xml:space="preserve"> to be increased in 12.5 mg increments (up to 87.5 mg per day for GIST and MRCC or 62.5 mg per day for pNET), based on careful monitoring of tolerability.</w:t>
      </w:r>
    </w:p>
    <w:p w:rsidR="00032047" w:rsidRPr="006353B9" w:rsidRDefault="00032047" w:rsidP="00B94DC6">
      <w:pPr>
        <w:autoSpaceDE w:val="0"/>
        <w:autoSpaceDN w:val="0"/>
        <w:adjustRightInd w:val="0"/>
        <w:spacing w:line="240" w:lineRule="auto"/>
        <w:jc w:val="both"/>
        <w:rPr>
          <w:noProof/>
          <w:color w:val="auto"/>
          <w:lang w:val="en-US"/>
        </w:rPr>
      </w:pPr>
    </w:p>
    <w:p w:rsidR="003B167F" w:rsidRPr="006353B9" w:rsidRDefault="003B167F" w:rsidP="00B94DC6">
      <w:pPr>
        <w:keepNext/>
        <w:keepLines/>
        <w:autoSpaceDE w:val="0"/>
        <w:autoSpaceDN w:val="0"/>
        <w:adjustRightInd w:val="0"/>
        <w:spacing w:line="240" w:lineRule="auto"/>
        <w:jc w:val="both"/>
        <w:rPr>
          <w:noProof/>
          <w:color w:val="auto"/>
          <w:u w:val="single"/>
          <w:lang w:val="en-US"/>
        </w:rPr>
      </w:pPr>
      <w:r w:rsidRPr="006353B9">
        <w:rPr>
          <w:noProof/>
          <w:color w:val="auto"/>
          <w:u w:val="single"/>
          <w:lang w:val="en-US"/>
        </w:rPr>
        <w:lastRenderedPageBreak/>
        <w:t>Anticoagulants</w:t>
      </w:r>
    </w:p>
    <w:p w:rsidR="003B167F" w:rsidRPr="006353B9" w:rsidRDefault="003B167F" w:rsidP="00B94DC6">
      <w:pPr>
        <w:keepNext/>
        <w:keepLines/>
        <w:autoSpaceDE w:val="0"/>
        <w:autoSpaceDN w:val="0"/>
        <w:adjustRightInd w:val="0"/>
        <w:spacing w:line="240" w:lineRule="auto"/>
        <w:jc w:val="both"/>
        <w:rPr>
          <w:noProof/>
          <w:color w:val="auto"/>
          <w:lang w:val="en-US"/>
        </w:rPr>
      </w:pPr>
      <w:r w:rsidRPr="006353B9">
        <w:rPr>
          <w:noProof/>
          <w:color w:val="auto"/>
          <w:lang w:val="en-US"/>
        </w:rPr>
        <w:t>Haemorrhage has been observed rarely in patients treated with sunitinib. Patients who were receiving concomitant treatment with anticoagulants (e.g. warfarin, acenocoumarole) were recomm</w:t>
      </w:r>
      <w:r>
        <w:rPr>
          <w:noProof/>
          <w:color w:val="auto"/>
          <w:lang w:val="en-US"/>
        </w:rPr>
        <w:t>e</w:t>
      </w:r>
      <w:r w:rsidRPr="006353B9">
        <w:rPr>
          <w:noProof/>
          <w:color w:val="auto"/>
          <w:lang w:val="en-US"/>
        </w:rPr>
        <w:t>nded to be monitored by complete blood counts (platelets), coagulation factors (prothrombin time [PT]/</w:t>
      </w:r>
      <w:r w:rsidRPr="006353B9">
        <w:rPr>
          <w:rFonts w:eastAsia="Calibri"/>
          <w:noProof/>
          <w:color w:val="auto"/>
          <w:lang w:val="en-US"/>
        </w:rPr>
        <w:t xml:space="preserve"> international normalized ratio</w:t>
      </w:r>
      <w:r w:rsidRPr="006353B9">
        <w:rPr>
          <w:noProof/>
          <w:color w:val="auto"/>
          <w:lang w:val="en-US"/>
        </w:rPr>
        <w:t xml:space="preserve"> [INR]) and physical examination.</w:t>
      </w:r>
    </w:p>
    <w:p w:rsidR="003B167F" w:rsidRPr="006353B9" w:rsidRDefault="003B167F" w:rsidP="00B94DC6">
      <w:pPr>
        <w:keepNext/>
        <w:keepLines/>
        <w:autoSpaceDE w:val="0"/>
        <w:autoSpaceDN w:val="0"/>
        <w:adjustRightInd w:val="0"/>
        <w:spacing w:line="240" w:lineRule="auto"/>
        <w:jc w:val="both"/>
        <w:rPr>
          <w:noProof/>
          <w:color w:val="auto"/>
          <w:lang w:val="en-US"/>
        </w:rPr>
      </w:pPr>
    </w:p>
    <w:p w:rsidR="003B167F" w:rsidRPr="006353B9" w:rsidRDefault="003B167F" w:rsidP="00B94DC6">
      <w:pPr>
        <w:keepNext/>
        <w:keepLines/>
        <w:autoSpaceDE w:val="0"/>
        <w:autoSpaceDN w:val="0"/>
        <w:adjustRightInd w:val="0"/>
        <w:spacing w:line="240" w:lineRule="auto"/>
        <w:jc w:val="both"/>
        <w:rPr>
          <w:noProof/>
          <w:color w:val="auto"/>
          <w:u w:val="single"/>
          <w:lang w:val="en-US"/>
        </w:rPr>
      </w:pPr>
      <w:r w:rsidRPr="006353B9">
        <w:rPr>
          <w:noProof/>
          <w:color w:val="auto"/>
          <w:u w:val="single"/>
          <w:lang w:val="en-US"/>
        </w:rPr>
        <w:t>Other drugs</w:t>
      </w:r>
    </w:p>
    <w:p w:rsidR="003B167F" w:rsidRDefault="003B167F" w:rsidP="00B94DC6">
      <w:pPr>
        <w:keepNext/>
        <w:keepLines/>
        <w:autoSpaceDE w:val="0"/>
        <w:autoSpaceDN w:val="0"/>
        <w:adjustRightInd w:val="0"/>
        <w:spacing w:line="240" w:lineRule="auto"/>
        <w:jc w:val="both"/>
        <w:rPr>
          <w:lang w:val="en-US"/>
        </w:rPr>
      </w:pPr>
      <w:r w:rsidRPr="006353B9">
        <w:rPr>
          <w:noProof/>
          <w:color w:val="auto"/>
          <w:lang w:val="en-US"/>
        </w:rPr>
        <w:t xml:space="preserve">Caution was exepcted to be exercised when sunitinib and IV bisphosphonates were used either simultaneously or sequentially.  Sunitinib was expected to be used with caution in patients who were taking antiarrhythmics. </w:t>
      </w:r>
      <w:r w:rsidRPr="006353B9">
        <w:rPr>
          <w:lang w:val="en-US"/>
        </w:rPr>
        <w:t xml:space="preserve">Every concomitant medication was recorded in the </w:t>
      </w:r>
      <w:r w:rsidR="007C7E25">
        <w:rPr>
          <w:lang w:val="en-US"/>
        </w:rPr>
        <w:t>electronic C</w:t>
      </w:r>
      <w:r w:rsidRPr="006353B9">
        <w:rPr>
          <w:lang w:val="en-US"/>
        </w:rPr>
        <w:t>ase Report Form</w:t>
      </w:r>
      <w:r w:rsidR="007C7E25">
        <w:rPr>
          <w:lang w:val="en-US"/>
        </w:rPr>
        <w:t>s</w:t>
      </w:r>
      <w:r w:rsidRPr="006353B9">
        <w:rPr>
          <w:lang w:val="en-US"/>
        </w:rPr>
        <w:t xml:space="preserve"> (</w:t>
      </w:r>
      <w:proofErr w:type="spellStart"/>
      <w:r w:rsidR="007C7E25">
        <w:rPr>
          <w:lang w:val="en-US"/>
        </w:rPr>
        <w:t>e</w:t>
      </w:r>
      <w:r w:rsidRPr="006353B9">
        <w:rPr>
          <w:lang w:val="en-US"/>
        </w:rPr>
        <w:t>CRF</w:t>
      </w:r>
      <w:proofErr w:type="spellEnd"/>
      <w:r w:rsidRPr="006353B9">
        <w:rPr>
          <w:lang w:val="en-US"/>
        </w:rPr>
        <w:t>). Additionally, any diagnosis or therapeutic or surgical procedure performed for the study duration was recorded including the date, indications for and description of the procedures and any other clinical finding.</w:t>
      </w:r>
    </w:p>
    <w:p w:rsidR="00032047" w:rsidRDefault="00032047" w:rsidP="00032047">
      <w:pPr>
        <w:pStyle w:val="Heading3"/>
      </w:pPr>
      <w:bookmarkStart w:id="29" w:name="_Toc501022039"/>
      <w:r>
        <w:t>Treatment Compliance</w:t>
      </w:r>
      <w:bookmarkEnd w:id="29"/>
    </w:p>
    <w:p w:rsidR="003B167F" w:rsidRPr="006353B9" w:rsidRDefault="003B167F" w:rsidP="003B167F">
      <w:pPr>
        <w:shd w:val="clear" w:color="auto" w:fill="FFFFFF"/>
        <w:spacing w:before="120" w:line="240" w:lineRule="auto"/>
        <w:jc w:val="both"/>
        <w:rPr>
          <w:color w:val="auto"/>
          <w:lang w:val="en-US"/>
        </w:rPr>
      </w:pPr>
      <w:r w:rsidRPr="006353B9">
        <w:rPr>
          <w:color w:val="auto"/>
          <w:lang w:val="en-US"/>
        </w:rPr>
        <w:t>The patient</w:t>
      </w:r>
      <w:r>
        <w:rPr>
          <w:color w:val="auto"/>
          <w:lang w:val="en-US"/>
        </w:rPr>
        <w:t>s</w:t>
      </w:r>
      <w:r w:rsidRPr="006353B9">
        <w:rPr>
          <w:color w:val="auto"/>
          <w:lang w:val="en-US"/>
        </w:rPr>
        <w:t xml:space="preserve"> w</w:t>
      </w:r>
      <w:r w:rsidR="007C7E25">
        <w:rPr>
          <w:color w:val="auto"/>
          <w:lang w:val="en-US"/>
        </w:rPr>
        <w:t>ere</w:t>
      </w:r>
      <w:r w:rsidRPr="006353B9">
        <w:rPr>
          <w:color w:val="auto"/>
          <w:lang w:val="en-US"/>
        </w:rPr>
        <w:t xml:space="preserve"> encouraged to take the required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xml:space="preserve"> doses according to the treatment plan. Any omission was reported to the investigator or the study nurse </w:t>
      </w:r>
      <w:r>
        <w:rPr>
          <w:color w:val="auto"/>
          <w:lang w:val="en-US"/>
        </w:rPr>
        <w:t>and</w:t>
      </w:r>
      <w:r w:rsidRPr="006353B9">
        <w:rPr>
          <w:color w:val="auto"/>
          <w:lang w:val="en-US"/>
        </w:rPr>
        <w:t xml:space="preserve"> recorded in the </w:t>
      </w:r>
      <w:proofErr w:type="spellStart"/>
      <w:r w:rsidR="007C7E25">
        <w:rPr>
          <w:color w:val="auto"/>
          <w:lang w:val="en-US"/>
        </w:rPr>
        <w:t>e</w:t>
      </w:r>
      <w:r w:rsidRPr="006353B9">
        <w:rPr>
          <w:color w:val="auto"/>
          <w:lang w:val="en-US"/>
        </w:rPr>
        <w:t>CRF</w:t>
      </w:r>
      <w:proofErr w:type="spellEnd"/>
      <w:r w:rsidRPr="006353B9">
        <w:rPr>
          <w:color w:val="auto"/>
          <w:lang w:val="en-US"/>
        </w:rPr>
        <w:t xml:space="preserve">. At the end of the study any spare drug portion was counted and recorded in the </w:t>
      </w:r>
      <w:proofErr w:type="spellStart"/>
      <w:r w:rsidR="007C7E25">
        <w:rPr>
          <w:color w:val="auto"/>
          <w:lang w:val="en-US"/>
        </w:rPr>
        <w:t>e</w:t>
      </w:r>
      <w:r w:rsidRPr="006353B9">
        <w:rPr>
          <w:color w:val="auto"/>
          <w:lang w:val="en-US"/>
        </w:rPr>
        <w:t>CRF</w:t>
      </w:r>
      <w:proofErr w:type="spellEnd"/>
      <w:r w:rsidRPr="006353B9">
        <w:rPr>
          <w:color w:val="auto"/>
          <w:lang w:val="en-US"/>
        </w:rPr>
        <w:t xml:space="preserve"> to calculate the total dose received by the patient.</w:t>
      </w:r>
    </w:p>
    <w:p w:rsidR="003B167F" w:rsidRPr="006353B9" w:rsidRDefault="003B167F" w:rsidP="003B167F">
      <w:pPr>
        <w:shd w:val="clear" w:color="auto" w:fill="FFFFFF"/>
        <w:spacing w:before="120" w:line="240" w:lineRule="auto"/>
        <w:jc w:val="both"/>
        <w:rPr>
          <w:color w:val="auto"/>
          <w:lang w:val="en-US"/>
        </w:rPr>
      </w:pPr>
      <w:r w:rsidRPr="006353B9">
        <w:rPr>
          <w:color w:val="auto"/>
          <w:lang w:val="en-US"/>
        </w:rPr>
        <w:t>Drug accountability registry was kept updated and contained the following information:</w:t>
      </w:r>
    </w:p>
    <w:p w:rsidR="003B167F" w:rsidRPr="006353B9" w:rsidRDefault="003B167F" w:rsidP="00381674">
      <w:pPr>
        <w:pStyle w:val="ListBullet"/>
        <w:rPr>
          <w:lang w:val="en-US"/>
        </w:rPr>
      </w:pPr>
      <w:r w:rsidRPr="006353B9">
        <w:rPr>
          <w:lang w:val="en-US"/>
        </w:rPr>
        <w:t>Identity of the patient receiving the drug;</w:t>
      </w:r>
    </w:p>
    <w:p w:rsidR="003B167F" w:rsidRPr="006353B9" w:rsidRDefault="003B167F" w:rsidP="00381674">
      <w:pPr>
        <w:pStyle w:val="ListBullet"/>
        <w:rPr>
          <w:lang w:val="en-US"/>
        </w:rPr>
      </w:pPr>
      <w:r w:rsidRPr="006353B9">
        <w:rPr>
          <w:lang w:val="en-US"/>
        </w:rPr>
        <w:t>date (s) and amount of drug administered to the patient;</w:t>
      </w:r>
    </w:p>
    <w:p w:rsidR="003B167F" w:rsidRPr="006353B9" w:rsidRDefault="003B167F" w:rsidP="00381674">
      <w:pPr>
        <w:pStyle w:val="ListBullet"/>
        <w:rPr>
          <w:lang w:val="en-US"/>
        </w:rPr>
      </w:pPr>
      <w:r w:rsidRPr="006353B9">
        <w:rPr>
          <w:lang w:val="en-US"/>
        </w:rPr>
        <w:t>date (s) and amount of drug returned by the patient.</w:t>
      </w:r>
    </w:p>
    <w:p w:rsidR="003B167F" w:rsidRPr="006353B9" w:rsidRDefault="003B167F" w:rsidP="003B167F">
      <w:pPr>
        <w:shd w:val="clear" w:color="auto" w:fill="FFFFFF"/>
        <w:spacing w:before="120" w:line="240" w:lineRule="auto"/>
        <w:jc w:val="both"/>
        <w:rPr>
          <w:color w:val="auto"/>
          <w:lang w:val="en-US"/>
        </w:rPr>
      </w:pPr>
      <w:r w:rsidRPr="006353B9">
        <w:rPr>
          <w:color w:val="auto"/>
          <w:lang w:val="en-US"/>
        </w:rPr>
        <w:t>The inventory w</w:t>
      </w:r>
      <w:r>
        <w:rPr>
          <w:color w:val="auto"/>
          <w:lang w:val="en-US"/>
        </w:rPr>
        <w:t>as</w:t>
      </w:r>
      <w:r w:rsidRPr="006353B9">
        <w:rPr>
          <w:color w:val="auto"/>
          <w:lang w:val="en-US"/>
        </w:rPr>
        <w:t xml:space="preserve"> available for inspection by the study monitor. At each study visit the patients were expected to return </w:t>
      </w:r>
      <w:r>
        <w:rPr>
          <w:color w:val="auto"/>
          <w:lang w:val="en-US"/>
        </w:rPr>
        <w:t>all</w:t>
      </w:r>
      <w:r w:rsidRPr="006353B9">
        <w:rPr>
          <w:color w:val="auto"/>
          <w:lang w:val="en-US"/>
        </w:rPr>
        <w:t xml:space="preserve"> study drug bottles no matter whether they were completely or partially full or empty. The drug stocks, including the partially used or empty bottles and the administration records, were available for review at every monitoring visit and was returned by the investigator to the clinical study monitor at the end of the study. </w:t>
      </w:r>
    </w:p>
    <w:p w:rsidR="003B167F" w:rsidRPr="006353B9" w:rsidRDefault="003B167F" w:rsidP="00032047">
      <w:pPr>
        <w:pStyle w:val="Heading2"/>
      </w:pPr>
      <w:bookmarkStart w:id="30" w:name="_Toc501022040"/>
      <w:r w:rsidRPr="006353B9">
        <w:t>Efficacy and Safety Variables</w:t>
      </w:r>
      <w:bookmarkEnd w:id="30"/>
      <w:r w:rsidRPr="006353B9">
        <w:t xml:space="preserve"> </w:t>
      </w:r>
    </w:p>
    <w:p w:rsidR="003B167F" w:rsidRDefault="003B167F" w:rsidP="00032047">
      <w:pPr>
        <w:autoSpaceDE w:val="0"/>
        <w:autoSpaceDN w:val="0"/>
        <w:adjustRightInd w:val="0"/>
        <w:spacing w:line="240" w:lineRule="auto"/>
        <w:jc w:val="both"/>
        <w:rPr>
          <w:noProof/>
          <w:color w:val="auto"/>
          <w:lang w:val="en-US"/>
        </w:rPr>
      </w:pPr>
      <w:r w:rsidRPr="006353B9">
        <w:rPr>
          <w:noProof/>
          <w:color w:val="auto"/>
          <w:lang w:val="en-US"/>
        </w:rPr>
        <w:t>Any patient who discontinued from the study treatment for any reason other than disease progression was continued to have tumor assessments every 12 weeks (± 1 week) until the patient started another anticancer therapy. The investigator or his/her designee was collecting information on the initiation of additional anticancer therapies until the data cutoff date for the final analysis. All new anticancer therapies after the last dose of study treatment were recorded in the eCRF.</w:t>
      </w:r>
    </w:p>
    <w:p w:rsidR="00032047" w:rsidRPr="006353B9" w:rsidRDefault="00032047" w:rsidP="00032047">
      <w:pPr>
        <w:autoSpaceDE w:val="0"/>
        <w:autoSpaceDN w:val="0"/>
        <w:adjustRightInd w:val="0"/>
        <w:spacing w:line="240" w:lineRule="auto"/>
        <w:jc w:val="both"/>
        <w:rPr>
          <w:noProof/>
          <w:color w:val="auto"/>
          <w:lang w:val="en-US"/>
        </w:rPr>
      </w:pPr>
    </w:p>
    <w:p w:rsidR="003B167F" w:rsidRDefault="003B167F" w:rsidP="00032047">
      <w:pPr>
        <w:autoSpaceDE w:val="0"/>
        <w:autoSpaceDN w:val="0"/>
        <w:adjustRightInd w:val="0"/>
        <w:spacing w:line="240" w:lineRule="auto"/>
        <w:jc w:val="both"/>
        <w:rPr>
          <w:noProof/>
          <w:color w:val="auto"/>
          <w:lang w:val="en-US"/>
        </w:rPr>
      </w:pPr>
      <w:r w:rsidRPr="006353B9">
        <w:rPr>
          <w:bCs/>
          <w:noProof/>
          <w:color w:val="auto"/>
          <w:lang w:val="en-US"/>
        </w:rPr>
        <w:t xml:space="preserve">At every visit during the study and </w:t>
      </w:r>
      <w:r w:rsidRPr="006353B9">
        <w:rPr>
          <w:noProof/>
          <w:color w:val="auto"/>
          <w:lang w:val="en-US"/>
        </w:rPr>
        <w:t xml:space="preserve">every 12 weeks (± 1 week) after the end-of-treatment visit patients were assessed for adverse events (AEs), serious adverse events (SAEs) and also for hypertension, proteinuria, gastrointestinal perforations, any major injury or surgical procedure and arterial thromboembolic events, irrespective of causal relationship that could have occurred after end-of treatment. </w:t>
      </w:r>
    </w:p>
    <w:p w:rsidR="00032047" w:rsidRPr="006353B9" w:rsidRDefault="00032047" w:rsidP="00032047">
      <w:pPr>
        <w:autoSpaceDE w:val="0"/>
        <w:autoSpaceDN w:val="0"/>
        <w:adjustRightInd w:val="0"/>
        <w:spacing w:line="240" w:lineRule="auto"/>
        <w:jc w:val="both"/>
        <w:rPr>
          <w:noProof/>
          <w:color w:val="auto"/>
          <w:lang w:val="en-US"/>
        </w:rPr>
      </w:pPr>
    </w:p>
    <w:p w:rsidR="003B167F" w:rsidRDefault="003B167F" w:rsidP="00032047">
      <w:pPr>
        <w:spacing w:line="240" w:lineRule="auto"/>
        <w:jc w:val="both"/>
        <w:rPr>
          <w:noProof/>
          <w:color w:val="auto"/>
          <w:lang w:val="en-US"/>
        </w:rPr>
      </w:pPr>
      <w:r w:rsidRPr="006353B9">
        <w:rPr>
          <w:noProof/>
          <w:color w:val="auto"/>
          <w:lang w:val="en-US"/>
        </w:rPr>
        <w:lastRenderedPageBreak/>
        <w:t xml:space="preserve">In case of appearance of hypertension during the treatment the algorithm as described in </w:t>
      </w:r>
      <w:r>
        <w:rPr>
          <w:noProof/>
          <w:color w:val="auto"/>
          <w:lang w:val="en-US"/>
        </w:rPr>
        <w:t xml:space="preserve">the </w:t>
      </w:r>
      <w:r w:rsidRPr="006353B9">
        <w:rPr>
          <w:noProof/>
          <w:color w:val="auto"/>
          <w:lang w:val="en-US"/>
        </w:rPr>
        <w:t>chapter 6.6</w:t>
      </w:r>
      <w:r>
        <w:rPr>
          <w:noProof/>
          <w:color w:val="auto"/>
          <w:lang w:val="en-US"/>
        </w:rPr>
        <w:t xml:space="preserve"> of the study protocol </w:t>
      </w:r>
      <w:r w:rsidRPr="006353B9">
        <w:rPr>
          <w:noProof/>
          <w:color w:val="auto"/>
          <w:lang w:val="en-US"/>
        </w:rPr>
        <w:t>was followed until blood pressure return</w:t>
      </w:r>
      <w:r>
        <w:rPr>
          <w:noProof/>
          <w:color w:val="auto"/>
          <w:lang w:val="en-US"/>
        </w:rPr>
        <w:t>ed</w:t>
      </w:r>
      <w:r w:rsidRPr="006353B9">
        <w:rPr>
          <w:noProof/>
          <w:color w:val="auto"/>
          <w:lang w:val="en-US"/>
        </w:rPr>
        <w:t xml:space="preserve"> to within acceptable range (≤ 160/95 mmHg). Patients who had ongoing proteinuria or who experience new proteinuria, were monitored by 24-hour urine collection until total 24-hour urine protein improve</w:t>
      </w:r>
      <w:r>
        <w:rPr>
          <w:noProof/>
          <w:color w:val="auto"/>
          <w:lang w:val="en-US"/>
        </w:rPr>
        <w:t xml:space="preserve">d to ≤ 3g. </w:t>
      </w:r>
    </w:p>
    <w:p w:rsidR="00032047" w:rsidRPr="006353B9" w:rsidRDefault="00032047" w:rsidP="00032047">
      <w:pPr>
        <w:spacing w:line="240" w:lineRule="auto"/>
        <w:jc w:val="both"/>
        <w:rPr>
          <w:noProof/>
          <w:color w:val="auto"/>
          <w:lang w:val="en-US"/>
        </w:rPr>
      </w:pPr>
    </w:p>
    <w:p w:rsidR="003B167F" w:rsidRPr="006353B9" w:rsidRDefault="003B167F" w:rsidP="005F252D">
      <w:pPr>
        <w:spacing w:line="240" w:lineRule="auto"/>
        <w:jc w:val="both"/>
        <w:rPr>
          <w:noProof/>
          <w:color w:val="auto"/>
          <w:lang w:val="en-US"/>
        </w:rPr>
      </w:pPr>
      <w:r w:rsidRPr="006353B9">
        <w:rPr>
          <w:noProof/>
          <w:color w:val="auto"/>
          <w:lang w:val="en-US"/>
        </w:rPr>
        <w:t xml:space="preserve">An ECG assessment was done at the first study visit (week 12). In case of prolongation of QTc interval 500 msec or greater. </w:t>
      </w:r>
    </w:p>
    <w:p w:rsidR="003B167F" w:rsidRPr="006353B9" w:rsidRDefault="003B167F" w:rsidP="003511B7">
      <w:pPr>
        <w:pStyle w:val="Heading2"/>
      </w:pPr>
      <w:bookmarkStart w:id="31" w:name="_Toc501022041"/>
      <w:r w:rsidRPr="006353B9">
        <w:t>Efficacy and Safety Measurements Assessed</w:t>
      </w:r>
      <w:bookmarkEnd w:id="31"/>
      <w:r w:rsidRPr="006353B9">
        <w:t xml:space="preserve"> </w:t>
      </w:r>
    </w:p>
    <w:p w:rsidR="003B167F" w:rsidRPr="003511B7" w:rsidRDefault="003B167F" w:rsidP="003B167F">
      <w:pPr>
        <w:jc w:val="both"/>
        <w:rPr>
          <w:b/>
          <w:noProof/>
          <w:color w:val="auto"/>
          <w:u w:val="single"/>
          <w:lang w:val="en-US"/>
        </w:rPr>
      </w:pPr>
      <w:bookmarkStart w:id="32" w:name="_Toc381271868"/>
      <w:r w:rsidRPr="003511B7">
        <w:rPr>
          <w:b/>
          <w:noProof/>
          <w:color w:val="auto"/>
          <w:u w:val="single"/>
          <w:lang w:val="en-US"/>
        </w:rPr>
        <w:t>Radiological assessment of tumor</w:t>
      </w:r>
      <w:bookmarkEnd w:id="32"/>
    </w:p>
    <w:p w:rsidR="003B167F" w:rsidRPr="006353B9" w:rsidRDefault="003B167F" w:rsidP="003511B7">
      <w:pPr>
        <w:spacing w:line="240" w:lineRule="auto"/>
        <w:jc w:val="both"/>
        <w:rPr>
          <w:noProof/>
          <w:color w:val="auto"/>
          <w:lang w:val="en-US"/>
        </w:rPr>
      </w:pPr>
      <w:r w:rsidRPr="006353B9">
        <w:rPr>
          <w:noProof/>
          <w:color w:val="auto"/>
          <w:lang w:val="en-US"/>
        </w:rPr>
        <w:t>Tumor response and disease progression were assessed using the RECIST Criteria Version 1.1</w:t>
      </w:r>
      <w:r>
        <w:rPr>
          <w:noProof/>
          <w:color w:val="auto"/>
          <w:lang w:val="en-US"/>
        </w:rPr>
        <w:t xml:space="preserve"> </w:t>
      </w:r>
      <w:r w:rsidRPr="006353B9">
        <w:rPr>
          <w:noProof/>
          <w:color w:val="auto"/>
          <w:lang w:val="en-US"/>
        </w:rPr>
        <w:t>(www.recist.com). All patients discontinued from study treatment for any reason were continue to have tumor assessments every 12 weeks (±1 week) from randomization until the patient began a new anticancer therapy. To ensure a valid comparison of tumor data and uniformity in the assessment of tumor response during the study, the following procedure was i</w:t>
      </w:r>
      <w:r>
        <w:rPr>
          <w:noProof/>
          <w:color w:val="auto"/>
          <w:lang w:val="en-US"/>
        </w:rPr>
        <w:t xml:space="preserve">mplemented at the study center: </w:t>
      </w:r>
      <w:r w:rsidRPr="006353B9">
        <w:rPr>
          <w:noProof/>
          <w:color w:val="auto"/>
          <w:lang w:val="en-US"/>
        </w:rPr>
        <w:t>All lesions identified at baseline (target and non-target) were reassessed using the same method (CT scan with contrast or MRI with contrast) throughout the course of the study.</w:t>
      </w:r>
    </w:p>
    <w:p w:rsidR="003B167F" w:rsidRPr="006353B9" w:rsidRDefault="003B167F" w:rsidP="003511B7">
      <w:pPr>
        <w:spacing w:line="240" w:lineRule="auto"/>
        <w:jc w:val="both"/>
        <w:rPr>
          <w:noProof/>
          <w:color w:val="auto"/>
          <w:lang w:val="en-US"/>
        </w:rPr>
      </w:pPr>
      <w:r w:rsidRPr="006353B9">
        <w:rPr>
          <w:noProof/>
          <w:color w:val="auto"/>
          <w:lang w:val="en-US"/>
        </w:rPr>
        <w:t>All CT/MRIs scans, brain MRIs or CT scans, and bone scans obtained on all patients enrolled at the center were reviewed by the local radiologist who together with the local investigator determined the local assessment of response and progression.</w:t>
      </w:r>
    </w:p>
    <w:p w:rsidR="003B167F" w:rsidRDefault="003B167F" w:rsidP="003511B7">
      <w:pPr>
        <w:spacing w:line="240" w:lineRule="auto"/>
        <w:jc w:val="both"/>
        <w:rPr>
          <w:noProof/>
          <w:color w:val="auto"/>
          <w:lang w:val="en-US"/>
        </w:rPr>
      </w:pPr>
      <w:r w:rsidRPr="006353B9">
        <w:rPr>
          <w:noProof/>
          <w:color w:val="auto"/>
          <w:lang w:val="en-US"/>
        </w:rPr>
        <w:t xml:space="preserve">The local radiologist was blinded to the </w:t>
      </w:r>
      <w:r>
        <w:rPr>
          <w:noProof/>
          <w:color w:val="auto"/>
          <w:lang w:val="en-US"/>
        </w:rPr>
        <w:t>patient’s treatment assignment.</w:t>
      </w:r>
    </w:p>
    <w:p w:rsidR="003B167F" w:rsidRDefault="003B167F" w:rsidP="003511B7">
      <w:pPr>
        <w:autoSpaceDE w:val="0"/>
        <w:autoSpaceDN w:val="0"/>
        <w:adjustRightInd w:val="0"/>
        <w:spacing w:line="240" w:lineRule="auto"/>
        <w:jc w:val="both"/>
        <w:rPr>
          <w:noProof/>
          <w:color w:val="auto"/>
          <w:lang w:val="en-US"/>
        </w:rPr>
      </w:pPr>
    </w:p>
    <w:p w:rsidR="003B167F" w:rsidRPr="006353B9" w:rsidRDefault="003B167F" w:rsidP="003511B7">
      <w:pPr>
        <w:autoSpaceDE w:val="0"/>
        <w:autoSpaceDN w:val="0"/>
        <w:adjustRightInd w:val="0"/>
        <w:spacing w:line="240" w:lineRule="auto"/>
        <w:jc w:val="both"/>
        <w:rPr>
          <w:b/>
          <w:bCs/>
          <w:noProof/>
          <w:color w:val="auto"/>
          <w:lang w:val="en-US"/>
        </w:rPr>
      </w:pPr>
      <w:r w:rsidRPr="006353B9">
        <w:rPr>
          <w:noProof/>
          <w:color w:val="auto"/>
          <w:lang w:val="en-US"/>
        </w:rPr>
        <w:t xml:space="preserve">After the end of treatment visit, all patients had to undergo </w:t>
      </w:r>
      <w:r>
        <w:rPr>
          <w:noProof/>
          <w:color w:val="auto"/>
          <w:lang w:val="en-US"/>
        </w:rPr>
        <w:t>survival assessments every</w:t>
      </w:r>
      <w:r>
        <w:rPr>
          <w:noProof/>
          <w:color w:val="auto"/>
          <w:lang w:val="en-US"/>
        </w:rPr>
        <w:br/>
        <w:t xml:space="preserve">3 </w:t>
      </w:r>
      <w:r w:rsidRPr="006353B9">
        <w:rPr>
          <w:noProof/>
          <w:color w:val="auto"/>
          <w:lang w:val="en-US"/>
        </w:rPr>
        <w:t xml:space="preserve">months up to 2 years after the last patient was randomized to the study. </w:t>
      </w:r>
    </w:p>
    <w:p w:rsidR="003B167F" w:rsidRDefault="003B167F" w:rsidP="003511B7">
      <w:pPr>
        <w:autoSpaceDE w:val="0"/>
        <w:autoSpaceDN w:val="0"/>
        <w:adjustRightInd w:val="0"/>
        <w:spacing w:line="240" w:lineRule="auto"/>
        <w:jc w:val="both"/>
        <w:rPr>
          <w:color w:val="auto"/>
          <w:lang w:val="en-US"/>
        </w:rPr>
      </w:pPr>
    </w:p>
    <w:p w:rsidR="003B167F" w:rsidRPr="006353B9" w:rsidRDefault="003B167F" w:rsidP="003511B7">
      <w:pPr>
        <w:autoSpaceDE w:val="0"/>
        <w:autoSpaceDN w:val="0"/>
        <w:adjustRightInd w:val="0"/>
        <w:spacing w:line="240" w:lineRule="auto"/>
        <w:jc w:val="both"/>
        <w:rPr>
          <w:noProof/>
          <w:color w:val="auto"/>
          <w:lang w:val="en-US"/>
        </w:rPr>
      </w:pPr>
      <w:r w:rsidRPr="006353B9">
        <w:rPr>
          <w:noProof/>
          <w:color w:val="auto"/>
          <w:lang w:val="en-US"/>
        </w:rPr>
        <w:t xml:space="preserve">Safety assessments consisted of monitoring and recording all </w:t>
      </w:r>
      <w:r w:rsidRPr="006353B9">
        <w:rPr>
          <w:i/>
          <w:noProof/>
          <w:color w:val="auto"/>
          <w:u w:val="single"/>
          <w:lang w:val="en-US"/>
        </w:rPr>
        <w:t>AEs</w:t>
      </w:r>
      <w:r w:rsidRPr="006353B9">
        <w:rPr>
          <w:noProof/>
          <w:color w:val="auto"/>
          <w:lang w:val="en-US"/>
        </w:rPr>
        <w:t xml:space="preserve">, including SAEs, the </w:t>
      </w:r>
      <w:r w:rsidRPr="006353B9">
        <w:rPr>
          <w:i/>
          <w:noProof/>
          <w:color w:val="auto"/>
          <w:u w:val="single"/>
          <w:lang w:val="en-US"/>
        </w:rPr>
        <w:t>regular monitoring of hematology and blood/urine chemistry</w:t>
      </w:r>
      <w:r w:rsidRPr="006353B9">
        <w:rPr>
          <w:noProof/>
          <w:color w:val="auto"/>
          <w:lang w:val="en-US"/>
        </w:rPr>
        <w:t xml:space="preserve">, and regular monitoring of </w:t>
      </w:r>
      <w:r w:rsidRPr="006353B9">
        <w:rPr>
          <w:i/>
          <w:noProof/>
          <w:color w:val="auto"/>
          <w:u w:val="single"/>
          <w:lang w:val="en-US"/>
        </w:rPr>
        <w:t>vital signs and physical condition</w:t>
      </w:r>
      <w:r w:rsidRPr="006353B9">
        <w:rPr>
          <w:noProof/>
          <w:color w:val="auto"/>
          <w:lang w:val="en-US"/>
        </w:rPr>
        <w:t xml:space="preserve">. These assessments were supposed to be performed ± 7 days of the scheduled day of assessment (except for AEs that </w:t>
      </w:r>
      <w:r>
        <w:rPr>
          <w:noProof/>
          <w:color w:val="auto"/>
          <w:lang w:val="en-US"/>
        </w:rPr>
        <w:t>were</w:t>
      </w:r>
      <w:r w:rsidRPr="006353B9">
        <w:rPr>
          <w:noProof/>
          <w:color w:val="auto"/>
          <w:lang w:val="en-US"/>
        </w:rPr>
        <w:t xml:space="preserve"> evaluated continuously through the study up to end visit and 28 days after the last everolimus dose). AEs </w:t>
      </w:r>
      <w:r>
        <w:rPr>
          <w:noProof/>
          <w:color w:val="auto"/>
          <w:lang w:val="en-US"/>
        </w:rPr>
        <w:t>were</w:t>
      </w:r>
      <w:r w:rsidRPr="006353B9">
        <w:rPr>
          <w:noProof/>
          <w:color w:val="auto"/>
          <w:lang w:val="en-US"/>
        </w:rPr>
        <w:t xml:space="preserve"> summarized by presenting for each treatment group the number and percentage of patients having any adverse event, having an adverse event in each body system and having each individual adverse event. Any other information collected (e.g. severity or relatedness to study medication) was listed as appropriate.</w:t>
      </w:r>
    </w:p>
    <w:p w:rsidR="003B167F" w:rsidRPr="006353B9" w:rsidRDefault="003B167F" w:rsidP="003511B7">
      <w:pPr>
        <w:spacing w:line="240" w:lineRule="auto"/>
        <w:jc w:val="both"/>
        <w:rPr>
          <w:color w:val="auto"/>
          <w:lang w:val="en-US"/>
        </w:rPr>
      </w:pPr>
    </w:p>
    <w:p w:rsidR="003B167F" w:rsidRPr="006353B9" w:rsidRDefault="003B167F" w:rsidP="003511B7">
      <w:pPr>
        <w:autoSpaceDE w:val="0"/>
        <w:autoSpaceDN w:val="0"/>
        <w:adjustRightInd w:val="0"/>
        <w:spacing w:line="240" w:lineRule="auto"/>
        <w:jc w:val="both"/>
        <w:rPr>
          <w:noProof/>
          <w:color w:val="auto"/>
          <w:lang w:val="en-US"/>
        </w:rPr>
      </w:pPr>
      <w:r w:rsidRPr="006353B9">
        <w:rPr>
          <w:noProof/>
          <w:color w:val="auto"/>
          <w:lang w:val="en-US"/>
        </w:rPr>
        <w:t xml:space="preserve">All standard clinical laboratory analyses were performed by the local laboratory as per study protocol. Laboratory values which were clinically relevant (i.e., require a dose modification or interruption or indicate changes in previously abnormal values) were supposed to be recorded in the eCRF. </w:t>
      </w:r>
    </w:p>
    <w:p w:rsidR="003B167F" w:rsidRDefault="003B167F" w:rsidP="003511B7">
      <w:pPr>
        <w:pStyle w:val="Text"/>
        <w:spacing w:before="0"/>
        <w:rPr>
          <w:rFonts w:ascii="Arial" w:hAnsi="Arial" w:cs="Arial"/>
          <w:noProof/>
          <w:sz w:val="22"/>
          <w:szCs w:val="22"/>
        </w:rPr>
      </w:pPr>
      <w:r w:rsidRPr="006353B9">
        <w:rPr>
          <w:rFonts w:ascii="Arial" w:hAnsi="Arial" w:cs="Arial"/>
          <w:noProof/>
          <w:sz w:val="22"/>
          <w:szCs w:val="22"/>
        </w:rPr>
        <w:t>Hematology tests included hemoglobin, platelet count, a complete red blood cell count (RBC), total white blood count (WBC) with differential (total neutrophil [including bands], lymphocyte, monocyte, eosinophil, and basophil counts). In the event of ≥ Grade 2 hematological toxicities that required study drug dose modifications or interruptions, hematological were supposed to be repeated until recovery to the baseline value or ≤ Grade 1.</w:t>
      </w:r>
    </w:p>
    <w:p w:rsidR="003511B7" w:rsidRPr="006353B9" w:rsidRDefault="003511B7" w:rsidP="003511B7">
      <w:pPr>
        <w:pStyle w:val="Text"/>
        <w:spacing w:before="0"/>
        <w:rPr>
          <w:rFonts w:ascii="Arial" w:hAnsi="Arial" w:cs="Arial"/>
          <w:noProof/>
          <w:sz w:val="22"/>
          <w:szCs w:val="22"/>
        </w:rPr>
      </w:pPr>
    </w:p>
    <w:p w:rsidR="003B167F" w:rsidRDefault="003B167F" w:rsidP="003511B7">
      <w:pPr>
        <w:autoSpaceDE w:val="0"/>
        <w:autoSpaceDN w:val="0"/>
        <w:adjustRightInd w:val="0"/>
        <w:spacing w:line="240" w:lineRule="auto"/>
        <w:jc w:val="both"/>
        <w:rPr>
          <w:noProof/>
          <w:color w:val="auto"/>
          <w:lang w:val="en-US"/>
        </w:rPr>
      </w:pPr>
      <w:r w:rsidRPr="006353B9">
        <w:rPr>
          <w:noProof/>
          <w:color w:val="auto"/>
          <w:lang w:val="en-US"/>
        </w:rPr>
        <w:t>Prothrombin time (PT, described as INR) and activated partial thromboplastin time were examined as coagulation assessments.</w:t>
      </w:r>
      <w:r w:rsidRPr="006353B9">
        <w:rPr>
          <w:bCs/>
          <w:noProof/>
          <w:color w:val="auto"/>
          <w:lang w:val="en-US"/>
        </w:rPr>
        <w:t xml:space="preserve"> </w:t>
      </w:r>
      <w:r w:rsidRPr="006353B9">
        <w:rPr>
          <w:noProof/>
          <w:color w:val="auto"/>
          <w:lang w:val="en-US"/>
        </w:rPr>
        <w:t>For patients treated with oral coumarin-derived anticoagulants, INR were supposed to be followed at least every 2 weeks. For patients treated with full dose oral anticoagulants due to a thromboembolic event during study treatment, INR were supposed to be checked at least every second day during the first week of treatment, at least 2 times/week for the following treatment weeks until a stable therapeutic level of INR has been achieved and at least once every two weeks when the weekly dose has been established and INR is stable with this dose.</w:t>
      </w:r>
    </w:p>
    <w:p w:rsidR="003511B7" w:rsidRPr="006353B9" w:rsidRDefault="003511B7" w:rsidP="003511B7">
      <w:pPr>
        <w:autoSpaceDE w:val="0"/>
        <w:autoSpaceDN w:val="0"/>
        <w:adjustRightInd w:val="0"/>
        <w:spacing w:line="240" w:lineRule="auto"/>
        <w:jc w:val="both"/>
        <w:rPr>
          <w:bCs/>
          <w:noProof/>
          <w:color w:val="auto"/>
          <w:lang w:val="en-US"/>
        </w:rPr>
      </w:pPr>
    </w:p>
    <w:p w:rsidR="003B167F" w:rsidRDefault="003B167F" w:rsidP="003511B7">
      <w:pPr>
        <w:pStyle w:val="Text"/>
        <w:keepNext/>
        <w:keepLines/>
        <w:spacing w:before="0"/>
        <w:rPr>
          <w:rFonts w:ascii="Arial" w:hAnsi="Arial" w:cs="Arial"/>
          <w:noProof/>
          <w:sz w:val="22"/>
          <w:szCs w:val="22"/>
        </w:rPr>
      </w:pPr>
      <w:r w:rsidRPr="006353B9">
        <w:rPr>
          <w:rFonts w:ascii="Arial" w:hAnsi="Arial" w:cs="Arial"/>
          <w:noProof/>
          <w:sz w:val="22"/>
          <w:szCs w:val="22"/>
        </w:rPr>
        <w:t>Biochemistry consisted of urea/BUN, creatinine, calcium, sodium, magnesium, potassium, phosphorous, fasting glucose, albumin, total bilirubin, alkaline phosphatase, GGT, AST, and ALT, LDH, amylase, lipase, thyroid function and serum lipid profile. In the event of ≥ Grade 2 non-hematological toxicities that require study drug dose modifications or interruptions, biochemistry tests were supposed to be repeated until recovery to the baseline value or ≤ Grade 1.</w:t>
      </w:r>
    </w:p>
    <w:p w:rsidR="003511B7" w:rsidRPr="006353B9" w:rsidRDefault="003511B7" w:rsidP="003511B7">
      <w:pPr>
        <w:pStyle w:val="Text"/>
        <w:keepNext/>
        <w:keepLines/>
        <w:spacing w:before="0"/>
        <w:rPr>
          <w:rFonts w:ascii="Arial" w:hAnsi="Arial" w:cs="Arial"/>
          <w:noProof/>
          <w:sz w:val="22"/>
          <w:szCs w:val="22"/>
        </w:rPr>
      </w:pPr>
    </w:p>
    <w:p w:rsidR="003B167F" w:rsidRPr="006353B9" w:rsidRDefault="003B167F" w:rsidP="003511B7">
      <w:pPr>
        <w:autoSpaceDE w:val="0"/>
        <w:autoSpaceDN w:val="0"/>
        <w:adjustRightInd w:val="0"/>
        <w:spacing w:line="240" w:lineRule="auto"/>
        <w:jc w:val="both"/>
        <w:rPr>
          <w:noProof/>
          <w:color w:val="auto"/>
          <w:lang w:val="en-US"/>
        </w:rPr>
      </w:pPr>
      <w:r w:rsidRPr="006353B9">
        <w:rPr>
          <w:noProof/>
          <w:color w:val="auto"/>
          <w:lang w:val="en-US"/>
        </w:rPr>
        <w:t>In the event of ≥ Grade 2 toxicities that require</w:t>
      </w:r>
      <w:r>
        <w:rPr>
          <w:noProof/>
          <w:color w:val="auto"/>
          <w:lang w:val="en-US"/>
        </w:rPr>
        <w:t>d</w:t>
      </w:r>
      <w:r w:rsidRPr="006353B9">
        <w:rPr>
          <w:noProof/>
          <w:color w:val="auto"/>
          <w:lang w:val="en-US"/>
        </w:rPr>
        <w:t xml:space="preserve"> study drug dose modifications or interruptions, serum lipid tests were supposed to be repeated until recovery to the baseline value or ≤ Grade 1. </w:t>
      </w:r>
    </w:p>
    <w:p w:rsidR="003B167F" w:rsidRPr="006353B9" w:rsidRDefault="003B167F" w:rsidP="003511B7">
      <w:pPr>
        <w:autoSpaceDE w:val="0"/>
        <w:autoSpaceDN w:val="0"/>
        <w:adjustRightInd w:val="0"/>
        <w:spacing w:line="240" w:lineRule="auto"/>
        <w:jc w:val="both"/>
        <w:rPr>
          <w:noProof/>
          <w:color w:val="auto"/>
          <w:lang w:val="en-US"/>
        </w:rPr>
      </w:pPr>
    </w:p>
    <w:p w:rsidR="003B167F" w:rsidRPr="006353B9" w:rsidRDefault="003B167F" w:rsidP="003511B7">
      <w:pPr>
        <w:autoSpaceDE w:val="0"/>
        <w:autoSpaceDN w:val="0"/>
        <w:adjustRightInd w:val="0"/>
        <w:spacing w:line="240" w:lineRule="auto"/>
        <w:jc w:val="both"/>
        <w:rPr>
          <w:noProof/>
          <w:color w:val="auto"/>
          <w:lang w:val="en-US"/>
        </w:rPr>
      </w:pPr>
      <w:r w:rsidRPr="006353B9">
        <w:rPr>
          <w:noProof/>
          <w:color w:val="auto"/>
          <w:lang w:val="en-US"/>
        </w:rPr>
        <w:t>Since approximately 4% of people receiving sunitinib develop hypothyroidism thyroid function (TSH, T3 and T4) were supposed to be tested.</w:t>
      </w:r>
    </w:p>
    <w:p w:rsidR="003B167F" w:rsidRPr="006353B9" w:rsidRDefault="003B167F" w:rsidP="003511B7">
      <w:pPr>
        <w:autoSpaceDE w:val="0"/>
        <w:autoSpaceDN w:val="0"/>
        <w:adjustRightInd w:val="0"/>
        <w:spacing w:line="240" w:lineRule="auto"/>
        <w:jc w:val="both"/>
        <w:rPr>
          <w:b/>
          <w:bCs/>
          <w:noProof/>
          <w:color w:val="auto"/>
          <w:lang w:val="en-US"/>
        </w:rPr>
      </w:pPr>
    </w:p>
    <w:p w:rsidR="003B167F" w:rsidRPr="006353B9" w:rsidRDefault="003B167F" w:rsidP="003511B7">
      <w:pPr>
        <w:autoSpaceDE w:val="0"/>
        <w:autoSpaceDN w:val="0"/>
        <w:adjustRightInd w:val="0"/>
        <w:spacing w:line="240" w:lineRule="auto"/>
        <w:jc w:val="both"/>
        <w:rPr>
          <w:noProof/>
          <w:color w:val="auto"/>
          <w:lang w:val="en-US"/>
        </w:rPr>
      </w:pPr>
      <w:r w:rsidRPr="006353B9">
        <w:rPr>
          <w:noProof/>
          <w:color w:val="auto"/>
          <w:lang w:val="en-US"/>
        </w:rPr>
        <w:t>Urinalysis assessment included a dipstick assessment for protein.</w:t>
      </w:r>
      <w:r w:rsidR="007C7E25">
        <w:rPr>
          <w:noProof/>
          <w:color w:val="auto"/>
          <w:lang w:val="en-US"/>
        </w:rPr>
        <w:t xml:space="preserve"> </w:t>
      </w:r>
      <w:r w:rsidRPr="006353B9">
        <w:rPr>
          <w:noProof/>
          <w:color w:val="auto"/>
          <w:lang w:val="en-US"/>
        </w:rPr>
        <w:t xml:space="preserve">If the results from the dipstick analysis were abnormal, then an urine specimen were supposed to be sent to the laboratory for microscopy analysis. Patients who had ongoing proteinuria events at the end-of-treatment visit or who experienced a new proteinuria event during the follow-up period were supposed to be monitored by 24-hour urine collection during the follow-up period or until total 24-hour urine protein improves ≤ 3gr. The 24-hour urine collection for protein determination was required for patients with a 2+ or greater proteinuria. If proteinuria was detected from the urinalysis during the follow-up period, a 24-hour urine were supposed to be collected to monitor the proteinuria. The laboratory results were supposed to be recorded on the laboratory eCRF. </w:t>
      </w:r>
    </w:p>
    <w:p w:rsidR="003B167F" w:rsidRPr="006353B9" w:rsidRDefault="003B167F" w:rsidP="003511B7">
      <w:pPr>
        <w:autoSpaceDE w:val="0"/>
        <w:autoSpaceDN w:val="0"/>
        <w:adjustRightInd w:val="0"/>
        <w:spacing w:line="240" w:lineRule="auto"/>
        <w:jc w:val="both"/>
        <w:rPr>
          <w:noProof/>
          <w:color w:val="auto"/>
          <w:lang w:val="en-US"/>
        </w:rPr>
      </w:pPr>
    </w:p>
    <w:p w:rsidR="003511B7" w:rsidRDefault="003B167F" w:rsidP="003511B7">
      <w:pPr>
        <w:autoSpaceDE w:val="0"/>
        <w:autoSpaceDN w:val="0"/>
        <w:adjustRightInd w:val="0"/>
        <w:spacing w:line="240" w:lineRule="auto"/>
        <w:jc w:val="both"/>
        <w:rPr>
          <w:noProof/>
          <w:color w:val="auto"/>
          <w:lang w:val="en-US"/>
        </w:rPr>
      </w:pPr>
      <w:r w:rsidRPr="006353B9">
        <w:rPr>
          <w:noProof/>
          <w:color w:val="auto"/>
          <w:lang w:val="en-US"/>
        </w:rPr>
        <w:t>Pulmonary function tests (spirometry, DLCO and room air O2 saturation at rest) were supposed to be performed as medically necessary if there was evidence of non-infectious pneumonitis. A bronchoscopy with biopsy and/or a bronchoalveolar lavage (BAL) were supposed to be performed only when medically necessary for ensuring patient care. If noninfectious pneumonitis was diagnosed, consultation with a pulmonologist were supposed to be considered.</w:t>
      </w:r>
    </w:p>
    <w:p w:rsidR="003B167F" w:rsidRPr="006353B9" w:rsidRDefault="003B167F" w:rsidP="003511B7">
      <w:pPr>
        <w:pStyle w:val="Heading3"/>
      </w:pPr>
      <w:bookmarkStart w:id="33" w:name="_Toc501022042"/>
      <w:r w:rsidRPr="006353B9">
        <w:t>Safety assessment</w:t>
      </w:r>
      <w:bookmarkEnd w:id="33"/>
    </w:p>
    <w:p w:rsidR="003B167F" w:rsidRDefault="003B167F" w:rsidP="003B167F">
      <w:pPr>
        <w:spacing w:line="240" w:lineRule="auto"/>
        <w:jc w:val="both"/>
        <w:rPr>
          <w:color w:val="auto"/>
          <w:lang w:val="en-US"/>
        </w:rPr>
      </w:pPr>
      <w:r w:rsidRPr="006353B9">
        <w:rPr>
          <w:color w:val="auto"/>
          <w:lang w:val="en-US"/>
        </w:rPr>
        <w:t>The assessment of safety was based mainly on the frequency of AEs, on the number</w:t>
      </w:r>
      <w:r w:rsidR="003511B7">
        <w:rPr>
          <w:color w:val="auto"/>
          <w:lang w:val="en-US"/>
        </w:rPr>
        <w:t xml:space="preserve"> </w:t>
      </w:r>
      <w:r w:rsidRPr="006353B9">
        <w:rPr>
          <w:color w:val="auto"/>
          <w:lang w:val="en-US"/>
        </w:rPr>
        <w:t>of laboratory values that fall outside of pre-determined ranges and on the central</w:t>
      </w:r>
      <w:r w:rsidR="003511B7">
        <w:rPr>
          <w:color w:val="auto"/>
          <w:lang w:val="en-US"/>
        </w:rPr>
        <w:t xml:space="preserve"> </w:t>
      </w:r>
      <w:r w:rsidRPr="006353B9">
        <w:rPr>
          <w:color w:val="auto"/>
          <w:lang w:val="en-US"/>
        </w:rPr>
        <w:t>radiology assessment of pneumonitis. All safety outputs were using the safety population.</w:t>
      </w:r>
    </w:p>
    <w:p w:rsidR="003511B7" w:rsidRPr="006353B9" w:rsidRDefault="003511B7" w:rsidP="003B167F">
      <w:pPr>
        <w:spacing w:line="240" w:lineRule="auto"/>
        <w:jc w:val="both"/>
        <w:rPr>
          <w:color w:val="auto"/>
          <w:lang w:val="en-US"/>
        </w:rPr>
      </w:pPr>
    </w:p>
    <w:p w:rsidR="003B167F" w:rsidRPr="006353B9" w:rsidRDefault="003B167F" w:rsidP="003B167F">
      <w:pPr>
        <w:spacing w:line="240" w:lineRule="auto"/>
        <w:jc w:val="both"/>
        <w:rPr>
          <w:color w:val="auto"/>
          <w:lang w:val="en-US"/>
        </w:rPr>
      </w:pPr>
      <w:r w:rsidRPr="006353B9">
        <w:rPr>
          <w:color w:val="auto"/>
          <w:lang w:val="en-US"/>
        </w:rPr>
        <w:lastRenderedPageBreak/>
        <w:t>The safety summary tables were supposed to include only assessments collected no later than 28 days</w:t>
      </w:r>
      <w:r>
        <w:rPr>
          <w:color w:val="auto"/>
          <w:lang w:val="en-US"/>
        </w:rPr>
        <w:t xml:space="preserve"> </w:t>
      </w:r>
      <w:r w:rsidRPr="006353B9">
        <w:rPr>
          <w:color w:val="auto"/>
          <w:lang w:val="en-US"/>
        </w:rPr>
        <w:t>after study treatment discontinuation. All safety assessments were supposed to be listed and those</w:t>
      </w:r>
      <w:r>
        <w:rPr>
          <w:color w:val="auto"/>
          <w:lang w:val="en-US"/>
        </w:rPr>
        <w:t xml:space="preserve"> </w:t>
      </w:r>
      <w:r w:rsidRPr="006353B9">
        <w:rPr>
          <w:color w:val="auto"/>
          <w:lang w:val="en-US"/>
        </w:rPr>
        <w:t>collected later than 28 days after study treatment discontinuation were supposed to be flagged.</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color w:val="auto"/>
          <w:lang w:val="en-US"/>
        </w:rPr>
      </w:pPr>
      <w:r w:rsidRPr="006353B9">
        <w:rPr>
          <w:color w:val="auto"/>
          <w:lang w:val="en-US"/>
        </w:rPr>
        <w:t>SAEs were summarized by presenting the number and percentage of patients having at</w:t>
      </w:r>
    </w:p>
    <w:p w:rsidR="003B167F" w:rsidRPr="006353B9" w:rsidRDefault="003B167F" w:rsidP="003B167F">
      <w:pPr>
        <w:spacing w:line="240" w:lineRule="auto"/>
        <w:jc w:val="both"/>
        <w:rPr>
          <w:color w:val="auto"/>
          <w:lang w:val="en-US"/>
        </w:rPr>
      </w:pPr>
      <w:r w:rsidRPr="006353B9">
        <w:rPr>
          <w:color w:val="auto"/>
          <w:lang w:val="en-US"/>
        </w:rPr>
        <w:t>least one AE and having at least one AE in each body system/primary system organ</w:t>
      </w:r>
      <w:r w:rsidR="003511B7">
        <w:rPr>
          <w:color w:val="auto"/>
          <w:lang w:val="en-US"/>
        </w:rPr>
        <w:t xml:space="preserve"> </w:t>
      </w:r>
      <w:r w:rsidRPr="006353B9">
        <w:rPr>
          <w:color w:val="auto"/>
          <w:lang w:val="en-US"/>
        </w:rPr>
        <w:t>class, and for each preferred term using Medical Dictionary for regulatory activities</w:t>
      </w:r>
      <w:r w:rsidR="003511B7">
        <w:rPr>
          <w:color w:val="auto"/>
          <w:lang w:val="en-US"/>
        </w:rPr>
        <w:t xml:space="preserve"> </w:t>
      </w:r>
      <w:r w:rsidRPr="006353B9">
        <w:rPr>
          <w:color w:val="auto"/>
          <w:lang w:val="en-US"/>
        </w:rPr>
        <w:t>(MedDRA) coding. A subject with multiple occurrences of an AE was counted only</w:t>
      </w:r>
      <w:r w:rsidR="003511B7">
        <w:rPr>
          <w:color w:val="auto"/>
          <w:lang w:val="en-US"/>
        </w:rPr>
        <w:t xml:space="preserve"> </w:t>
      </w:r>
      <w:r w:rsidRPr="006353B9">
        <w:rPr>
          <w:color w:val="auto"/>
          <w:lang w:val="en-US"/>
        </w:rPr>
        <w:t>once in the AE category. Separate AE summaries were supposed to be presented by primary system</w:t>
      </w:r>
      <w:r>
        <w:rPr>
          <w:color w:val="auto"/>
          <w:lang w:val="en-US"/>
        </w:rPr>
        <w:t xml:space="preserve"> </w:t>
      </w:r>
      <w:r w:rsidRPr="006353B9">
        <w:rPr>
          <w:color w:val="auto"/>
          <w:lang w:val="en-US"/>
        </w:rPr>
        <w:t>organ class, preferred term, and maximum CTCAE grade. A patient with multiple</w:t>
      </w:r>
      <w:r>
        <w:rPr>
          <w:color w:val="auto"/>
          <w:lang w:val="en-US"/>
        </w:rPr>
        <w:t xml:space="preserve"> </w:t>
      </w:r>
      <w:r w:rsidRPr="006353B9">
        <w:rPr>
          <w:color w:val="auto"/>
          <w:lang w:val="en-US"/>
        </w:rPr>
        <w:t>CTCAE grades for an AE was supposed to be summarized under the maximum CTCAE grade</w:t>
      </w:r>
      <w:r>
        <w:rPr>
          <w:color w:val="auto"/>
          <w:lang w:val="en-US"/>
        </w:rPr>
        <w:t xml:space="preserve"> </w:t>
      </w:r>
      <w:r w:rsidRPr="006353B9">
        <w:rPr>
          <w:color w:val="auto"/>
          <w:lang w:val="en-US"/>
        </w:rPr>
        <w:t>recorded for the event. The frequency of CTCAE grade 3 and 4 AEs were supposed to be</w:t>
      </w:r>
      <w:r>
        <w:rPr>
          <w:color w:val="auto"/>
          <w:lang w:val="en-US"/>
        </w:rPr>
        <w:t xml:space="preserve"> </w:t>
      </w:r>
      <w:r w:rsidRPr="006353B9">
        <w:rPr>
          <w:color w:val="auto"/>
          <w:lang w:val="en-US"/>
        </w:rPr>
        <w:t>summarized separately. Any information collected (e.g. CTCAE grades, relatedness to</w:t>
      </w:r>
      <w:r>
        <w:rPr>
          <w:color w:val="auto"/>
          <w:lang w:val="en-US"/>
        </w:rPr>
        <w:t xml:space="preserve"> </w:t>
      </w:r>
      <w:r w:rsidRPr="006353B9">
        <w:rPr>
          <w:color w:val="auto"/>
          <w:lang w:val="en-US"/>
        </w:rPr>
        <w:t>study drug, action taken etc.) were supposed to be listed as appropriate.</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color w:val="auto"/>
          <w:lang w:val="en-US"/>
        </w:rPr>
      </w:pPr>
      <w:r w:rsidRPr="006353B9">
        <w:rPr>
          <w:color w:val="auto"/>
          <w:lang w:val="en-US"/>
        </w:rPr>
        <w:t>In addition, the incidence of pneumonitis AEs were supposed to be summarized by preferred term for</w:t>
      </w:r>
      <w:r>
        <w:rPr>
          <w:color w:val="auto"/>
          <w:lang w:val="en-US"/>
        </w:rPr>
        <w:t xml:space="preserve"> </w:t>
      </w:r>
      <w:r w:rsidRPr="006353B9">
        <w:rPr>
          <w:color w:val="auto"/>
          <w:lang w:val="en-US"/>
        </w:rPr>
        <w:t>each treatment group. Treatment arms were supposed to be compared with respect to the number (%)</w:t>
      </w:r>
      <w:r>
        <w:rPr>
          <w:color w:val="auto"/>
          <w:lang w:val="en-US"/>
        </w:rPr>
        <w:t xml:space="preserve"> </w:t>
      </w:r>
      <w:r w:rsidRPr="006353B9">
        <w:rPr>
          <w:color w:val="auto"/>
          <w:lang w:val="en-US"/>
        </w:rPr>
        <w:t>of patients with evidence of radiological lung changes from baseline as detected on</w:t>
      </w:r>
      <w:r>
        <w:rPr>
          <w:color w:val="auto"/>
          <w:lang w:val="en-US"/>
        </w:rPr>
        <w:t xml:space="preserve"> </w:t>
      </w:r>
      <w:r w:rsidRPr="006353B9">
        <w:rPr>
          <w:color w:val="auto"/>
          <w:lang w:val="en-US"/>
        </w:rPr>
        <w:t>Chest CT Scans or MRIs.</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color w:val="auto"/>
          <w:lang w:val="en-US"/>
        </w:rPr>
      </w:pPr>
      <w:r w:rsidRPr="006353B9">
        <w:rPr>
          <w:color w:val="auto"/>
          <w:lang w:val="en-US"/>
        </w:rPr>
        <w:t>Laboratory data were supposed to be summarized by presenting shift tables using CTCAE grades</w:t>
      </w:r>
      <w:r>
        <w:rPr>
          <w:color w:val="auto"/>
          <w:lang w:val="en-US"/>
        </w:rPr>
        <w:t xml:space="preserve"> </w:t>
      </w:r>
      <w:r w:rsidRPr="006353B9">
        <w:rPr>
          <w:color w:val="auto"/>
          <w:lang w:val="en-US"/>
        </w:rPr>
        <w:t>(screening to most extreme post-screening value), by presenting summary statistics of</w:t>
      </w:r>
      <w:r>
        <w:rPr>
          <w:color w:val="auto"/>
          <w:lang w:val="en-US"/>
        </w:rPr>
        <w:t xml:space="preserve"> </w:t>
      </w:r>
      <w:r w:rsidRPr="006353B9">
        <w:rPr>
          <w:color w:val="auto"/>
          <w:lang w:val="en-US"/>
        </w:rPr>
        <w:t>raw data and change from screening values (means, medians, standard deviations) and</w:t>
      </w:r>
      <w:r>
        <w:rPr>
          <w:color w:val="auto"/>
          <w:lang w:val="en-US"/>
        </w:rPr>
        <w:t xml:space="preserve"> </w:t>
      </w:r>
      <w:r w:rsidRPr="006353B9">
        <w:rPr>
          <w:color w:val="auto"/>
          <w:lang w:val="en-US"/>
        </w:rPr>
        <w:t>by the flagging of CTCAE grades in data listings.</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color w:val="auto"/>
          <w:lang w:val="en-US"/>
        </w:rPr>
      </w:pPr>
      <w:r w:rsidRPr="006353B9">
        <w:rPr>
          <w:color w:val="auto"/>
          <w:lang w:val="en-US"/>
        </w:rPr>
        <w:t>Data from other tests (e.g., electrocardiogram, vital signs, special tests) were supposed to be listed.</w:t>
      </w:r>
    </w:p>
    <w:p w:rsidR="003B167F" w:rsidRPr="006F7DB2" w:rsidRDefault="003B167F" w:rsidP="003B167F">
      <w:pPr>
        <w:pStyle w:val="Normal1"/>
        <w:jc w:val="both"/>
        <w:rPr>
          <w:b/>
          <w:color w:val="auto"/>
          <w:lang w:val="en-US"/>
        </w:rPr>
      </w:pPr>
      <w:r>
        <w:rPr>
          <w:b/>
          <w:color w:val="auto"/>
          <w:lang w:val="en-US"/>
        </w:rPr>
        <w:t xml:space="preserve"> </w:t>
      </w:r>
    </w:p>
    <w:p w:rsidR="003B167F" w:rsidRDefault="003B167F" w:rsidP="003511B7">
      <w:pPr>
        <w:pStyle w:val="Heading2"/>
      </w:pPr>
      <w:bookmarkStart w:id="34" w:name="_Toc501022043"/>
      <w:r w:rsidRPr="006353B9">
        <w:t>Statistical Methods Planned in the Protocol and Determination of Sample Size</w:t>
      </w:r>
      <w:bookmarkEnd w:id="34"/>
      <w:r w:rsidRPr="006353B9">
        <w:t xml:space="preserve"> </w:t>
      </w:r>
    </w:p>
    <w:p w:rsidR="003511B7" w:rsidRPr="003511B7" w:rsidRDefault="003511B7" w:rsidP="003511B7">
      <w:pPr>
        <w:pStyle w:val="Heading3"/>
      </w:pPr>
      <w:bookmarkStart w:id="35" w:name="_Toc501022044"/>
      <w:r w:rsidRPr="003511B7">
        <w:t>Statistical and Analytical Plans</w:t>
      </w:r>
      <w:bookmarkEnd w:id="35"/>
    </w:p>
    <w:p w:rsidR="003511B7" w:rsidRDefault="003511B7" w:rsidP="003B167F">
      <w:pPr>
        <w:spacing w:line="240" w:lineRule="auto"/>
        <w:jc w:val="both"/>
        <w:rPr>
          <w:i/>
          <w:iCs/>
          <w:color w:val="auto"/>
          <w:lang w:val="en-US"/>
        </w:rPr>
      </w:pPr>
    </w:p>
    <w:p w:rsidR="003B167F" w:rsidRPr="006353B9" w:rsidRDefault="003B167F" w:rsidP="003B167F">
      <w:pPr>
        <w:spacing w:line="240" w:lineRule="auto"/>
        <w:jc w:val="both"/>
        <w:rPr>
          <w:color w:val="auto"/>
          <w:lang w:val="en-US"/>
        </w:rPr>
      </w:pPr>
      <w:r w:rsidRPr="00FB4EE7">
        <w:rPr>
          <w:i/>
          <w:iCs/>
          <w:color w:val="auto"/>
          <w:u w:val="single"/>
          <w:lang w:val="en-US"/>
        </w:rPr>
        <w:t>Analysis populations</w:t>
      </w:r>
      <w:r w:rsidRPr="006353B9">
        <w:rPr>
          <w:i/>
          <w:iCs/>
          <w:color w:val="auto"/>
          <w:lang w:val="en-US"/>
        </w:rPr>
        <w:t>:</w:t>
      </w:r>
    </w:p>
    <w:p w:rsidR="003B167F" w:rsidRPr="006353B9" w:rsidRDefault="003B167F" w:rsidP="003B167F">
      <w:pPr>
        <w:spacing w:line="240" w:lineRule="auto"/>
        <w:jc w:val="both"/>
        <w:rPr>
          <w:color w:val="auto"/>
          <w:lang w:val="en-US"/>
        </w:rPr>
      </w:pPr>
      <w:r w:rsidRPr="006353B9">
        <w:rPr>
          <w:color w:val="auto"/>
          <w:lang w:val="en-US"/>
        </w:rPr>
        <w:t>The data from all centers were pooled and summarized with respect to demographic</w:t>
      </w:r>
      <w:r w:rsidR="003511B7">
        <w:rPr>
          <w:color w:val="auto"/>
          <w:lang w:val="en-US"/>
        </w:rPr>
        <w:t xml:space="preserve"> </w:t>
      </w:r>
      <w:r w:rsidRPr="006353B9">
        <w:rPr>
          <w:color w:val="auto"/>
          <w:lang w:val="en-US"/>
        </w:rPr>
        <w:t>and baseline characteristics and efficacy and safety observations. Exploratory analyses w</w:t>
      </w:r>
      <w:r>
        <w:rPr>
          <w:color w:val="auto"/>
          <w:lang w:val="en-US"/>
        </w:rPr>
        <w:t>ere</w:t>
      </w:r>
      <w:r w:rsidRPr="006353B9">
        <w:rPr>
          <w:color w:val="auto"/>
          <w:lang w:val="en-US"/>
        </w:rPr>
        <w:t xml:space="preserve"> performed using descriptive statistics. Data were presented into the following</w:t>
      </w:r>
      <w:r w:rsidR="003511B7">
        <w:rPr>
          <w:color w:val="auto"/>
          <w:lang w:val="en-US"/>
        </w:rPr>
        <w:t xml:space="preserve"> </w:t>
      </w:r>
      <w:r w:rsidRPr="006353B9">
        <w:rPr>
          <w:color w:val="auto"/>
          <w:lang w:val="en-US"/>
        </w:rPr>
        <w:t>populations for analysis:</w:t>
      </w:r>
    </w:p>
    <w:p w:rsidR="003B167F" w:rsidRPr="006353B9" w:rsidRDefault="003B167F" w:rsidP="003B167F">
      <w:pPr>
        <w:spacing w:line="240" w:lineRule="auto"/>
        <w:jc w:val="both"/>
        <w:rPr>
          <w:rFonts w:eastAsia="Times New Roman"/>
          <w:color w:val="auto"/>
          <w:lang w:val="en-US"/>
        </w:rPr>
      </w:pPr>
    </w:p>
    <w:p w:rsidR="003B167F" w:rsidRPr="000B3982" w:rsidRDefault="003B167F" w:rsidP="003B167F">
      <w:pPr>
        <w:spacing w:line="240" w:lineRule="auto"/>
        <w:jc w:val="both"/>
        <w:rPr>
          <w:color w:val="auto"/>
          <w:lang w:val="en-US"/>
        </w:rPr>
      </w:pPr>
      <w:r w:rsidRPr="006353B9">
        <w:rPr>
          <w:color w:val="auto"/>
          <w:lang w:val="en-US"/>
        </w:rPr>
        <w:t>The</w:t>
      </w:r>
      <w:r w:rsidRPr="006353B9">
        <w:rPr>
          <w:b/>
          <w:bCs/>
          <w:color w:val="auto"/>
          <w:lang w:val="en-US"/>
        </w:rPr>
        <w:t xml:space="preserve"> Full Analysis Set (FAS) c</w:t>
      </w:r>
      <w:r w:rsidRPr="006353B9">
        <w:rPr>
          <w:color w:val="auto"/>
          <w:lang w:val="en-US"/>
        </w:rPr>
        <w:t>onsisted of all randomized patients taken at least</w:t>
      </w:r>
      <w:r w:rsidR="003511B7">
        <w:rPr>
          <w:color w:val="auto"/>
          <w:lang w:val="en-US"/>
        </w:rPr>
        <w:t xml:space="preserve"> </w:t>
      </w:r>
      <w:r w:rsidRPr="006353B9">
        <w:rPr>
          <w:color w:val="auto"/>
          <w:lang w:val="en-US"/>
        </w:rPr>
        <w:t>one dose of study medication. Patients were analyzed according to the treatment they</w:t>
      </w:r>
      <w:r w:rsidR="003511B7">
        <w:rPr>
          <w:color w:val="auto"/>
          <w:lang w:val="en-US"/>
        </w:rPr>
        <w:t xml:space="preserve"> </w:t>
      </w:r>
      <w:r w:rsidRPr="006353B9">
        <w:rPr>
          <w:color w:val="auto"/>
          <w:lang w:val="en-US"/>
        </w:rPr>
        <w:t>received</w:t>
      </w:r>
      <w:r>
        <w:rPr>
          <w:color w:val="auto"/>
          <w:lang w:val="en-US"/>
        </w:rPr>
        <w:t>.</w:t>
      </w:r>
      <w:r>
        <w:rPr>
          <w:color w:val="auto"/>
          <w:lang w:val="en-US"/>
        </w:rPr>
        <w:br/>
      </w:r>
    </w:p>
    <w:p w:rsidR="00FB4EE7" w:rsidRDefault="003B167F" w:rsidP="003B167F">
      <w:pPr>
        <w:spacing w:line="240" w:lineRule="auto"/>
        <w:jc w:val="both"/>
        <w:rPr>
          <w:color w:val="auto"/>
          <w:lang w:val="en-US"/>
        </w:rPr>
      </w:pPr>
      <w:r w:rsidRPr="006353B9">
        <w:rPr>
          <w:color w:val="auto"/>
          <w:lang w:val="en-US"/>
        </w:rPr>
        <w:lastRenderedPageBreak/>
        <w:t xml:space="preserve">The </w:t>
      </w:r>
      <w:r w:rsidRPr="006353B9">
        <w:rPr>
          <w:b/>
          <w:bCs/>
          <w:color w:val="auto"/>
          <w:lang w:val="en-US"/>
        </w:rPr>
        <w:t>Per Protocol population (PP)</w:t>
      </w:r>
      <w:r w:rsidRPr="006353B9">
        <w:rPr>
          <w:color w:val="auto"/>
          <w:lang w:val="en-US"/>
        </w:rPr>
        <w:t xml:space="preserve"> consisted of all patients from the FAS population</w:t>
      </w:r>
      <w:r w:rsidR="003511B7">
        <w:rPr>
          <w:color w:val="auto"/>
          <w:lang w:val="en-US"/>
        </w:rPr>
        <w:t xml:space="preserve"> </w:t>
      </w:r>
      <w:r w:rsidRPr="006353B9">
        <w:rPr>
          <w:color w:val="auto"/>
          <w:lang w:val="en-US"/>
        </w:rPr>
        <w:t>without any major protocol deviations who were evaluable for efficacy and completed a minimum exposure requirement. Patients were evaluable for efficacy if</w:t>
      </w:r>
      <w:r w:rsidR="003511B7">
        <w:rPr>
          <w:color w:val="auto"/>
          <w:lang w:val="en-US"/>
        </w:rPr>
        <w:t xml:space="preserve"> </w:t>
      </w:r>
      <w:r w:rsidRPr="006353B9">
        <w:rPr>
          <w:color w:val="auto"/>
          <w:lang w:val="en-US"/>
        </w:rPr>
        <w:t>they have a valid tumor assessment at 12 months unless they progressed or died earlier. The minimum exposure requirement was defined in general as having a relative dose intensity over the first month of treatment of at least 80%. The dose intensity</w:t>
      </w:r>
      <w:r w:rsidR="003511B7">
        <w:rPr>
          <w:color w:val="auto"/>
          <w:lang w:val="en-US"/>
        </w:rPr>
        <w:t xml:space="preserve"> </w:t>
      </w:r>
      <w:r w:rsidRPr="006353B9">
        <w:rPr>
          <w:color w:val="auto"/>
          <w:lang w:val="en-US"/>
        </w:rPr>
        <w:t>requirement applied to all compounds in the study treatment.</w:t>
      </w:r>
    </w:p>
    <w:p w:rsidR="00FB4EE7" w:rsidRDefault="00FB4EE7" w:rsidP="003B167F">
      <w:pPr>
        <w:spacing w:line="240" w:lineRule="auto"/>
        <w:jc w:val="both"/>
        <w:rPr>
          <w:color w:val="auto"/>
          <w:lang w:val="en-US"/>
        </w:rPr>
      </w:pPr>
    </w:p>
    <w:p w:rsidR="003B167F" w:rsidRPr="006353B9" w:rsidRDefault="003B167F" w:rsidP="003B167F">
      <w:pPr>
        <w:spacing w:line="240" w:lineRule="auto"/>
        <w:jc w:val="both"/>
        <w:rPr>
          <w:rFonts w:eastAsia="Times New Roman"/>
          <w:color w:val="auto"/>
          <w:lang w:val="en-US"/>
        </w:rPr>
      </w:pPr>
      <w:r w:rsidRPr="006353B9">
        <w:rPr>
          <w:color w:val="auto"/>
          <w:lang w:val="en-US"/>
        </w:rPr>
        <w:t xml:space="preserve">The </w:t>
      </w:r>
      <w:r w:rsidRPr="006353B9">
        <w:rPr>
          <w:b/>
          <w:bCs/>
          <w:color w:val="auto"/>
          <w:lang w:val="en-US"/>
        </w:rPr>
        <w:t xml:space="preserve">Safety population (SAF) </w:t>
      </w:r>
      <w:r w:rsidRPr="006353B9">
        <w:rPr>
          <w:color w:val="auto"/>
          <w:lang w:val="en-US"/>
        </w:rPr>
        <w:t>consisted of all patients who received at least one dose of study medication (i.e. one dose of any compound of the study treatment) and with a</w:t>
      </w:r>
      <w:r w:rsidR="003511B7">
        <w:rPr>
          <w:color w:val="auto"/>
          <w:lang w:val="en-US"/>
        </w:rPr>
        <w:t xml:space="preserve"> </w:t>
      </w:r>
      <w:r w:rsidRPr="006353B9">
        <w:rPr>
          <w:color w:val="auto"/>
          <w:lang w:val="en-US"/>
        </w:rPr>
        <w:t>valid post baseline safety assessment. Patients were analyzed according to the treatment received. Patients who received at least one dose of study drug but had no</w:t>
      </w:r>
      <w:r w:rsidR="003511B7">
        <w:rPr>
          <w:color w:val="auto"/>
          <w:lang w:val="en-US"/>
        </w:rPr>
        <w:t xml:space="preserve"> </w:t>
      </w:r>
      <w:r w:rsidRPr="006353B9">
        <w:rPr>
          <w:rFonts w:eastAsia="Times New Roman"/>
          <w:color w:val="auto"/>
          <w:lang w:val="en-US"/>
        </w:rPr>
        <w:t>post-treatment safety data of any kind were excluded from the safety population.</w:t>
      </w:r>
    </w:p>
    <w:p w:rsidR="003B167F" w:rsidRPr="006353B9" w:rsidRDefault="003B167F" w:rsidP="003B167F">
      <w:pPr>
        <w:spacing w:line="240" w:lineRule="auto"/>
        <w:jc w:val="both"/>
        <w:rPr>
          <w:rFonts w:eastAsia="Times New Roman"/>
          <w:color w:val="auto"/>
          <w:lang w:val="en-US"/>
        </w:rPr>
      </w:pPr>
    </w:p>
    <w:p w:rsidR="003B167F" w:rsidRPr="00B26B54" w:rsidRDefault="003B167F" w:rsidP="003B167F">
      <w:pPr>
        <w:spacing w:line="240" w:lineRule="auto"/>
        <w:jc w:val="both"/>
        <w:rPr>
          <w:color w:val="auto"/>
          <w:lang w:val="en-US"/>
        </w:rPr>
      </w:pPr>
      <w:r w:rsidRPr="00FB4EE7">
        <w:rPr>
          <w:i/>
          <w:iCs/>
          <w:color w:val="auto"/>
          <w:u w:val="single"/>
          <w:lang w:val="en-US"/>
        </w:rPr>
        <w:t>Primary Analysis</w:t>
      </w:r>
      <w:r w:rsidRPr="006353B9">
        <w:rPr>
          <w:i/>
          <w:iCs/>
          <w:color w:val="auto"/>
          <w:lang w:val="en-US"/>
        </w:rPr>
        <w:t>:</w:t>
      </w:r>
    </w:p>
    <w:p w:rsidR="003B167F" w:rsidRPr="006353B9" w:rsidRDefault="003B167F" w:rsidP="003B167F">
      <w:pPr>
        <w:spacing w:line="240" w:lineRule="auto"/>
        <w:jc w:val="both"/>
        <w:rPr>
          <w:color w:val="auto"/>
          <w:lang w:val="en-US"/>
        </w:rPr>
      </w:pPr>
      <w:r w:rsidRPr="006353B9">
        <w:rPr>
          <w:color w:val="auto"/>
          <w:lang w:val="en-US"/>
        </w:rPr>
        <w:t>No formal comparison was foreseen in this trial between investigational and control arm.</w:t>
      </w:r>
    </w:p>
    <w:p w:rsidR="003B167F" w:rsidRPr="006353B9" w:rsidRDefault="003B167F" w:rsidP="003B167F">
      <w:pPr>
        <w:spacing w:line="240" w:lineRule="auto"/>
        <w:jc w:val="both"/>
        <w:rPr>
          <w:color w:val="auto"/>
          <w:lang w:val="en-US"/>
        </w:rPr>
      </w:pPr>
      <w:r w:rsidRPr="006353B9">
        <w:rPr>
          <w:color w:val="auto"/>
          <w:lang w:val="en-US"/>
        </w:rPr>
        <w:t>The Simon’s design, employed only for the investigation drug, is a within arm design,</w:t>
      </w:r>
      <w:r w:rsidR="003511B7">
        <w:rPr>
          <w:color w:val="auto"/>
          <w:lang w:val="en-US"/>
        </w:rPr>
        <w:t xml:space="preserve"> </w:t>
      </w:r>
      <w:r w:rsidRPr="006353B9">
        <w:rPr>
          <w:color w:val="auto"/>
          <w:lang w:val="en-US"/>
        </w:rPr>
        <w:t>with the efficacy cut-off defined as at least 36 progression-free survival patients at 12</w:t>
      </w:r>
      <w:r w:rsidR="003511B7">
        <w:rPr>
          <w:color w:val="auto"/>
          <w:lang w:val="en-US"/>
        </w:rPr>
        <w:t xml:space="preserve"> </w:t>
      </w:r>
      <w:r w:rsidRPr="006353B9">
        <w:rPr>
          <w:color w:val="auto"/>
          <w:lang w:val="en-US"/>
        </w:rPr>
        <w:t>months out of 68 treated patients, to conclude in</w:t>
      </w:r>
      <w:r>
        <w:rPr>
          <w:color w:val="auto"/>
          <w:lang w:val="en-US"/>
        </w:rPr>
        <w:t xml:space="preserve"> favor of the drug. </w:t>
      </w:r>
      <w:r w:rsidRPr="006353B9">
        <w:rPr>
          <w:color w:val="auto"/>
          <w:lang w:val="en-US"/>
        </w:rPr>
        <w:t>For both arms PFS rated at 12 mont</w:t>
      </w:r>
      <w:r>
        <w:rPr>
          <w:color w:val="auto"/>
          <w:lang w:val="en-US"/>
        </w:rPr>
        <w:t xml:space="preserve">hs were presented with 95% CIs. </w:t>
      </w:r>
      <w:r w:rsidRPr="006353B9">
        <w:rPr>
          <w:color w:val="auto"/>
          <w:lang w:val="en-US"/>
        </w:rPr>
        <w:t>For exploratory purpose, the PFS rate obser</w:t>
      </w:r>
      <w:r>
        <w:rPr>
          <w:color w:val="auto"/>
          <w:lang w:val="en-US"/>
        </w:rPr>
        <w:t xml:space="preserve">ved in the experimental arm was </w:t>
      </w:r>
      <w:r w:rsidRPr="006353B9">
        <w:rPr>
          <w:color w:val="auto"/>
          <w:lang w:val="en-US"/>
        </w:rPr>
        <w:t>compared to the one of the standard arm by means of</w:t>
      </w:r>
      <w:r>
        <w:rPr>
          <w:color w:val="auto"/>
          <w:lang w:val="en-US"/>
        </w:rPr>
        <w:t xml:space="preserve"> a 2-sided chi-square test with </w:t>
      </w:r>
      <w:r w:rsidRPr="006353B9">
        <w:rPr>
          <w:color w:val="auto"/>
          <w:lang w:val="en-US"/>
        </w:rPr>
        <w:t>continuity correction, even though the study was not po</w:t>
      </w:r>
      <w:r>
        <w:rPr>
          <w:color w:val="auto"/>
          <w:lang w:val="en-US"/>
        </w:rPr>
        <w:t xml:space="preserve">wered to detect a statistically </w:t>
      </w:r>
      <w:r w:rsidRPr="006353B9">
        <w:rPr>
          <w:color w:val="auto"/>
          <w:lang w:val="en-US"/>
        </w:rPr>
        <w:t>significant difference between the 2 arms. In addition, the PFS of sequential arm versus PFS of the first line in control arm were analyzed and displayed graphically according to the Kaplan-Meier method. Estimated quartiles of PFS were provided</w:t>
      </w:r>
      <w:r>
        <w:rPr>
          <w:color w:val="auto"/>
          <w:lang w:val="en-US"/>
        </w:rPr>
        <w:t xml:space="preserve"> with 95% confidence intervals. </w:t>
      </w:r>
      <w:r w:rsidRPr="006353B9">
        <w:rPr>
          <w:color w:val="auto"/>
          <w:lang w:val="en-US"/>
        </w:rPr>
        <w:t>The primary analysis was performed in the FAS population. In addition, it was supposed to be repeated as supportive analysis, using the PP population.</w:t>
      </w:r>
    </w:p>
    <w:p w:rsidR="003B167F" w:rsidRPr="006353B9" w:rsidRDefault="003B167F" w:rsidP="003B167F">
      <w:pPr>
        <w:spacing w:line="240" w:lineRule="auto"/>
        <w:jc w:val="both"/>
        <w:rPr>
          <w:rFonts w:eastAsia="Times New Roman"/>
          <w:color w:val="auto"/>
          <w:lang w:val="en-US"/>
        </w:rPr>
      </w:pPr>
    </w:p>
    <w:p w:rsidR="003B167F" w:rsidRPr="00FB4EE7" w:rsidRDefault="003B167F" w:rsidP="003B167F">
      <w:pPr>
        <w:spacing w:line="240" w:lineRule="auto"/>
        <w:jc w:val="both"/>
        <w:rPr>
          <w:color w:val="auto"/>
          <w:u w:val="single"/>
          <w:lang w:val="en-US"/>
        </w:rPr>
      </w:pPr>
      <w:r w:rsidRPr="00FB4EE7">
        <w:rPr>
          <w:i/>
          <w:iCs/>
          <w:color w:val="auto"/>
          <w:u w:val="single"/>
          <w:lang w:val="en-US"/>
        </w:rPr>
        <w:t>Secondary analyses</w:t>
      </w:r>
    </w:p>
    <w:p w:rsidR="003B167F" w:rsidRPr="006353B9" w:rsidRDefault="003B167F" w:rsidP="003B167F">
      <w:pPr>
        <w:spacing w:line="240" w:lineRule="auto"/>
        <w:jc w:val="both"/>
        <w:rPr>
          <w:color w:val="auto"/>
          <w:lang w:val="en-US"/>
        </w:rPr>
      </w:pPr>
      <w:r w:rsidRPr="006353B9">
        <w:rPr>
          <w:color w:val="auto"/>
          <w:lang w:val="en-US"/>
        </w:rPr>
        <w:t xml:space="preserve">The </w:t>
      </w:r>
      <w:r w:rsidRPr="006353B9">
        <w:rPr>
          <w:color w:val="auto"/>
          <w:u w:val="single"/>
          <w:lang w:val="en-US"/>
        </w:rPr>
        <w:t>PFS of sequential arm versus PFS of the 2 lines in control</w:t>
      </w:r>
      <w:r w:rsidRPr="006353B9">
        <w:rPr>
          <w:color w:val="auto"/>
          <w:lang w:val="en-US"/>
        </w:rPr>
        <w:t xml:space="preserve"> arm were analyzed and</w:t>
      </w:r>
    </w:p>
    <w:p w:rsidR="003B167F" w:rsidRPr="006353B9" w:rsidRDefault="003B167F" w:rsidP="003B167F">
      <w:pPr>
        <w:spacing w:line="240" w:lineRule="auto"/>
        <w:jc w:val="both"/>
        <w:rPr>
          <w:color w:val="auto"/>
          <w:lang w:val="en-US"/>
        </w:rPr>
      </w:pPr>
      <w:r w:rsidRPr="006353B9">
        <w:rPr>
          <w:color w:val="auto"/>
          <w:lang w:val="en-US"/>
        </w:rPr>
        <w:t>displayed graphically according to the Kaplan-Meier method. Estimated quartiles of</w:t>
      </w:r>
      <w:r w:rsidR="003511B7">
        <w:rPr>
          <w:color w:val="auto"/>
          <w:lang w:val="en-US"/>
        </w:rPr>
        <w:t xml:space="preserve"> </w:t>
      </w:r>
      <w:r w:rsidRPr="006353B9">
        <w:rPr>
          <w:color w:val="auto"/>
          <w:lang w:val="en-US"/>
        </w:rPr>
        <w:t>PFS were provided with 95% confidence intervals.</w:t>
      </w:r>
    </w:p>
    <w:p w:rsidR="003B167F" w:rsidRPr="006353B9" w:rsidRDefault="003B167F" w:rsidP="003B167F">
      <w:pPr>
        <w:spacing w:line="240" w:lineRule="auto"/>
        <w:jc w:val="both"/>
        <w:rPr>
          <w:color w:val="auto"/>
          <w:lang w:val="en-US"/>
        </w:rPr>
      </w:pPr>
      <w:r w:rsidRPr="006353B9">
        <w:rPr>
          <w:color w:val="auto"/>
          <w:lang w:val="en-US"/>
        </w:rPr>
        <w:t>a. ORR per arm</w:t>
      </w:r>
      <w:r>
        <w:rPr>
          <w:color w:val="auto"/>
          <w:lang w:val="en-US"/>
        </w:rPr>
        <w:t xml:space="preserve">       </w:t>
      </w:r>
      <w:r>
        <w:rPr>
          <w:color w:val="auto"/>
          <w:lang w:val="en-US"/>
        </w:rPr>
        <w:tab/>
      </w:r>
      <w:r w:rsidRPr="006353B9">
        <w:rPr>
          <w:color w:val="auto"/>
          <w:lang w:val="en-US"/>
        </w:rPr>
        <w:t>b. OS</w:t>
      </w:r>
    </w:p>
    <w:p w:rsidR="003B167F" w:rsidRPr="006353B9" w:rsidRDefault="003B167F" w:rsidP="003B167F">
      <w:pPr>
        <w:spacing w:line="240" w:lineRule="auto"/>
        <w:jc w:val="both"/>
        <w:rPr>
          <w:rFonts w:eastAsia="Times New Roman"/>
          <w:color w:val="auto"/>
          <w:lang w:val="en-US"/>
        </w:rPr>
      </w:pPr>
    </w:p>
    <w:p w:rsidR="003B167F" w:rsidRDefault="003B167F" w:rsidP="003B167F">
      <w:pPr>
        <w:spacing w:line="240" w:lineRule="auto"/>
        <w:jc w:val="both"/>
        <w:rPr>
          <w:color w:val="auto"/>
          <w:lang w:val="en-US"/>
        </w:rPr>
      </w:pPr>
      <w:r w:rsidRPr="006353B9">
        <w:rPr>
          <w:color w:val="auto"/>
          <w:lang w:val="en-US"/>
        </w:rPr>
        <w:t xml:space="preserve">The </w:t>
      </w:r>
      <w:r w:rsidRPr="006353B9">
        <w:rPr>
          <w:i/>
          <w:iCs/>
          <w:color w:val="auto"/>
          <w:u w:val="single"/>
          <w:lang w:val="en-US"/>
        </w:rPr>
        <w:t>ORR (CR+PR)</w:t>
      </w:r>
      <w:r w:rsidRPr="006353B9">
        <w:rPr>
          <w:color w:val="auto"/>
          <w:lang w:val="en-US"/>
        </w:rPr>
        <w:t xml:space="preserve"> were summarized in terms of percentage rates with 95% confidence intervals for each treatment group.</w:t>
      </w:r>
    </w:p>
    <w:p w:rsidR="003511B7" w:rsidRPr="006353B9" w:rsidRDefault="003511B7" w:rsidP="003B167F">
      <w:pPr>
        <w:spacing w:line="240" w:lineRule="auto"/>
        <w:jc w:val="both"/>
        <w:rPr>
          <w:color w:val="auto"/>
          <w:lang w:val="en-US"/>
        </w:rPr>
      </w:pPr>
    </w:p>
    <w:p w:rsidR="003B167F" w:rsidRPr="006353B9" w:rsidRDefault="003B167F" w:rsidP="003B167F">
      <w:pPr>
        <w:spacing w:line="240" w:lineRule="auto"/>
        <w:jc w:val="both"/>
        <w:rPr>
          <w:color w:val="auto"/>
          <w:lang w:val="en-US"/>
        </w:rPr>
      </w:pPr>
      <w:r w:rsidRPr="006353B9">
        <w:rPr>
          <w:color w:val="auto"/>
          <w:lang w:val="en-US"/>
        </w:rPr>
        <w:t xml:space="preserve">The duration of </w:t>
      </w:r>
      <w:r w:rsidRPr="006353B9">
        <w:rPr>
          <w:i/>
          <w:iCs/>
          <w:color w:val="auto"/>
          <w:u w:val="single"/>
          <w:lang w:val="en-US"/>
        </w:rPr>
        <w:t xml:space="preserve">ORR (CR or PR) </w:t>
      </w:r>
      <w:r w:rsidRPr="006353B9">
        <w:rPr>
          <w:color w:val="auto"/>
          <w:lang w:val="en-US"/>
        </w:rPr>
        <w:t>were also be calculated by treatment group. It was</w:t>
      </w:r>
      <w:r w:rsidR="00FB4EE7">
        <w:rPr>
          <w:color w:val="auto"/>
          <w:lang w:val="en-US"/>
        </w:rPr>
        <w:t xml:space="preserve"> </w:t>
      </w:r>
      <w:r w:rsidRPr="006353B9">
        <w:rPr>
          <w:color w:val="auto"/>
          <w:lang w:val="en-US"/>
        </w:rPr>
        <w:t>defined as the time from the date of the first objective tumor response (provided that the</w:t>
      </w:r>
      <w:r w:rsidR="00FB4EE7">
        <w:rPr>
          <w:color w:val="auto"/>
          <w:lang w:val="en-US"/>
        </w:rPr>
        <w:t xml:space="preserve"> </w:t>
      </w:r>
      <w:r w:rsidRPr="006353B9">
        <w:rPr>
          <w:color w:val="auto"/>
          <w:lang w:val="en-US"/>
        </w:rPr>
        <w:t>response is confirmed in a second assessment at least 4 weeks apart) to the date of</w:t>
      </w:r>
      <w:r w:rsidR="00FB4EE7">
        <w:rPr>
          <w:color w:val="auto"/>
          <w:lang w:val="en-US"/>
        </w:rPr>
        <w:t xml:space="preserve"> </w:t>
      </w:r>
      <w:r w:rsidRPr="006353B9">
        <w:rPr>
          <w:color w:val="auto"/>
          <w:lang w:val="en-US"/>
        </w:rPr>
        <w:t>progression or the start date of other cancer the</w:t>
      </w:r>
      <w:r>
        <w:rPr>
          <w:color w:val="auto"/>
          <w:lang w:val="en-US"/>
        </w:rPr>
        <w:t xml:space="preserve">rapy or death due to any cause, </w:t>
      </w:r>
      <w:r w:rsidRPr="006353B9">
        <w:rPr>
          <w:color w:val="auto"/>
          <w:lang w:val="en-US"/>
        </w:rPr>
        <w:t>whichever comes first. If a patient did not have any of these events, duratio</w:t>
      </w:r>
      <w:r>
        <w:rPr>
          <w:color w:val="auto"/>
          <w:lang w:val="en-US"/>
        </w:rPr>
        <w:t xml:space="preserve">n of </w:t>
      </w:r>
      <w:r w:rsidRPr="006353B9">
        <w:rPr>
          <w:color w:val="auto"/>
          <w:lang w:val="en-US"/>
        </w:rPr>
        <w:t>overall response was censored at the date of las</w:t>
      </w:r>
      <w:r>
        <w:rPr>
          <w:color w:val="auto"/>
          <w:lang w:val="en-US"/>
        </w:rPr>
        <w:t xml:space="preserve">t adequate tumor assessment. It </w:t>
      </w:r>
      <w:r w:rsidRPr="006353B9">
        <w:rPr>
          <w:color w:val="auto"/>
          <w:lang w:val="en-US"/>
        </w:rPr>
        <w:t>applied only to patients whose best overall response was CR or PR.</w:t>
      </w:r>
    </w:p>
    <w:p w:rsidR="00FB4EE7" w:rsidRDefault="00FB4EE7" w:rsidP="003B167F">
      <w:pPr>
        <w:spacing w:line="240" w:lineRule="auto"/>
        <w:jc w:val="both"/>
        <w:rPr>
          <w:color w:val="auto"/>
          <w:lang w:val="en-US"/>
        </w:rPr>
      </w:pPr>
    </w:p>
    <w:p w:rsidR="003B167F" w:rsidRPr="006353B9" w:rsidRDefault="003B167F" w:rsidP="003B167F">
      <w:pPr>
        <w:spacing w:line="240" w:lineRule="auto"/>
        <w:jc w:val="both"/>
        <w:rPr>
          <w:color w:val="auto"/>
          <w:lang w:val="en-US"/>
        </w:rPr>
      </w:pPr>
      <w:r w:rsidRPr="006353B9">
        <w:rPr>
          <w:color w:val="auto"/>
          <w:lang w:val="en-US"/>
        </w:rPr>
        <w:lastRenderedPageBreak/>
        <w:t xml:space="preserve">The </w:t>
      </w:r>
      <w:r w:rsidRPr="006353B9">
        <w:rPr>
          <w:i/>
          <w:iCs/>
          <w:color w:val="auto"/>
          <w:u w:val="single"/>
          <w:lang w:val="en-US"/>
        </w:rPr>
        <w:t>OS</w:t>
      </w:r>
      <w:r w:rsidRPr="006353B9">
        <w:rPr>
          <w:color w:val="auto"/>
          <w:lang w:val="en-US"/>
        </w:rPr>
        <w:t xml:space="preserve"> was defined as the time from the date of treatment start to the date of death. For</w:t>
      </w:r>
      <w:r>
        <w:rPr>
          <w:color w:val="auto"/>
          <w:lang w:val="en-US"/>
        </w:rPr>
        <w:t xml:space="preserve"> </w:t>
      </w:r>
      <w:r w:rsidRPr="006353B9">
        <w:rPr>
          <w:color w:val="auto"/>
          <w:lang w:val="en-US"/>
        </w:rPr>
        <w:t>patients who were alive at the time of discontinuation of the study, the overall survival was</w:t>
      </w:r>
      <w:r>
        <w:rPr>
          <w:color w:val="auto"/>
          <w:lang w:val="en-US"/>
        </w:rPr>
        <w:t xml:space="preserve"> </w:t>
      </w:r>
      <w:r w:rsidRPr="006353B9">
        <w:rPr>
          <w:color w:val="auto"/>
          <w:lang w:val="en-US"/>
        </w:rPr>
        <w:t>censored at the date of last contact.</w:t>
      </w:r>
    </w:p>
    <w:p w:rsidR="003B167F" w:rsidRPr="006353B9" w:rsidRDefault="003B167F" w:rsidP="003B167F">
      <w:pPr>
        <w:spacing w:line="240" w:lineRule="auto"/>
        <w:jc w:val="both"/>
        <w:rPr>
          <w:rFonts w:eastAsia="Times New Roman"/>
          <w:color w:val="auto"/>
          <w:lang w:val="en-US"/>
        </w:rPr>
      </w:pPr>
    </w:p>
    <w:p w:rsidR="003B167F" w:rsidRPr="006353B9" w:rsidRDefault="003B167F" w:rsidP="003B167F">
      <w:pPr>
        <w:spacing w:line="240" w:lineRule="auto"/>
        <w:jc w:val="both"/>
        <w:rPr>
          <w:color w:val="auto"/>
          <w:lang w:val="en-US"/>
        </w:rPr>
      </w:pPr>
      <w:r w:rsidRPr="006353B9">
        <w:rPr>
          <w:color w:val="auto"/>
          <w:lang w:val="en-US"/>
        </w:rPr>
        <w:t xml:space="preserve">The analyses of all </w:t>
      </w:r>
      <w:r w:rsidRPr="006353B9">
        <w:rPr>
          <w:i/>
          <w:iCs/>
          <w:color w:val="auto"/>
          <w:u w:val="single"/>
          <w:lang w:val="en-US"/>
        </w:rPr>
        <w:t>secondary efficacy endpoints</w:t>
      </w:r>
      <w:r w:rsidRPr="006353B9">
        <w:rPr>
          <w:color w:val="auto"/>
          <w:lang w:val="en-US"/>
        </w:rPr>
        <w:t xml:space="preserve"> were performed in the FAS population.</w:t>
      </w:r>
    </w:p>
    <w:p w:rsidR="003B167F" w:rsidRDefault="003B167F" w:rsidP="003B167F">
      <w:pPr>
        <w:spacing w:line="240" w:lineRule="auto"/>
        <w:jc w:val="both"/>
        <w:rPr>
          <w:color w:val="auto"/>
          <w:lang w:val="en-US"/>
        </w:rPr>
      </w:pPr>
      <w:r w:rsidRPr="006353B9">
        <w:rPr>
          <w:color w:val="auto"/>
          <w:lang w:val="en-US"/>
        </w:rPr>
        <w:t>Supportive secondary analyses were performed on all available events as per local review.</w:t>
      </w:r>
    </w:p>
    <w:p w:rsidR="003511B7" w:rsidRDefault="003511B7" w:rsidP="003511B7">
      <w:pPr>
        <w:pStyle w:val="Heading3"/>
      </w:pPr>
      <w:bookmarkStart w:id="36" w:name="_Toc501022045"/>
      <w:r>
        <w:t>Determination of Sample Size</w:t>
      </w:r>
      <w:bookmarkEnd w:id="36"/>
    </w:p>
    <w:p w:rsidR="003B167F" w:rsidRPr="006353B9" w:rsidRDefault="003B167F" w:rsidP="003511B7">
      <w:pPr>
        <w:spacing w:line="240" w:lineRule="auto"/>
        <w:rPr>
          <w:color w:val="auto"/>
          <w:lang w:val="en-US"/>
        </w:rPr>
      </w:pPr>
      <w:r w:rsidRPr="006353B9">
        <w:rPr>
          <w:color w:val="auto"/>
          <w:lang w:val="en-US"/>
        </w:rPr>
        <w:t>It was considered to include an interim analysis, usi</w:t>
      </w:r>
      <w:r>
        <w:rPr>
          <w:color w:val="auto"/>
          <w:lang w:val="en-US"/>
        </w:rPr>
        <w:t xml:space="preserve">ng the Simon two-step procedure </w:t>
      </w:r>
      <w:r w:rsidRPr="006353B9">
        <w:rPr>
          <w:color w:val="auto"/>
          <w:lang w:val="en-US"/>
        </w:rPr>
        <w:t>instead of the current one-stage Fleming procedure, with the same statistical assumptions:</w:t>
      </w:r>
    </w:p>
    <w:p w:rsidR="003B167F" w:rsidRPr="006353B9" w:rsidRDefault="003B167F" w:rsidP="003B167F">
      <w:pPr>
        <w:spacing w:line="240" w:lineRule="auto"/>
        <w:jc w:val="both"/>
        <w:rPr>
          <w:color w:val="auto"/>
          <w:lang w:val="en-US"/>
        </w:rPr>
      </w:pPr>
    </w:p>
    <w:p w:rsidR="003B167F" w:rsidRPr="006353B9" w:rsidRDefault="003B167F" w:rsidP="003B167F">
      <w:pPr>
        <w:spacing w:line="240" w:lineRule="auto"/>
        <w:jc w:val="both"/>
        <w:rPr>
          <w:rFonts w:eastAsia="Times New Roman"/>
          <w:color w:val="auto"/>
          <w:lang w:val="en-US"/>
        </w:rPr>
      </w:pPr>
      <w:r>
        <w:rPr>
          <w:rFonts w:eastAsia="Times New Roman"/>
          <w:color w:val="auto"/>
          <w:lang w:val="en-US"/>
        </w:rPr>
        <w:t>Table 2. Study sample size</w:t>
      </w:r>
    </w:p>
    <w:tbl>
      <w:tblPr>
        <w:tblW w:w="8495" w:type="dxa"/>
        <w:tblCellMar>
          <w:top w:w="15" w:type="dxa"/>
          <w:left w:w="15" w:type="dxa"/>
          <w:bottom w:w="15" w:type="dxa"/>
          <w:right w:w="15" w:type="dxa"/>
        </w:tblCellMar>
        <w:tblLook w:val="04A0" w:firstRow="1" w:lastRow="0" w:firstColumn="1" w:lastColumn="0" w:noHBand="0" w:noVBand="1"/>
      </w:tblPr>
      <w:tblGrid>
        <w:gridCol w:w="6673"/>
        <w:gridCol w:w="1822"/>
      </w:tblGrid>
      <w:tr w:rsidR="003B167F" w:rsidRPr="006353B9" w:rsidTr="003511B7">
        <w:tc>
          <w:tcPr>
            <w:tcW w:w="66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Simon Two Stage Design</w:t>
            </w:r>
          </w:p>
        </w:tc>
        <w:tc>
          <w:tcPr>
            <w:tcW w:w="18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proofErr w:type="spellStart"/>
            <w:r w:rsidRPr="006353B9">
              <w:rPr>
                <w:i/>
                <w:iCs/>
                <w:color w:val="auto"/>
                <w:lang w:val="en-US"/>
              </w:rPr>
              <w:t>MinMax</w:t>
            </w:r>
            <w:proofErr w:type="spellEnd"/>
            <w:r w:rsidRPr="006353B9">
              <w:rPr>
                <w:i/>
                <w:iCs/>
                <w:color w:val="auto"/>
                <w:lang w:val="en-US"/>
              </w:rPr>
              <w:t xml:space="preserve"> Design</w:t>
            </w:r>
          </w:p>
        </w:tc>
      </w:tr>
      <w:tr w:rsidR="003B167F" w:rsidRPr="006353B9" w:rsidTr="003511B7">
        <w:trPr>
          <w:trHeight w:val="428"/>
        </w:trPr>
        <w:tc>
          <w:tcPr>
            <w:tcW w:w="66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First Stage Sample Size (n1)</w:t>
            </w:r>
          </w:p>
        </w:tc>
        <w:tc>
          <w:tcPr>
            <w:tcW w:w="18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38</w:t>
            </w:r>
          </w:p>
        </w:tc>
      </w:tr>
      <w:tr w:rsidR="003B167F" w:rsidRPr="006353B9" w:rsidTr="003511B7">
        <w:tc>
          <w:tcPr>
            <w:tcW w:w="66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i/>
                <w:iCs/>
                <w:color w:val="auto"/>
                <w:lang w:val="en-US"/>
              </w:rPr>
            </w:pPr>
            <w:r w:rsidRPr="006353B9">
              <w:rPr>
                <w:i/>
                <w:iCs/>
                <w:color w:val="auto"/>
                <w:lang w:val="en-US"/>
              </w:rPr>
              <w:t xml:space="preserve">Upper Limit For 1st </w:t>
            </w:r>
          </w:p>
          <w:p w:rsidR="003B167F" w:rsidRPr="006353B9" w:rsidRDefault="003B167F" w:rsidP="009A2182">
            <w:pPr>
              <w:spacing w:line="0" w:lineRule="atLeast"/>
              <w:jc w:val="both"/>
              <w:rPr>
                <w:color w:val="auto"/>
                <w:lang w:val="en-US"/>
              </w:rPr>
            </w:pPr>
            <w:r w:rsidRPr="006353B9">
              <w:rPr>
                <w:i/>
                <w:iCs/>
                <w:color w:val="auto"/>
                <w:lang w:val="en-US"/>
              </w:rPr>
              <w:t>Stage Rejection of Drug (r1)</w:t>
            </w:r>
          </w:p>
        </w:tc>
        <w:tc>
          <w:tcPr>
            <w:tcW w:w="18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16</w:t>
            </w:r>
          </w:p>
        </w:tc>
      </w:tr>
      <w:tr w:rsidR="003B167F" w:rsidRPr="006353B9" w:rsidTr="003511B7">
        <w:tc>
          <w:tcPr>
            <w:tcW w:w="66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Maximum Sample Size (n)</w:t>
            </w:r>
          </w:p>
        </w:tc>
        <w:tc>
          <w:tcPr>
            <w:tcW w:w="18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68</w:t>
            </w:r>
          </w:p>
        </w:tc>
      </w:tr>
    </w:tbl>
    <w:p w:rsidR="003B167F" w:rsidRPr="006353B9" w:rsidRDefault="003B167F" w:rsidP="003B167F">
      <w:pPr>
        <w:spacing w:line="240" w:lineRule="auto"/>
        <w:jc w:val="both"/>
        <w:rPr>
          <w:rFonts w:eastAsia="Times New Roman"/>
          <w:color w:val="auto"/>
          <w:lang w:val="en-US"/>
        </w:rPr>
      </w:pPr>
    </w:p>
    <w:tbl>
      <w:tblPr>
        <w:tblW w:w="8495" w:type="dxa"/>
        <w:tblCellMar>
          <w:top w:w="15" w:type="dxa"/>
          <w:left w:w="15" w:type="dxa"/>
          <w:bottom w:w="15" w:type="dxa"/>
          <w:right w:w="15" w:type="dxa"/>
        </w:tblCellMar>
        <w:tblLook w:val="04A0" w:firstRow="1" w:lastRow="0" w:firstColumn="1" w:lastColumn="0" w:noHBand="0" w:noVBand="1"/>
      </w:tblPr>
      <w:tblGrid>
        <w:gridCol w:w="6621"/>
        <w:gridCol w:w="1874"/>
      </w:tblGrid>
      <w:tr w:rsidR="003B167F" w:rsidRPr="006353B9" w:rsidTr="003511B7">
        <w:trPr>
          <w:trHeight w:val="630"/>
        </w:trPr>
        <w:tc>
          <w:tcPr>
            <w:tcW w:w="6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240" w:lineRule="auto"/>
              <w:jc w:val="both"/>
              <w:rPr>
                <w:color w:val="auto"/>
                <w:lang w:val="en-US"/>
              </w:rPr>
            </w:pPr>
            <w:r w:rsidRPr="006353B9">
              <w:rPr>
                <w:i/>
                <w:iCs/>
                <w:color w:val="auto"/>
                <w:lang w:val="en-US"/>
              </w:rPr>
              <w:t>Upper Limit for 2nd Stage Rejection of Drug (r)</w:t>
            </w:r>
          </w:p>
        </w:tc>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240" w:lineRule="auto"/>
              <w:jc w:val="both"/>
              <w:rPr>
                <w:color w:val="auto"/>
                <w:lang w:val="en-US"/>
              </w:rPr>
            </w:pPr>
            <w:r w:rsidRPr="006353B9">
              <w:rPr>
                <w:i/>
                <w:iCs/>
                <w:color w:val="auto"/>
                <w:lang w:val="en-US"/>
              </w:rPr>
              <w:t>36</w:t>
            </w:r>
          </w:p>
        </w:tc>
      </w:tr>
      <w:tr w:rsidR="003B167F" w:rsidRPr="006353B9" w:rsidTr="003511B7">
        <w:tc>
          <w:tcPr>
            <w:tcW w:w="6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Expected Sample Size If Response Probability = P0</w:t>
            </w:r>
          </w:p>
        </w:tc>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52.76</w:t>
            </w:r>
          </w:p>
        </w:tc>
      </w:tr>
      <w:tr w:rsidR="003B167F" w:rsidRPr="006353B9" w:rsidTr="003511B7">
        <w:tc>
          <w:tcPr>
            <w:tcW w:w="6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Probability of Early Termination at P0</w:t>
            </w:r>
          </w:p>
        </w:tc>
        <w:tc>
          <w:tcPr>
            <w:tcW w:w="18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B167F" w:rsidRPr="006353B9" w:rsidRDefault="003B167F" w:rsidP="009A2182">
            <w:pPr>
              <w:spacing w:line="0" w:lineRule="atLeast"/>
              <w:jc w:val="both"/>
              <w:rPr>
                <w:color w:val="auto"/>
                <w:lang w:val="en-US"/>
              </w:rPr>
            </w:pPr>
            <w:r w:rsidRPr="006353B9">
              <w:rPr>
                <w:i/>
                <w:iCs/>
                <w:color w:val="auto"/>
                <w:lang w:val="en-US"/>
              </w:rPr>
              <w:t>0.52</w:t>
            </w:r>
          </w:p>
        </w:tc>
      </w:tr>
    </w:tbl>
    <w:p w:rsidR="003B167F" w:rsidRPr="006353B9" w:rsidRDefault="003B167F" w:rsidP="003B167F">
      <w:pPr>
        <w:spacing w:line="240" w:lineRule="auto"/>
        <w:jc w:val="both"/>
        <w:rPr>
          <w:color w:val="auto"/>
          <w:lang w:val="en-US"/>
        </w:rPr>
      </w:pPr>
      <w:r w:rsidRPr="006353B9">
        <w:rPr>
          <w:color w:val="auto"/>
          <w:lang w:val="en-US"/>
        </w:rPr>
        <w:t xml:space="preserve">A Simon's </w:t>
      </w:r>
      <w:proofErr w:type="spellStart"/>
      <w:r w:rsidRPr="006353B9">
        <w:rPr>
          <w:color w:val="auto"/>
          <w:lang w:val="en-US"/>
        </w:rPr>
        <w:t>MinMax</w:t>
      </w:r>
      <w:proofErr w:type="spellEnd"/>
      <w:r w:rsidRPr="006353B9">
        <w:rPr>
          <w:color w:val="auto"/>
          <w:lang w:val="en-US"/>
        </w:rPr>
        <w:t xml:space="preserve"> two-stage design was used to te</w:t>
      </w:r>
      <w:r>
        <w:rPr>
          <w:color w:val="auto"/>
          <w:lang w:val="en-US"/>
        </w:rPr>
        <w:t xml:space="preserve">st the null hypothesis that the </w:t>
      </w:r>
      <w:r w:rsidRPr="006353B9">
        <w:rPr>
          <w:color w:val="auto"/>
          <w:lang w:val="en-US"/>
        </w:rPr>
        <w:t xml:space="preserve">true overall Progression Free </w:t>
      </w:r>
      <w:r w:rsidR="003511B7" w:rsidRPr="006353B9">
        <w:rPr>
          <w:color w:val="auto"/>
          <w:lang w:val="en-US"/>
        </w:rPr>
        <w:t>Survival</w:t>
      </w:r>
      <w:r w:rsidRPr="006353B9">
        <w:rPr>
          <w:color w:val="auto"/>
          <w:lang w:val="en-US"/>
        </w:rPr>
        <w:t xml:space="preserve"> Rate (PF</w:t>
      </w:r>
      <w:r w:rsidR="002D7CC3">
        <w:rPr>
          <w:color w:val="auto"/>
          <w:lang w:val="en-US"/>
        </w:rPr>
        <w:t>S</w:t>
      </w:r>
      <w:r w:rsidRPr="006353B9">
        <w:rPr>
          <w:color w:val="auto"/>
          <w:lang w:val="en-US"/>
        </w:rPr>
        <w:t>R) at 1 year will be ≤ 43%, equivalent to</w:t>
      </w:r>
      <w:r>
        <w:rPr>
          <w:color w:val="auto"/>
          <w:lang w:val="en-US"/>
        </w:rPr>
        <w:t xml:space="preserve"> </w:t>
      </w:r>
      <w:r w:rsidRPr="006353B9">
        <w:rPr>
          <w:color w:val="auto"/>
          <w:lang w:val="en-US"/>
        </w:rPr>
        <w:t>a PFS median of 10 months (which would not be clinic</w:t>
      </w:r>
      <w:r>
        <w:rPr>
          <w:color w:val="auto"/>
          <w:lang w:val="en-US"/>
        </w:rPr>
        <w:t xml:space="preserve">ally meaningful), as opposed to </w:t>
      </w:r>
      <w:r w:rsidRPr="006353B9">
        <w:rPr>
          <w:color w:val="auto"/>
          <w:lang w:val="en-US"/>
        </w:rPr>
        <w:t xml:space="preserve">the alternative hypothesis that true overall Progression Free </w:t>
      </w:r>
      <w:r w:rsidR="00363712" w:rsidRPr="006353B9">
        <w:rPr>
          <w:color w:val="auto"/>
          <w:lang w:val="en-US"/>
        </w:rPr>
        <w:t>Survival</w:t>
      </w:r>
      <w:r w:rsidRPr="006353B9">
        <w:rPr>
          <w:color w:val="auto"/>
          <w:lang w:val="en-US"/>
        </w:rPr>
        <w:t xml:space="preserve"> Rate (PFR) a</w:t>
      </w:r>
      <w:r>
        <w:rPr>
          <w:color w:val="auto"/>
          <w:lang w:val="en-US"/>
        </w:rPr>
        <w:t xml:space="preserve">t 1 </w:t>
      </w:r>
      <w:r w:rsidRPr="006353B9">
        <w:rPr>
          <w:color w:val="auto"/>
          <w:lang w:val="en-US"/>
        </w:rPr>
        <w:t>year will be ≥ 58%, equivalent to a median PFS o</w:t>
      </w:r>
      <w:r>
        <w:rPr>
          <w:color w:val="auto"/>
          <w:lang w:val="en-US"/>
        </w:rPr>
        <w:t xml:space="preserve">f 15 months. Up to 38 evaluable </w:t>
      </w:r>
      <w:r w:rsidRPr="006353B9">
        <w:rPr>
          <w:color w:val="auto"/>
          <w:lang w:val="en-US"/>
        </w:rPr>
        <w:t>patients in the experimental arm were planned to as</w:t>
      </w:r>
      <w:r>
        <w:rPr>
          <w:color w:val="auto"/>
          <w:lang w:val="en-US"/>
        </w:rPr>
        <w:t xml:space="preserve">sess the PFR at 1 year with 80% </w:t>
      </w:r>
      <w:r w:rsidRPr="006353B9">
        <w:rPr>
          <w:color w:val="auto"/>
          <w:lang w:val="en-US"/>
        </w:rPr>
        <w:t>power and α=0.05. The study was conducted in tw</w:t>
      </w:r>
      <w:r>
        <w:rPr>
          <w:color w:val="auto"/>
          <w:lang w:val="en-US"/>
        </w:rPr>
        <w:t xml:space="preserve">o successive steps according to </w:t>
      </w:r>
      <w:r w:rsidRPr="006353B9">
        <w:rPr>
          <w:color w:val="auto"/>
          <w:lang w:val="en-US"/>
        </w:rPr>
        <w:t>Simon’s two-stage design</w:t>
      </w:r>
      <w:r>
        <w:rPr>
          <w:color w:val="auto"/>
          <w:lang w:val="en-US"/>
        </w:rPr>
        <w:t>.</w:t>
      </w:r>
    </w:p>
    <w:p w:rsidR="003B167F" w:rsidRPr="006353B9" w:rsidRDefault="003B167F" w:rsidP="003B167F">
      <w:pPr>
        <w:spacing w:line="240" w:lineRule="auto"/>
        <w:jc w:val="both"/>
        <w:rPr>
          <w:rFonts w:eastAsia="Times New Roman"/>
          <w:color w:val="auto"/>
          <w:lang w:val="en-US"/>
        </w:rPr>
      </w:pPr>
    </w:p>
    <w:p w:rsidR="003B167F" w:rsidRDefault="003B167F" w:rsidP="003B167F">
      <w:pPr>
        <w:spacing w:line="240" w:lineRule="auto"/>
        <w:jc w:val="both"/>
        <w:rPr>
          <w:color w:val="auto"/>
          <w:lang w:val="en-US"/>
        </w:rPr>
      </w:pPr>
      <w:r w:rsidRPr="006353B9">
        <w:rPr>
          <w:color w:val="auto"/>
          <w:lang w:val="en-US"/>
        </w:rPr>
        <w:t xml:space="preserve">To control whether the initial assumption of </w:t>
      </w:r>
      <w:r>
        <w:rPr>
          <w:color w:val="auto"/>
          <w:lang w:val="en-US"/>
        </w:rPr>
        <w:t xml:space="preserve">a PFS of 10 months (PFR induced </w:t>
      </w:r>
      <w:r w:rsidRPr="006353B9">
        <w:rPr>
          <w:color w:val="auto"/>
          <w:lang w:val="en-US"/>
        </w:rPr>
        <w:t>by the standard arm (</w:t>
      </w:r>
      <w:proofErr w:type="spellStart"/>
      <w:r w:rsidRPr="006353B9">
        <w:rPr>
          <w:color w:val="auto"/>
          <w:lang w:val="en-US"/>
        </w:rPr>
        <w:t>sunitinib</w:t>
      </w:r>
      <w:proofErr w:type="spellEnd"/>
      <w:r w:rsidRPr="006353B9">
        <w:rPr>
          <w:color w:val="auto"/>
          <w:lang w:val="en-US"/>
        </w:rPr>
        <w:t>) applies to the populati</w:t>
      </w:r>
      <w:r>
        <w:rPr>
          <w:color w:val="auto"/>
          <w:lang w:val="en-US"/>
        </w:rPr>
        <w:t xml:space="preserve">on included in this study, this </w:t>
      </w:r>
      <w:r w:rsidRPr="006353B9">
        <w:rPr>
          <w:color w:val="auto"/>
          <w:lang w:val="en-US"/>
        </w:rPr>
        <w:t>study was conducted in a randomized setting with an aim of allocati</w:t>
      </w:r>
      <w:r>
        <w:rPr>
          <w:color w:val="auto"/>
          <w:lang w:val="en-US"/>
        </w:rPr>
        <w:t xml:space="preserve">ng 68 patients to the </w:t>
      </w:r>
      <w:r w:rsidRPr="006353B9">
        <w:rPr>
          <w:color w:val="auto"/>
          <w:lang w:val="en-US"/>
        </w:rPr>
        <w:t>investigational arm and 34 patients in the control ar</w:t>
      </w:r>
      <w:r>
        <w:rPr>
          <w:color w:val="auto"/>
          <w:lang w:val="en-US"/>
        </w:rPr>
        <w:t xml:space="preserve">m (allocation ratio= 2:1). This </w:t>
      </w:r>
      <w:r w:rsidRPr="006353B9">
        <w:rPr>
          <w:color w:val="auto"/>
          <w:lang w:val="en-US"/>
        </w:rPr>
        <w:t>control arm was further help</w:t>
      </w:r>
      <w:r w:rsidR="003511B7">
        <w:rPr>
          <w:color w:val="auto"/>
          <w:lang w:val="en-US"/>
        </w:rPr>
        <w:t>ed</w:t>
      </w:r>
      <w:r w:rsidRPr="006353B9">
        <w:rPr>
          <w:color w:val="auto"/>
          <w:lang w:val="en-US"/>
        </w:rPr>
        <w:t xml:space="preserve"> to compare safety and toxicity</w:t>
      </w:r>
      <w:r>
        <w:rPr>
          <w:color w:val="auto"/>
          <w:lang w:val="en-US"/>
        </w:rPr>
        <w:t xml:space="preserve"> profiles. No formal design was </w:t>
      </w:r>
      <w:r w:rsidRPr="006353B9">
        <w:rPr>
          <w:color w:val="auto"/>
          <w:lang w:val="en-US"/>
        </w:rPr>
        <w:t>employed for the standard arm; it acted as control especia</w:t>
      </w:r>
      <w:r>
        <w:rPr>
          <w:color w:val="auto"/>
          <w:lang w:val="en-US"/>
        </w:rPr>
        <w:t xml:space="preserve">lly </w:t>
      </w:r>
      <w:r w:rsidRPr="006353B9">
        <w:rPr>
          <w:color w:val="auto"/>
          <w:lang w:val="en-US"/>
        </w:rPr>
        <w:t xml:space="preserve">in case of poor response for the investigational drug, to </w:t>
      </w:r>
      <w:r>
        <w:rPr>
          <w:color w:val="auto"/>
          <w:lang w:val="en-US"/>
        </w:rPr>
        <w:t xml:space="preserve">ascertain the possible presence </w:t>
      </w:r>
      <w:r w:rsidRPr="006353B9">
        <w:rPr>
          <w:color w:val="auto"/>
          <w:lang w:val="en-US"/>
        </w:rPr>
        <w:t xml:space="preserve">of selection bias in the patient </w:t>
      </w:r>
      <w:r w:rsidRPr="006353B9">
        <w:rPr>
          <w:color w:val="auto"/>
          <w:lang w:val="en-US"/>
        </w:rPr>
        <w:lastRenderedPageBreak/>
        <w:t>population. This was supposed to be th</w:t>
      </w:r>
      <w:r>
        <w:rPr>
          <w:color w:val="auto"/>
          <w:lang w:val="en-US"/>
        </w:rPr>
        <w:t xml:space="preserve">e case if the response rate for </w:t>
      </w:r>
      <w:r w:rsidRPr="006353B9">
        <w:rPr>
          <w:color w:val="auto"/>
          <w:lang w:val="en-US"/>
        </w:rPr>
        <w:t xml:space="preserve">the sequence </w:t>
      </w:r>
      <w:proofErr w:type="spellStart"/>
      <w:r w:rsidRPr="006353B9">
        <w:rPr>
          <w:color w:val="auto"/>
          <w:lang w:val="en-US"/>
        </w:rPr>
        <w:t>sunitinib</w:t>
      </w:r>
      <w:proofErr w:type="spellEnd"/>
      <w:r w:rsidRPr="006353B9">
        <w:rPr>
          <w:color w:val="auto"/>
          <w:lang w:val="en-US"/>
        </w:rPr>
        <w:t xml:space="preserve"> </w:t>
      </w:r>
      <w:proofErr w:type="spellStart"/>
      <w:r w:rsidRPr="006353B9">
        <w:rPr>
          <w:color w:val="auto"/>
          <w:lang w:val="en-US"/>
        </w:rPr>
        <w:t>everolimus</w:t>
      </w:r>
      <w:proofErr w:type="spellEnd"/>
      <w:r w:rsidRPr="006353B9">
        <w:rPr>
          <w:color w:val="auto"/>
          <w:lang w:val="en-US"/>
        </w:rPr>
        <w:t xml:space="preserve"> is notably lower that 43%.</w:t>
      </w:r>
    </w:p>
    <w:p w:rsidR="00FB4EE7" w:rsidRPr="006353B9" w:rsidRDefault="00FB4EE7" w:rsidP="003B167F">
      <w:pPr>
        <w:spacing w:line="240" w:lineRule="auto"/>
        <w:jc w:val="both"/>
        <w:rPr>
          <w:color w:val="auto"/>
          <w:lang w:val="en-US"/>
        </w:rPr>
      </w:pPr>
    </w:p>
    <w:p w:rsidR="00FB4EE7" w:rsidRDefault="003B167F" w:rsidP="00AA4F59">
      <w:pPr>
        <w:spacing w:line="240" w:lineRule="auto"/>
        <w:jc w:val="both"/>
        <w:rPr>
          <w:rFonts w:eastAsia="Times New Roman"/>
          <w:color w:val="auto"/>
          <w:lang w:val="en-US"/>
        </w:rPr>
      </w:pPr>
      <w:proofErr w:type="gramStart"/>
      <w:r w:rsidRPr="006353B9">
        <w:rPr>
          <w:color w:val="auto"/>
          <w:lang w:val="en-US"/>
        </w:rPr>
        <w:t>In order to</w:t>
      </w:r>
      <w:proofErr w:type="gramEnd"/>
      <w:r w:rsidRPr="006353B9">
        <w:rPr>
          <w:color w:val="auto"/>
          <w:lang w:val="en-US"/>
        </w:rPr>
        <w:t xml:space="preserve"> compensate for non-evaluable patients, a surplus of </w:t>
      </w:r>
      <w:r>
        <w:rPr>
          <w:color w:val="auto"/>
          <w:lang w:val="en-US"/>
        </w:rPr>
        <w:t xml:space="preserve">15% was supposed to be included </w:t>
      </w:r>
      <w:r w:rsidRPr="006353B9">
        <w:rPr>
          <w:rFonts w:eastAsia="Times New Roman"/>
          <w:color w:val="auto"/>
          <w:lang w:val="en-US"/>
        </w:rPr>
        <w:t>meaning that in total 115 patients were expected be included in this study.</w:t>
      </w:r>
      <w:bookmarkStart w:id="37" w:name="_Toc501022046"/>
    </w:p>
    <w:p w:rsidR="00AA4F59" w:rsidRDefault="00AA4F59" w:rsidP="00AA4F59">
      <w:pPr>
        <w:spacing w:line="240" w:lineRule="auto"/>
        <w:jc w:val="both"/>
        <w:rPr>
          <w:rFonts w:asciiTheme="majorHAnsi" w:eastAsia="Times New Roman" w:hAnsiTheme="majorHAnsi" w:cs="Tahoma"/>
          <w:b/>
          <w:caps/>
          <w:color w:val="0070B9" w:themeColor="accent5"/>
          <w:kern w:val="28"/>
          <w:szCs w:val="20"/>
          <w:lang w:val="en-GB" w:eastAsia="es-ES"/>
        </w:rPr>
      </w:pPr>
    </w:p>
    <w:p w:rsidR="002D7CC3" w:rsidRDefault="002D7CC3" w:rsidP="002D7CC3">
      <w:pPr>
        <w:pStyle w:val="Heading1"/>
      </w:pPr>
      <w:r>
        <w:t>Study Subjects</w:t>
      </w:r>
      <w:bookmarkEnd w:id="37"/>
    </w:p>
    <w:p w:rsidR="00E36289" w:rsidRPr="00AC180A" w:rsidRDefault="00E36289" w:rsidP="00E36289">
      <w:pPr>
        <w:spacing w:line="240" w:lineRule="auto"/>
        <w:rPr>
          <w:lang w:val="en-US"/>
        </w:rPr>
      </w:pPr>
      <w:bookmarkStart w:id="38" w:name="_Toc500240842"/>
      <w:r w:rsidRPr="00AC180A">
        <w:rPr>
          <w:noProof/>
          <w:lang w:val="en-US"/>
        </w:rPr>
        <w:t xml:space="preserve">The study was planned for 20 EU sites – 11 in Spain, 5 in France, 3 in Greece and 1 in Italy. Ten sites have recruited at least 1 subject with 1 site (Alexandra General Hospital of Athens) recruited 11 subjects that was about 27% of study population before the study was prematurely terminated. </w:t>
      </w:r>
      <w:r w:rsidRPr="00AC180A">
        <w:rPr>
          <w:noProof/>
          <w:lang w:val="en-US"/>
        </w:rPr>
        <w:br/>
      </w:r>
    </w:p>
    <w:p w:rsidR="003B167F" w:rsidRPr="00FB4EE7" w:rsidRDefault="003B167F" w:rsidP="00E36289">
      <w:pPr>
        <w:rPr>
          <w:b/>
          <w:lang w:val="en-US"/>
        </w:rPr>
      </w:pPr>
      <w:r w:rsidRPr="00FB4EE7">
        <w:rPr>
          <w:b/>
          <w:lang w:val="en-US"/>
        </w:rPr>
        <w:t>Table 3. Distribution of patients by sites</w:t>
      </w:r>
      <w:bookmarkEnd w:id="38"/>
    </w:p>
    <w:tbl>
      <w:tblPr>
        <w:tblW w:w="8647" w:type="dxa"/>
        <w:jc w:val="center"/>
        <w:tblLayout w:type="fixed"/>
        <w:tblCellMar>
          <w:left w:w="0" w:type="dxa"/>
          <w:right w:w="0" w:type="dxa"/>
        </w:tblCellMar>
        <w:tblLook w:val="0000" w:firstRow="0" w:lastRow="0" w:firstColumn="0" w:lastColumn="0" w:noHBand="0" w:noVBand="0"/>
      </w:tblPr>
      <w:tblGrid>
        <w:gridCol w:w="3261"/>
        <w:gridCol w:w="976"/>
        <w:gridCol w:w="1678"/>
        <w:gridCol w:w="1456"/>
        <w:gridCol w:w="1276"/>
      </w:tblGrid>
      <w:tr w:rsidR="003B167F" w:rsidRPr="006353B9" w:rsidTr="00B9633C">
        <w:trPr>
          <w:cantSplit/>
          <w:tblHeader/>
          <w:jc w:val="center"/>
        </w:trPr>
        <w:tc>
          <w:tcPr>
            <w:tcW w:w="4237"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2D7CC3" w:rsidRDefault="003B167F" w:rsidP="009A2182">
            <w:pPr>
              <w:adjustRightInd w:val="0"/>
              <w:spacing w:before="67" w:after="67"/>
              <w:jc w:val="both"/>
              <w:rPr>
                <w:rFonts w:asciiTheme="minorHAnsi" w:hAnsiTheme="minorHAnsi" w:cstheme="minorHAnsi"/>
                <w:b/>
                <w:bCs/>
                <w:color w:val="auto"/>
                <w:lang w:val="en-US"/>
              </w:rPr>
            </w:pPr>
          </w:p>
        </w:tc>
        <w:tc>
          <w:tcPr>
            <w:tcW w:w="1678"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2D7CC3" w:rsidRDefault="003B167F" w:rsidP="009A2182">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 xml:space="preserve">Control arm </w:t>
            </w:r>
            <w:r w:rsidR="002D7CC3">
              <w:rPr>
                <w:rFonts w:asciiTheme="minorHAnsi" w:hAnsiTheme="minorHAnsi" w:cstheme="minorHAnsi"/>
                <w:b/>
                <w:bCs/>
                <w:color w:val="auto"/>
                <w:lang w:val="en-US"/>
              </w:rPr>
              <w:t>–</w:t>
            </w:r>
          </w:p>
          <w:p w:rsidR="002D7CC3" w:rsidRDefault="003B167F" w:rsidP="009A2182">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 xml:space="preserve">Sequential treatment: </w:t>
            </w:r>
            <w:proofErr w:type="spellStart"/>
            <w:r w:rsidRPr="002D7CC3">
              <w:rPr>
                <w:rFonts w:asciiTheme="minorHAnsi" w:hAnsiTheme="minorHAnsi" w:cstheme="minorHAnsi"/>
                <w:b/>
                <w:bCs/>
                <w:color w:val="auto"/>
                <w:lang w:val="en-US"/>
              </w:rPr>
              <w:t>Sunitinib</w:t>
            </w:r>
            <w:proofErr w:type="spellEnd"/>
            <w:r w:rsidRPr="002D7CC3">
              <w:rPr>
                <w:rFonts w:asciiTheme="minorHAnsi" w:hAnsiTheme="minorHAnsi" w:cstheme="minorHAnsi"/>
                <w:b/>
                <w:bCs/>
                <w:color w:val="auto"/>
                <w:lang w:val="en-US"/>
              </w:rPr>
              <w:t xml:space="preserve"> until progression and </w:t>
            </w:r>
            <w:proofErr w:type="spellStart"/>
            <w:r w:rsidRPr="002D7CC3">
              <w:rPr>
                <w:rFonts w:asciiTheme="minorHAnsi" w:hAnsiTheme="minorHAnsi" w:cstheme="minorHAnsi"/>
                <w:b/>
                <w:bCs/>
                <w:color w:val="auto"/>
                <w:lang w:val="en-US"/>
              </w:rPr>
              <w:t>Everolimus</w:t>
            </w:r>
            <w:proofErr w:type="spellEnd"/>
            <w:r w:rsidRPr="002D7CC3">
              <w:rPr>
                <w:rFonts w:asciiTheme="minorHAnsi" w:hAnsiTheme="minorHAnsi" w:cstheme="minorHAnsi"/>
                <w:b/>
                <w:bCs/>
                <w:color w:val="auto"/>
                <w:lang w:val="en-US"/>
              </w:rPr>
              <w:t xml:space="preserve"> </w:t>
            </w:r>
            <w:proofErr w:type="gramStart"/>
            <w:r w:rsidRPr="002D7CC3">
              <w:rPr>
                <w:rFonts w:asciiTheme="minorHAnsi" w:hAnsiTheme="minorHAnsi" w:cstheme="minorHAnsi"/>
                <w:b/>
                <w:bCs/>
                <w:color w:val="auto"/>
                <w:lang w:val="en-US"/>
              </w:rPr>
              <w:t>later on</w:t>
            </w:r>
            <w:proofErr w:type="gramEnd"/>
          </w:p>
          <w:p w:rsidR="003B167F" w:rsidRPr="002D7CC3" w:rsidRDefault="003B167F" w:rsidP="009A2182">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(N=15)</w:t>
            </w:r>
          </w:p>
        </w:tc>
        <w:tc>
          <w:tcPr>
            <w:tcW w:w="1456"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2D7CC3" w:rsidRDefault="003B167F" w:rsidP="002D7CC3">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 xml:space="preserve">Experimental arm </w:t>
            </w:r>
            <w:r w:rsidR="002D7CC3">
              <w:rPr>
                <w:rFonts w:asciiTheme="minorHAnsi" w:hAnsiTheme="minorHAnsi" w:cstheme="minorHAnsi"/>
                <w:b/>
                <w:bCs/>
                <w:color w:val="auto"/>
                <w:lang w:val="en-US"/>
              </w:rPr>
              <w:t>–</w:t>
            </w:r>
            <w:r w:rsidRPr="002D7CC3">
              <w:rPr>
                <w:rFonts w:asciiTheme="minorHAnsi" w:hAnsiTheme="minorHAnsi" w:cstheme="minorHAnsi"/>
                <w:b/>
                <w:bCs/>
                <w:color w:val="auto"/>
                <w:lang w:val="en-US"/>
              </w:rPr>
              <w:t xml:space="preserve"> </w:t>
            </w:r>
          </w:p>
          <w:p w:rsidR="003B167F" w:rsidRPr="002D7CC3" w:rsidRDefault="003B167F" w:rsidP="002D7CC3">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 xml:space="preserve">Alternating treatment: </w:t>
            </w:r>
            <w:proofErr w:type="spellStart"/>
            <w:r w:rsidRPr="002D7CC3">
              <w:rPr>
                <w:rFonts w:asciiTheme="minorHAnsi" w:hAnsiTheme="minorHAnsi" w:cstheme="minorHAnsi"/>
                <w:b/>
                <w:bCs/>
                <w:color w:val="auto"/>
                <w:lang w:val="en-US"/>
              </w:rPr>
              <w:t>Sunitinib</w:t>
            </w:r>
            <w:proofErr w:type="spellEnd"/>
            <w:r w:rsidRPr="002D7CC3">
              <w:rPr>
                <w:rFonts w:asciiTheme="minorHAnsi" w:hAnsiTheme="minorHAnsi" w:cstheme="minorHAnsi"/>
                <w:b/>
                <w:bCs/>
                <w:color w:val="auto"/>
                <w:lang w:val="en-US"/>
              </w:rPr>
              <w:t xml:space="preserve"> and </w:t>
            </w:r>
            <w:proofErr w:type="spellStart"/>
            <w:r w:rsidRPr="002D7CC3">
              <w:rPr>
                <w:rFonts w:asciiTheme="minorHAnsi" w:hAnsiTheme="minorHAnsi" w:cstheme="minorHAnsi"/>
                <w:b/>
                <w:bCs/>
                <w:color w:val="auto"/>
                <w:lang w:val="en-US"/>
              </w:rPr>
              <w:t>Everolimus</w:t>
            </w:r>
            <w:proofErr w:type="spellEnd"/>
            <w:r w:rsidRPr="002D7CC3">
              <w:rPr>
                <w:rFonts w:asciiTheme="minorHAnsi" w:hAnsiTheme="minorHAnsi" w:cstheme="minorHAnsi"/>
                <w:b/>
                <w:bCs/>
                <w:color w:val="auto"/>
                <w:lang w:val="en-US"/>
              </w:rPr>
              <w:t>, intermittent, until progression</w:t>
            </w:r>
            <w:r w:rsidRPr="002D7CC3">
              <w:rPr>
                <w:rFonts w:asciiTheme="minorHAnsi" w:hAnsiTheme="minorHAnsi" w:cstheme="minorHAnsi"/>
                <w:b/>
                <w:bCs/>
                <w:color w:val="auto"/>
                <w:lang w:val="en-US"/>
              </w:rPr>
              <w:br/>
              <w:t>(N=26)</w:t>
            </w:r>
          </w:p>
        </w:tc>
        <w:tc>
          <w:tcPr>
            <w:tcW w:w="1276"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2D7CC3" w:rsidRDefault="003B167F" w:rsidP="009A2182">
            <w:pPr>
              <w:adjustRightInd w:val="0"/>
              <w:spacing w:before="67" w:after="67"/>
              <w:jc w:val="both"/>
              <w:rPr>
                <w:rFonts w:asciiTheme="minorHAnsi" w:hAnsiTheme="minorHAnsi" w:cstheme="minorHAnsi"/>
                <w:b/>
                <w:bCs/>
                <w:color w:val="auto"/>
              </w:rPr>
            </w:pPr>
            <w:r w:rsidRPr="002D7CC3">
              <w:rPr>
                <w:rFonts w:asciiTheme="minorHAnsi" w:hAnsiTheme="minorHAnsi" w:cstheme="minorHAnsi"/>
                <w:b/>
                <w:bCs/>
                <w:color w:val="auto"/>
              </w:rPr>
              <w:t>Total</w:t>
            </w:r>
            <w:r w:rsidRPr="002D7CC3">
              <w:rPr>
                <w:rFonts w:asciiTheme="minorHAnsi" w:hAnsiTheme="minorHAnsi" w:cstheme="minorHAnsi"/>
                <w:b/>
                <w:bCs/>
                <w:color w:val="auto"/>
              </w:rPr>
              <w:br/>
              <w:t>(N=41)</w:t>
            </w:r>
          </w:p>
        </w:tc>
      </w:tr>
      <w:tr w:rsidR="003B167F" w:rsidRPr="00AC180A" w:rsidTr="00B9633C">
        <w:trPr>
          <w:cantSplit/>
          <w:jc w:val="center"/>
        </w:trPr>
        <w:tc>
          <w:tcPr>
            <w:tcW w:w="3261" w:type="dxa"/>
            <w:tcBorders>
              <w:top w:val="nil"/>
              <w:left w:val="single" w:sz="4" w:space="0" w:color="FFFFFF"/>
              <w:bottom w:val="single" w:sz="4" w:space="0" w:color="000080"/>
              <w:right w:val="nil"/>
            </w:tcBorders>
            <w:shd w:val="clear" w:color="auto" w:fill="D4D4D4"/>
            <w:tcMar>
              <w:left w:w="67" w:type="dxa"/>
              <w:right w:w="67" w:type="dxa"/>
            </w:tcMar>
          </w:tcPr>
          <w:p w:rsidR="003B167F" w:rsidRPr="002D7CC3" w:rsidRDefault="003B167F" w:rsidP="009A2182">
            <w:pPr>
              <w:adjustRightInd w:val="0"/>
              <w:spacing w:before="67" w:after="67"/>
              <w:jc w:val="both"/>
              <w:rPr>
                <w:rFonts w:asciiTheme="minorHAnsi" w:hAnsiTheme="minorHAnsi" w:cstheme="minorHAnsi"/>
                <w:b/>
                <w:bCs/>
                <w:color w:val="auto"/>
                <w:lang w:val="en-US"/>
              </w:rPr>
            </w:pPr>
            <w:r w:rsidRPr="002D7CC3">
              <w:rPr>
                <w:rFonts w:asciiTheme="minorHAnsi" w:hAnsiTheme="minorHAnsi" w:cstheme="minorHAnsi"/>
                <w:b/>
                <w:bCs/>
                <w:color w:val="auto"/>
                <w:lang w:val="en-US"/>
              </w:rPr>
              <w:t>Randomization treatment arm by Site</w:t>
            </w:r>
          </w:p>
        </w:tc>
        <w:tc>
          <w:tcPr>
            <w:tcW w:w="976" w:type="dxa"/>
            <w:tcBorders>
              <w:top w:val="nil"/>
              <w:left w:val="single" w:sz="4" w:space="0" w:color="FFFFFF"/>
              <w:bottom w:val="single" w:sz="4" w:space="0" w:color="000080"/>
              <w:right w:val="nil"/>
            </w:tcBorders>
            <w:shd w:val="clear" w:color="auto" w:fill="D4D4D4"/>
            <w:tcMar>
              <w:left w:w="67" w:type="dxa"/>
              <w:right w:w="67" w:type="dxa"/>
            </w:tcMar>
          </w:tcPr>
          <w:p w:rsidR="003B167F" w:rsidRPr="002D7CC3" w:rsidRDefault="003B167F" w:rsidP="009A2182">
            <w:pPr>
              <w:adjustRightInd w:val="0"/>
              <w:spacing w:before="67" w:after="67"/>
              <w:jc w:val="both"/>
              <w:rPr>
                <w:rFonts w:asciiTheme="minorHAnsi" w:hAnsiTheme="minorHAnsi" w:cstheme="minorHAnsi"/>
                <w:b/>
                <w:bCs/>
                <w:color w:val="auto"/>
                <w:lang w:val="en-US"/>
              </w:rPr>
            </w:pPr>
          </w:p>
        </w:tc>
        <w:tc>
          <w:tcPr>
            <w:tcW w:w="1678" w:type="dxa"/>
            <w:tcBorders>
              <w:top w:val="nil"/>
              <w:left w:val="single" w:sz="4" w:space="0" w:color="FFFFFF"/>
              <w:bottom w:val="single" w:sz="4" w:space="0" w:color="000080"/>
              <w:right w:val="nil"/>
            </w:tcBorders>
            <w:shd w:val="clear" w:color="auto" w:fill="D4D4D4"/>
            <w:tcMar>
              <w:left w:w="67" w:type="dxa"/>
              <w:right w:w="67" w:type="dxa"/>
            </w:tcMar>
          </w:tcPr>
          <w:p w:rsidR="003B167F" w:rsidRPr="002D7CC3" w:rsidRDefault="003B167F" w:rsidP="009A2182">
            <w:pPr>
              <w:adjustRightInd w:val="0"/>
              <w:spacing w:before="67" w:after="67"/>
              <w:jc w:val="both"/>
              <w:rPr>
                <w:rFonts w:asciiTheme="minorHAnsi" w:hAnsiTheme="minorHAnsi" w:cstheme="minorHAnsi"/>
                <w:b/>
                <w:bCs/>
                <w:color w:val="auto"/>
                <w:lang w:val="en-US"/>
              </w:rPr>
            </w:pPr>
          </w:p>
        </w:tc>
        <w:tc>
          <w:tcPr>
            <w:tcW w:w="1456" w:type="dxa"/>
            <w:tcBorders>
              <w:top w:val="nil"/>
              <w:left w:val="single" w:sz="4" w:space="0" w:color="FFFFFF"/>
              <w:bottom w:val="single" w:sz="4" w:space="0" w:color="000080"/>
              <w:right w:val="nil"/>
            </w:tcBorders>
            <w:shd w:val="clear" w:color="auto" w:fill="D4D4D4"/>
            <w:tcMar>
              <w:left w:w="67" w:type="dxa"/>
              <w:right w:w="67" w:type="dxa"/>
            </w:tcMar>
          </w:tcPr>
          <w:p w:rsidR="003B167F" w:rsidRPr="002D7CC3" w:rsidRDefault="003B167F" w:rsidP="009A2182">
            <w:pPr>
              <w:adjustRightInd w:val="0"/>
              <w:spacing w:before="67" w:after="67"/>
              <w:jc w:val="both"/>
              <w:rPr>
                <w:rFonts w:asciiTheme="minorHAnsi" w:hAnsiTheme="minorHAnsi" w:cstheme="minorHAnsi"/>
                <w:b/>
                <w:bCs/>
                <w:color w:val="auto"/>
                <w:lang w:val="en-US"/>
              </w:rPr>
            </w:pPr>
          </w:p>
        </w:tc>
        <w:tc>
          <w:tcPr>
            <w:tcW w:w="1276"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2D7CC3" w:rsidRDefault="003B167F" w:rsidP="009A2182">
            <w:pPr>
              <w:adjustRightInd w:val="0"/>
              <w:spacing w:before="67" w:after="67"/>
              <w:jc w:val="both"/>
              <w:rPr>
                <w:rFonts w:asciiTheme="minorHAnsi" w:hAnsiTheme="minorHAnsi" w:cstheme="minorHAnsi"/>
                <w:b/>
                <w:bCs/>
                <w:color w:val="auto"/>
                <w:lang w:val="en-US"/>
              </w:rPr>
            </w:pP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i/>
                <w:iCs/>
                <w:color w:val="auto"/>
              </w:rPr>
            </w:pPr>
            <w:r w:rsidRPr="002D7CC3">
              <w:rPr>
                <w:rFonts w:asciiTheme="minorHAnsi" w:hAnsiTheme="minorHAnsi" w:cstheme="minorHAnsi"/>
                <w:i/>
                <w:iCs/>
                <w:color w:val="auto"/>
              </w:rPr>
              <w:t>Valid</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15</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26</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41</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Hospital del Mar</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(6.67)</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3 (11.54)</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4 (9.76)</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lang w:val="es-ES"/>
              </w:rPr>
            </w:pPr>
            <w:r w:rsidRPr="002D7CC3">
              <w:rPr>
                <w:rFonts w:asciiTheme="minorHAnsi" w:hAnsiTheme="minorHAnsi" w:cstheme="minorHAnsi"/>
                <w:color w:val="auto"/>
                <w:lang w:val="es-ES"/>
              </w:rPr>
              <w:t>Hospital Virgen de la Victoria</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(13.33)</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(7.69)</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4 (9.76)</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Hospital Clinico San Carlos</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0 (0.00)</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(3.85)</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(2.44)</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Hospital 12 de octubre</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(6.67)</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(3.85)</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(4.88)</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Clara Campal. Hospital Sanchinarro</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0 (0.00)</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(3.85)</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(2.44)</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Hospital Central de Asturias</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(13.33)</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3 (11.54)</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5 (12.20)</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Hospital Marques de Valdecilla</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(6.67)</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(7.69)</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3 (7.32)</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lang w:val="es-ES"/>
              </w:rPr>
            </w:pPr>
            <w:r w:rsidRPr="002D7CC3">
              <w:rPr>
                <w:rFonts w:asciiTheme="minorHAnsi" w:hAnsiTheme="minorHAnsi" w:cstheme="minorHAnsi"/>
                <w:color w:val="auto"/>
                <w:lang w:val="es-ES"/>
              </w:rPr>
              <w:lastRenderedPageBreak/>
              <w:t>Hospital General Universitario de Valencia</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(6.67)</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 (3.85)</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2 (4.88)</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Bordeaux University</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3 (20.00)</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5 (19.23)</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8 (19.51)</w:t>
            </w:r>
          </w:p>
        </w:tc>
      </w:tr>
      <w:tr w:rsidR="003B167F" w:rsidRPr="006353B9" w:rsidTr="00B9633C">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lang w:val="en-US"/>
              </w:rPr>
            </w:pPr>
            <w:r w:rsidRPr="002D7CC3">
              <w:rPr>
                <w:rFonts w:asciiTheme="minorHAnsi" w:hAnsiTheme="minorHAnsi" w:cstheme="minorHAnsi"/>
                <w:color w:val="auto"/>
                <w:lang w:val="en-US"/>
              </w:rPr>
              <w:t>Alexandra General Hospital of Athens</w:t>
            </w:r>
          </w:p>
        </w:tc>
        <w:tc>
          <w:tcPr>
            <w:tcW w:w="9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4 (26.67)</w:t>
            </w:r>
          </w:p>
        </w:tc>
        <w:tc>
          <w:tcPr>
            <w:tcW w:w="145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7 (26.92)</w:t>
            </w:r>
          </w:p>
        </w:tc>
        <w:tc>
          <w:tcPr>
            <w:tcW w:w="1276" w:type="dxa"/>
            <w:tcBorders>
              <w:top w:val="nil"/>
              <w:left w:val="nil"/>
              <w:bottom w:val="single" w:sz="4" w:space="0" w:color="000080"/>
              <w:right w:val="nil"/>
            </w:tcBorders>
            <w:shd w:val="clear" w:color="auto" w:fill="FFFFFF"/>
            <w:tcMar>
              <w:left w:w="67" w:type="dxa"/>
              <w:right w:w="67" w:type="dxa"/>
            </w:tcMar>
          </w:tcPr>
          <w:p w:rsidR="003B167F" w:rsidRPr="002D7CC3" w:rsidRDefault="003B167F" w:rsidP="009A2182">
            <w:pPr>
              <w:adjustRightInd w:val="0"/>
              <w:spacing w:before="67" w:after="67"/>
              <w:jc w:val="both"/>
              <w:rPr>
                <w:rFonts w:asciiTheme="minorHAnsi" w:hAnsiTheme="minorHAnsi" w:cstheme="minorHAnsi"/>
                <w:color w:val="auto"/>
              </w:rPr>
            </w:pPr>
            <w:r w:rsidRPr="002D7CC3">
              <w:rPr>
                <w:rFonts w:asciiTheme="minorHAnsi" w:hAnsiTheme="minorHAnsi" w:cstheme="minorHAnsi"/>
                <w:color w:val="auto"/>
              </w:rPr>
              <w:t>11 (26.83)</w:t>
            </w:r>
          </w:p>
        </w:tc>
      </w:tr>
    </w:tbl>
    <w:p w:rsidR="00B9633C" w:rsidRDefault="003B167F" w:rsidP="00B9633C">
      <w:pPr>
        <w:pStyle w:val="Heading2"/>
      </w:pPr>
      <w:bookmarkStart w:id="39" w:name="_Toc501022047"/>
      <w:r w:rsidRPr="006353B9">
        <w:t>Discontinuations</w:t>
      </w:r>
      <w:bookmarkStart w:id="40" w:name="_Toc500240912"/>
      <w:bookmarkEnd w:id="39"/>
    </w:p>
    <w:p w:rsidR="00B9633C" w:rsidRDefault="00B9633C" w:rsidP="0045181E">
      <w:pPr>
        <w:pStyle w:val="Caption"/>
      </w:pPr>
    </w:p>
    <w:p w:rsidR="00B9633C" w:rsidRPr="00FB4EE7" w:rsidRDefault="003B167F" w:rsidP="0045181E">
      <w:pPr>
        <w:pStyle w:val="Caption"/>
      </w:pPr>
      <w:r w:rsidRPr="00FB4EE7">
        <w:t>Table 4. End of Study Reason by treatment arm</w:t>
      </w:r>
      <w:bookmarkEnd w:id="40"/>
    </w:p>
    <w:tbl>
      <w:tblPr>
        <w:tblW w:w="8819" w:type="dxa"/>
        <w:jc w:val="center"/>
        <w:tblLayout w:type="fixed"/>
        <w:tblCellMar>
          <w:left w:w="0" w:type="dxa"/>
          <w:right w:w="0" w:type="dxa"/>
        </w:tblCellMar>
        <w:tblLook w:val="0000" w:firstRow="0" w:lastRow="0" w:firstColumn="0" w:lastColumn="0" w:noHBand="0" w:noVBand="0"/>
      </w:tblPr>
      <w:tblGrid>
        <w:gridCol w:w="1800"/>
        <w:gridCol w:w="720"/>
        <w:gridCol w:w="1733"/>
        <w:gridCol w:w="3260"/>
        <w:gridCol w:w="1306"/>
      </w:tblGrid>
      <w:tr w:rsidR="003B167F" w:rsidRPr="00E50CD5" w:rsidTr="00B9633C">
        <w:trPr>
          <w:cantSplit/>
          <w:tblHeader/>
          <w:jc w:val="center"/>
        </w:trPr>
        <w:tc>
          <w:tcPr>
            <w:tcW w:w="2520"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1733"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Pr>
                <w:b/>
                <w:bCs/>
                <w:color w:val="auto"/>
                <w:lang w:val="en-US"/>
              </w:rPr>
              <w:t xml:space="preserve">Control arm </w:t>
            </w:r>
            <w:r w:rsidRPr="006353B9">
              <w:rPr>
                <w:b/>
                <w:bCs/>
                <w:color w:val="auto"/>
                <w:lang w:val="en-US"/>
              </w:rPr>
              <w:br/>
              <w:t>(N=15)</w:t>
            </w:r>
          </w:p>
        </w:tc>
        <w:tc>
          <w:tcPr>
            <w:tcW w:w="3260"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Pr>
                <w:b/>
                <w:bCs/>
                <w:color w:val="auto"/>
                <w:lang w:val="en-US"/>
              </w:rPr>
              <w:t xml:space="preserve">Experimental arm </w:t>
            </w:r>
            <w:r w:rsidRPr="006353B9">
              <w:rPr>
                <w:b/>
                <w:bCs/>
                <w:color w:val="auto"/>
                <w:lang w:val="en-US"/>
              </w:rPr>
              <w:t>(N=26)</w:t>
            </w:r>
          </w:p>
        </w:tc>
        <w:tc>
          <w:tcPr>
            <w:tcW w:w="1306"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386D8E" w:rsidRDefault="003B167F" w:rsidP="009A2182">
            <w:pPr>
              <w:adjustRightInd w:val="0"/>
              <w:spacing w:before="67" w:after="67"/>
              <w:jc w:val="both"/>
              <w:rPr>
                <w:b/>
                <w:bCs/>
                <w:color w:val="auto"/>
                <w:lang w:val="en-US"/>
              </w:rPr>
            </w:pPr>
            <w:r w:rsidRPr="00386D8E">
              <w:rPr>
                <w:b/>
                <w:bCs/>
                <w:color w:val="auto"/>
                <w:lang w:val="en-US"/>
              </w:rPr>
              <w:t>Total</w:t>
            </w:r>
            <w:r w:rsidRPr="00386D8E">
              <w:rPr>
                <w:b/>
                <w:bCs/>
                <w:color w:val="auto"/>
                <w:lang w:val="en-US"/>
              </w:rPr>
              <w:br/>
              <w:t>(N=41)</w:t>
            </w:r>
          </w:p>
        </w:tc>
      </w:tr>
      <w:tr w:rsidR="003B167F" w:rsidRPr="00E50CD5" w:rsidTr="00B9633C">
        <w:trPr>
          <w:cantSplit/>
          <w:jc w:val="center"/>
        </w:trPr>
        <w:tc>
          <w:tcPr>
            <w:tcW w:w="1800" w:type="dxa"/>
            <w:tcBorders>
              <w:top w:val="nil"/>
              <w:left w:val="single" w:sz="4" w:space="0" w:color="FFFFFF"/>
              <w:bottom w:val="single" w:sz="4" w:space="0" w:color="000080"/>
              <w:right w:val="nil"/>
            </w:tcBorders>
            <w:shd w:val="clear" w:color="auto" w:fill="D4D4D4"/>
            <w:tcMar>
              <w:left w:w="67" w:type="dxa"/>
              <w:right w:w="67" w:type="dxa"/>
            </w:tcMar>
          </w:tcPr>
          <w:p w:rsidR="003B167F" w:rsidRPr="00386D8E" w:rsidRDefault="003B167F" w:rsidP="009A2182">
            <w:pPr>
              <w:adjustRightInd w:val="0"/>
              <w:spacing w:before="67" w:after="67"/>
              <w:jc w:val="both"/>
              <w:rPr>
                <w:b/>
                <w:bCs/>
                <w:color w:val="auto"/>
                <w:lang w:val="en-US"/>
              </w:rPr>
            </w:pPr>
            <w:r w:rsidRPr="00386D8E">
              <w:rPr>
                <w:b/>
                <w:bCs/>
                <w:color w:val="auto"/>
                <w:lang w:val="en-US"/>
              </w:rPr>
              <w:t>End of Study Reason</w:t>
            </w:r>
          </w:p>
        </w:tc>
        <w:tc>
          <w:tcPr>
            <w:tcW w:w="720" w:type="dxa"/>
            <w:tcBorders>
              <w:top w:val="nil"/>
              <w:left w:val="single" w:sz="4" w:space="0" w:color="FFFFFF"/>
              <w:bottom w:val="single" w:sz="4" w:space="0" w:color="000080"/>
              <w:right w:val="nil"/>
            </w:tcBorders>
            <w:shd w:val="clear" w:color="auto" w:fill="D4D4D4"/>
            <w:tcMar>
              <w:left w:w="67" w:type="dxa"/>
              <w:right w:w="67" w:type="dxa"/>
            </w:tcMar>
          </w:tcPr>
          <w:p w:rsidR="003B167F" w:rsidRPr="00386D8E" w:rsidRDefault="003B167F" w:rsidP="009A2182">
            <w:pPr>
              <w:adjustRightInd w:val="0"/>
              <w:spacing w:before="67" w:after="67"/>
              <w:jc w:val="both"/>
              <w:rPr>
                <w:b/>
                <w:bCs/>
                <w:color w:val="auto"/>
                <w:lang w:val="en-US"/>
              </w:rPr>
            </w:pPr>
          </w:p>
        </w:tc>
        <w:tc>
          <w:tcPr>
            <w:tcW w:w="1733" w:type="dxa"/>
            <w:tcBorders>
              <w:top w:val="nil"/>
              <w:left w:val="single" w:sz="4" w:space="0" w:color="FFFFFF"/>
              <w:bottom w:val="single" w:sz="4" w:space="0" w:color="000080"/>
              <w:right w:val="nil"/>
            </w:tcBorders>
            <w:shd w:val="clear" w:color="auto" w:fill="D4D4D4"/>
            <w:tcMar>
              <w:left w:w="67" w:type="dxa"/>
              <w:right w:w="67" w:type="dxa"/>
            </w:tcMar>
          </w:tcPr>
          <w:p w:rsidR="003B167F" w:rsidRPr="00386D8E" w:rsidRDefault="003B167F" w:rsidP="009A2182">
            <w:pPr>
              <w:adjustRightInd w:val="0"/>
              <w:spacing w:before="67" w:after="67"/>
              <w:jc w:val="both"/>
              <w:rPr>
                <w:b/>
                <w:bCs/>
                <w:color w:val="auto"/>
                <w:lang w:val="en-US"/>
              </w:rPr>
            </w:pPr>
          </w:p>
        </w:tc>
        <w:tc>
          <w:tcPr>
            <w:tcW w:w="3260" w:type="dxa"/>
            <w:tcBorders>
              <w:top w:val="nil"/>
              <w:left w:val="single" w:sz="4" w:space="0" w:color="FFFFFF"/>
              <w:bottom w:val="single" w:sz="4" w:space="0" w:color="000080"/>
              <w:right w:val="nil"/>
            </w:tcBorders>
            <w:shd w:val="clear" w:color="auto" w:fill="D4D4D4"/>
            <w:tcMar>
              <w:left w:w="67" w:type="dxa"/>
              <w:right w:w="67" w:type="dxa"/>
            </w:tcMar>
          </w:tcPr>
          <w:p w:rsidR="003B167F" w:rsidRPr="00386D8E" w:rsidRDefault="003B167F" w:rsidP="009A2182">
            <w:pPr>
              <w:adjustRightInd w:val="0"/>
              <w:spacing w:before="67" w:after="67"/>
              <w:jc w:val="both"/>
              <w:rPr>
                <w:b/>
                <w:bCs/>
                <w:color w:val="auto"/>
                <w:lang w:val="en-US"/>
              </w:rPr>
            </w:pPr>
          </w:p>
        </w:tc>
        <w:tc>
          <w:tcPr>
            <w:tcW w:w="1306"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386D8E" w:rsidRDefault="003B167F" w:rsidP="009A2182">
            <w:pPr>
              <w:adjustRightInd w:val="0"/>
              <w:spacing w:before="67" w:after="67"/>
              <w:jc w:val="both"/>
              <w:rPr>
                <w:b/>
                <w:bCs/>
                <w:color w:val="auto"/>
                <w:lang w:val="en-US"/>
              </w:rPr>
            </w:pPr>
          </w:p>
        </w:tc>
      </w:tr>
      <w:tr w:rsidR="003B167F" w:rsidRPr="00E50CD5" w:rsidTr="00B9633C">
        <w:trPr>
          <w:cantSplit/>
          <w:jc w:val="center"/>
        </w:trPr>
        <w:tc>
          <w:tcPr>
            <w:tcW w:w="180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i/>
                <w:iCs/>
                <w:color w:val="auto"/>
                <w:lang w:val="en-US"/>
              </w:rPr>
            </w:pPr>
            <w:r w:rsidRPr="00386D8E">
              <w:rPr>
                <w:i/>
                <w:iCs/>
                <w:color w:val="auto"/>
                <w:lang w:val="en-US"/>
              </w:rPr>
              <w:t>Valid</w:t>
            </w:r>
          </w:p>
        </w:tc>
        <w:tc>
          <w:tcPr>
            <w:tcW w:w="72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n</w:t>
            </w:r>
          </w:p>
        </w:tc>
        <w:tc>
          <w:tcPr>
            <w:tcW w:w="1733"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15</w:t>
            </w:r>
          </w:p>
        </w:tc>
        <w:tc>
          <w:tcPr>
            <w:tcW w:w="326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26</w:t>
            </w:r>
          </w:p>
        </w:tc>
        <w:tc>
          <w:tcPr>
            <w:tcW w:w="1306"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41</w:t>
            </w:r>
          </w:p>
        </w:tc>
      </w:tr>
      <w:tr w:rsidR="003B167F" w:rsidRPr="00E50CD5" w:rsidTr="00B9633C">
        <w:trPr>
          <w:cantSplit/>
          <w:jc w:val="center"/>
        </w:trPr>
        <w:tc>
          <w:tcPr>
            <w:tcW w:w="180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Consent withdrawal</w:t>
            </w:r>
          </w:p>
        </w:tc>
        <w:tc>
          <w:tcPr>
            <w:tcW w:w="72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n (%)</w:t>
            </w:r>
          </w:p>
        </w:tc>
        <w:tc>
          <w:tcPr>
            <w:tcW w:w="1733"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0 (0.00)</w:t>
            </w:r>
          </w:p>
        </w:tc>
        <w:tc>
          <w:tcPr>
            <w:tcW w:w="3260"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3 (11.54)</w:t>
            </w:r>
          </w:p>
        </w:tc>
        <w:tc>
          <w:tcPr>
            <w:tcW w:w="1306" w:type="dxa"/>
            <w:tcBorders>
              <w:top w:val="nil"/>
              <w:left w:val="nil"/>
              <w:bottom w:val="single" w:sz="4" w:space="0" w:color="000080"/>
              <w:right w:val="nil"/>
            </w:tcBorders>
            <w:shd w:val="clear" w:color="auto" w:fill="FFFFFF"/>
            <w:tcMar>
              <w:left w:w="67" w:type="dxa"/>
              <w:right w:w="67" w:type="dxa"/>
            </w:tcMar>
          </w:tcPr>
          <w:p w:rsidR="003B167F" w:rsidRPr="00386D8E" w:rsidRDefault="003B167F" w:rsidP="009A2182">
            <w:pPr>
              <w:adjustRightInd w:val="0"/>
              <w:spacing w:before="67" w:after="67"/>
              <w:jc w:val="both"/>
              <w:rPr>
                <w:color w:val="auto"/>
                <w:lang w:val="en-US"/>
              </w:rPr>
            </w:pPr>
            <w:r w:rsidRPr="00386D8E">
              <w:rPr>
                <w:color w:val="auto"/>
                <w:lang w:val="en-US"/>
              </w:rPr>
              <w:t>3 (7.32)</w:t>
            </w:r>
          </w:p>
        </w:tc>
      </w:tr>
      <w:tr w:rsidR="003B167F" w:rsidRPr="006353B9" w:rsidTr="00B9633C">
        <w:trPr>
          <w:cantSplit/>
          <w:jc w:val="center"/>
        </w:trPr>
        <w:tc>
          <w:tcPr>
            <w:tcW w:w="180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Death</w:t>
            </w:r>
          </w:p>
        </w:tc>
        <w:tc>
          <w:tcPr>
            <w:tcW w:w="72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3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 (40.00)</w:t>
            </w:r>
          </w:p>
        </w:tc>
        <w:tc>
          <w:tcPr>
            <w:tcW w:w="326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12 (46.15)</w:t>
            </w:r>
          </w:p>
        </w:tc>
        <w:tc>
          <w:tcPr>
            <w:tcW w:w="1306"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18 (43.90)</w:t>
            </w:r>
          </w:p>
        </w:tc>
      </w:tr>
      <w:tr w:rsidR="003B167F" w:rsidRPr="006353B9" w:rsidTr="00B9633C">
        <w:trPr>
          <w:cantSplit/>
          <w:jc w:val="center"/>
        </w:trPr>
        <w:tc>
          <w:tcPr>
            <w:tcW w:w="180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Other</w:t>
            </w:r>
          </w:p>
        </w:tc>
        <w:tc>
          <w:tcPr>
            <w:tcW w:w="72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3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9 (60.00)</w:t>
            </w:r>
          </w:p>
        </w:tc>
        <w:tc>
          <w:tcPr>
            <w:tcW w:w="326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11 (42.31)</w:t>
            </w:r>
          </w:p>
        </w:tc>
        <w:tc>
          <w:tcPr>
            <w:tcW w:w="1306"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20 (48.78)</w:t>
            </w:r>
          </w:p>
        </w:tc>
      </w:tr>
    </w:tbl>
    <w:p w:rsidR="00B9633C" w:rsidRDefault="00B9633C" w:rsidP="003B167F">
      <w:pPr>
        <w:jc w:val="both"/>
        <w:rPr>
          <w:color w:val="auto"/>
          <w:lang w:val="en-US"/>
        </w:rPr>
      </w:pPr>
    </w:p>
    <w:p w:rsidR="00B9633C" w:rsidRDefault="003B167F" w:rsidP="00B9633C">
      <w:pPr>
        <w:spacing w:line="240" w:lineRule="auto"/>
        <w:jc w:val="both"/>
        <w:rPr>
          <w:color w:val="auto"/>
          <w:lang w:val="en-US"/>
        </w:rPr>
      </w:pPr>
      <w:r>
        <w:rPr>
          <w:color w:val="auto"/>
          <w:lang w:val="en-US"/>
        </w:rPr>
        <w:t>Forty-one</w:t>
      </w:r>
      <w:r w:rsidRPr="00386D8E">
        <w:rPr>
          <w:color w:val="auto"/>
          <w:lang w:val="en-US"/>
        </w:rPr>
        <w:t xml:space="preserve"> subjects were enrolled in the study, 26 in an exper</w:t>
      </w:r>
      <w:r>
        <w:rPr>
          <w:color w:val="auto"/>
          <w:lang w:val="en-US"/>
        </w:rPr>
        <w:t>i</w:t>
      </w:r>
      <w:r w:rsidRPr="00386D8E">
        <w:rPr>
          <w:color w:val="auto"/>
          <w:lang w:val="en-US"/>
        </w:rPr>
        <w:t>mental arm and 15 in a control arm.</w:t>
      </w:r>
    </w:p>
    <w:p w:rsidR="00B9633C" w:rsidRDefault="003B167F" w:rsidP="00B9633C">
      <w:pPr>
        <w:spacing w:line="240" w:lineRule="auto"/>
        <w:jc w:val="both"/>
        <w:rPr>
          <w:color w:val="auto"/>
          <w:lang w:val="en-US"/>
        </w:rPr>
      </w:pPr>
      <w:r>
        <w:rPr>
          <w:color w:val="auto"/>
          <w:lang w:val="en-US"/>
        </w:rPr>
        <w:t>Seven</w:t>
      </w:r>
      <w:r w:rsidRPr="00386D8E">
        <w:rPr>
          <w:color w:val="auto"/>
          <w:lang w:val="en-US"/>
        </w:rPr>
        <w:t xml:space="preserve"> subjects withdrew consent (</w:t>
      </w:r>
      <w:r>
        <w:rPr>
          <w:color w:val="auto"/>
          <w:lang w:val="en-US"/>
        </w:rPr>
        <w:t>three</w:t>
      </w:r>
      <w:r w:rsidRPr="00386D8E">
        <w:rPr>
          <w:color w:val="auto"/>
          <w:lang w:val="en-US"/>
        </w:rPr>
        <w:t xml:space="preserve"> at the exper</w:t>
      </w:r>
      <w:r>
        <w:rPr>
          <w:color w:val="auto"/>
          <w:lang w:val="en-US"/>
        </w:rPr>
        <w:t>i</w:t>
      </w:r>
      <w:r w:rsidRPr="00386D8E">
        <w:rPr>
          <w:color w:val="auto"/>
          <w:lang w:val="en-US"/>
        </w:rPr>
        <w:t>mental arm that was 11,5% and none from the control arm).</w:t>
      </w:r>
    </w:p>
    <w:p w:rsidR="00B9633C" w:rsidRDefault="003B167F" w:rsidP="00B9633C">
      <w:pPr>
        <w:spacing w:line="240" w:lineRule="auto"/>
        <w:jc w:val="both"/>
        <w:rPr>
          <w:color w:val="auto"/>
          <w:lang w:val="en-US"/>
        </w:rPr>
      </w:pPr>
      <w:r w:rsidRPr="00386D8E">
        <w:rPr>
          <w:color w:val="auto"/>
          <w:lang w:val="en-US"/>
        </w:rPr>
        <w:t>Death was the reason for premature study termination in 18 cases (43,9%), with number deaths been regist</w:t>
      </w:r>
      <w:r>
        <w:rPr>
          <w:color w:val="auto"/>
          <w:lang w:val="en-US"/>
        </w:rPr>
        <w:t>e</w:t>
      </w:r>
      <w:r w:rsidRPr="00386D8E">
        <w:rPr>
          <w:color w:val="auto"/>
          <w:lang w:val="en-US"/>
        </w:rPr>
        <w:t>red in 12 cases for the treatment arm (46,15%) and 6 cases (40%) in the control arm.</w:t>
      </w:r>
    </w:p>
    <w:p w:rsidR="00B9633C" w:rsidRDefault="003B167F" w:rsidP="00EA6687">
      <w:pPr>
        <w:spacing w:line="240" w:lineRule="auto"/>
        <w:jc w:val="both"/>
        <w:rPr>
          <w:color w:val="auto"/>
          <w:lang w:val="en-US"/>
        </w:rPr>
      </w:pPr>
      <w:r w:rsidRPr="00386D8E">
        <w:rPr>
          <w:color w:val="auto"/>
          <w:lang w:val="en-US"/>
        </w:rPr>
        <w:lastRenderedPageBreak/>
        <w:t>Other reasons for premature study termination were regist</w:t>
      </w:r>
      <w:r>
        <w:rPr>
          <w:color w:val="auto"/>
          <w:lang w:val="en-US"/>
        </w:rPr>
        <w:t>e</w:t>
      </w:r>
      <w:r w:rsidRPr="00386D8E">
        <w:rPr>
          <w:color w:val="auto"/>
          <w:lang w:val="en-US"/>
        </w:rPr>
        <w:t xml:space="preserve">red for 20 subjects (48,78%) with 11 cases (42,31%) at the experimental arm and </w:t>
      </w:r>
      <w:r>
        <w:rPr>
          <w:color w:val="auto"/>
          <w:lang w:val="en-US"/>
        </w:rPr>
        <w:t>nine</w:t>
      </w:r>
      <w:r w:rsidRPr="00386D8E">
        <w:rPr>
          <w:color w:val="auto"/>
          <w:lang w:val="en-US"/>
        </w:rPr>
        <w:t xml:space="preserve"> cases (60%) at the control arm.</w:t>
      </w:r>
    </w:p>
    <w:p w:rsidR="00B9633C" w:rsidRPr="00386D8E" w:rsidRDefault="00B9633C" w:rsidP="003B167F">
      <w:pPr>
        <w:jc w:val="both"/>
        <w:rPr>
          <w:color w:val="auto"/>
          <w:lang w:val="en-US"/>
        </w:rPr>
      </w:pPr>
    </w:p>
    <w:p w:rsidR="00B9633C" w:rsidRPr="00FB4EE7" w:rsidRDefault="003B167F" w:rsidP="003B167F">
      <w:pPr>
        <w:jc w:val="both"/>
        <w:rPr>
          <w:b/>
          <w:color w:val="auto"/>
          <w:lang w:val="en-US"/>
        </w:rPr>
      </w:pPr>
      <w:r w:rsidRPr="00FB4EE7">
        <w:rPr>
          <w:b/>
          <w:color w:val="auto"/>
          <w:lang w:val="en-US"/>
        </w:rPr>
        <w:t xml:space="preserve">Table 5. Reasons for treatment discontinuation. </w:t>
      </w:r>
    </w:p>
    <w:tbl>
      <w:tblPr>
        <w:tblW w:w="8805" w:type="dxa"/>
        <w:jc w:val="center"/>
        <w:tblLayout w:type="fixed"/>
        <w:tblCellMar>
          <w:left w:w="0" w:type="dxa"/>
          <w:right w:w="0" w:type="dxa"/>
        </w:tblCellMar>
        <w:tblLook w:val="0000" w:firstRow="0" w:lastRow="0" w:firstColumn="0" w:lastColumn="0" w:noHBand="0" w:noVBand="0"/>
      </w:tblPr>
      <w:tblGrid>
        <w:gridCol w:w="2835"/>
        <w:gridCol w:w="851"/>
        <w:gridCol w:w="1701"/>
        <w:gridCol w:w="2268"/>
        <w:gridCol w:w="1150"/>
      </w:tblGrid>
      <w:tr w:rsidR="003B167F" w:rsidRPr="006353B9" w:rsidTr="00B9633C">
        <w:trPr>
          <w:cantSplit/>
          <w:tblHeader/>
          <w:jc w:val="center"/>
        </w:trPr>
        <w:tc>
          <w:tcPr>
            <w:tcW w:w="3686"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1701"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B9633C" w:rsidRDefault="003B167F" w:rsidP="009A2182">
            <w:pPr>
              <w:adjustRightInd w:val="0"/>
              <w:spacing w:before="67" w:after="67"/>
              <w:jc w:val="both"/>
              <w:rPr>
                <w:b/>
                <w:bCs/>
                <w:color w:val="auto"/>
                <w:lang w:val="en-US"/>
              </w:rPr>
            </w:pPr>
            <w:r>
              <w:rPr>
                <w:b/>
                <w:bCs/>
                <w:color w:val="auto"/>
                <w:lang w:val="en-US"/>
              </w:rPr>
              <w:t>Control arm</w:t>
            </w:r>
          </w:p>
          <w:p w:rsidR="003B167F" w:rsidRPr="006353B9" w:rsidRDefault="003B167F" w:rsidP="009A2182">
            <w:pPr>
              <w:adjustRightInd w:val="0"/>
              <w:spacing w:before="67" w:after="67"/>
              <w:jc w:val="both"/>
              <w:rPr>
                <w:b/>
                <w:bCs/>
                <w:color w:val="auto"/>
                <w:lang w:val="en-US"/>
              </w:rPr>
            </w:pPr>
            <w:r w:rsidRPr="006353B9">
              <w:rPr>
                <w:b/>
                <w:bCs/>
                <w:color w:val="auto"/>
                <w:lang w:val="en-US"/>
              </w:rPr>
              <w:t>(N=15)</w:t>
            </w:r>
          </w:p>
        </w:tc>
        <w:tc>
          <w:tcPr>
            <w:tcW w:w="2268"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B9633C" w:rsidRDefault="003B167F" w:rsidP="009A2182">
            <w:pPr>
              <w:adjustRightInd w:val="0"/>
              <w:spacing w:before="67" w:after="67"/>
              <w:jc w:val="both"/>
              <w:rPr>
                <w:b/>
                <w:bCs/>
                <w:color w:val="auto"/>
                <w:lang w:val="en-US"/>
              </w:rPr>
            </w:pPr>
            <w:r>
              <w:rPr>
                <w:b/>
                <w:bCs/>
                <w:color w:val="auto"/>
                <w:lang w:val="en-US"/>
              </w:rPr>
              <w:t>Experimental arm</w:t>
            </w:r>
          </w:p>
          <w:p w:rsidR="003B167F" w:rsidRPr="006353B9" w:rsidRDefault="003B167F" w:rsidP="009A2182">
            <w:pPr>
              <w:adjustRightInd w:val="0"/>
              <w:spacing w:before="67" w:after="67"/>
              <w:jc w:val="both"/>
              <w:rPr>
                <w:b/>
                <w:bCs/>
                <w:color w:val="auto"/>
                <w:lang w:val="en-US"/>
              </w:rPr>
            </w:pPr>
            <w:r w:rsidRPr="006353B9">
              <w:rPr>
                <w:b/>
                <w:bCs/>
                <w:color w:val="auto"/>
                <w:lang w:val="en-US"/>
              </w:rPr>
              <w:t>(N=26)</w:t>
            </w:r>
          </w:p>
        </w:tc>
        <w:tc>
          <w:tcPr>
            <w:tcW w:w="1150"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B9633C">
        <w:trPr>
          <w:cantSplit/>
          <w:jc w:val="center"/>
        </w:trPr>
        <w:tc>
          <w:tcPr>
            <w:tcW w:w="283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Early discontinuation?</w:t>
            </w:r>
          </w:p>
        </w:tc>
        <w:tc>
          <w:tcPr>
            <w:tcW w:w="85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26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50"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Yes</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13 (86.67)</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25 (96.15)</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38 (92.68)</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No</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 (13.33)</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(3.85)</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 (7.32)</w:t>
            </w:r>
          </w:p>
        </w:tc>
      </w:tr>
      <w:tr w:rsidR="003B167F" w:rsidRPr="006353B9" w:rsidTr="00B9633C">
        <w:trPr>
          <w:cantSplit/>
          <w:jc w:val="center"/>
        </w:trPr>
        <w:tc>
          <w:tcPr>
            <w:tcW w:w="283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Reason of treatment discontinuation</w:t>
            </w:r>
          </w:p>
        </w:tc>
        <w:tc>
          <w:tcPr>
            <w:tcW w:w="85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26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50"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i/>
                <w:iCs/>
                <w:color w:val="auto"/>
              </w:rPr>
            </w:pPr>
            <w:r w:rsidRPr="006353B9">
              <w:rPr>
                <w:i/>
                <w:iCs/>
                <w:color w:val="auto"/>
              </w:rPr>
              <w:t>Valid</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13</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25</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38</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Adverse event(s)</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4 (30.77)</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 (12.00)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7 (18.42)</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Consent withdrawal</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(4.00)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(2.63)</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Disease progression</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4 (30.77)</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18 (72.00)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22 (57.89)</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Other</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 (38.46)</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 (12.00)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8 (21.05)</w:t>
            </w:r>
          </w:p>
        </w:tc>
      </w:tr>
      <w:tr w:rsidR="003B167F" w:rsidRPr="006353B9" w:rsidTr="00B9633C">
        <w:trPr>
          <w:cantSplit/>
          <w:jc w:val="center"/>
        </w:trPr>
        <w:tc>
          <w:tcPr>
            <w:tcW w:w="283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Other</w:t>
            </w:r>
          </w:p>
        </w:tc>
        <w:tc>
          <w:tcPr>
            <w:tcW w:w="85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26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50"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Liver Metastasis Surgery</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(12.50)</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Promoter Decision</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(12.50)</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Radiotherapy After First Dp</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(12.50)</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Sponsor's Decision</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 (66.66)</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 (37.50)</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 xml:space="preserve">Sponsor's Decision </w:t>
            </w:r>
            <w:proofErr w:type="gramStart"/>
            <w:r w:rsidRPr="006353B9">
              <w:rPr>
                <w:color w:val="auto"/>
                <w:lang w:val="en-US"/>
              </w:rPr>
              <w:t>For</w:t>
            </w:r>
            <w:proofErr w:type="gramEnd"/>
            <w:r w:rsidRPr="006353B9">
              <w:rPr>
                <w:color w:val="auto"/>
                <w:lang w:val="en-US"/>
              </w:rPr>
              <w:t xml:space="preserve"> Study Premature Discontinuation</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(20.00)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(12.50)</w:t>
            </w:r>
          </w:p>
        </w:tc>
      </w:tr>
      <w:tr w:rsidR="003B167F" w:rsidRPr="006353B9" w:rsidTr="00B9633C">
        <w:trPr>
          <w:cantSplit/>
          <w:jc w:val="center"/>
        </w:trPr>
        <w:tc>
          <w:tcPr>
            <w:tcW w:w="283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Therapeutic Failure</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 (0.00)</w:t>
            </w:r>
          </w:p>
        </w:tc>
        <w:tc>
          <w:tcPr>
            <w:tcW w:w="226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(33.33)</w:t>
            </w:r>
          </w:p>
        </w:tc>
        <w:tc>
          <w:tcPr>
            <w:tcW w:w="115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(12.50)</w:t>
            </w:r>
          </w:p>
        </w:tc>
      </w:tr>
    </w:tbl>
    <w:p w:rsidR="00B9633C" w:rsidRDefault="00B9633C" w:rsidP="00B9633C">
      <w:pPr>
        <w:spacing w:line="240" w:lineRule="auto"/>
        <w:jc w:val="both"/>
        <w:rPr>
          <w:color w:val="auto"/>
          <w:lang w:val="en-US"/>
        </w:rPr>
      </w:pPr>
    </w:p>
    <w:p w:rsidR="003B167F" w:rsidRDefault="003B167F" w:rsidP="00B9633C">
      <w:pPr>
        <w:spacing w:line="240" w:lineRule="auto"/>
        <w:jc w:val="both"/>
        <w:rPr>
          <w:color w:val="auto"/>
          <w:lang w:val="en-US"/>
        </w:rPr>
      </w:pPr>
      <w:r>
        <w:rPr>
          <w:color w:val="auto"/>
          <w:lang w:val="en-US"/>
        </w:rPr>
        <w:t>Thirty-eight</w:t>
      </w:r>
      <w:r w:rsidRPr="00386D8E">
        <w:rPr>
          <w:color w:val="auto"/>
          <w:lang w:val="en-US"/>
        </w:rPr>
        <w:t xml:space="preserve"> subjects (92,68%) terminated their study participation prematurely with 25 subjects (96,15%) from the exper</w:t>
      </w:r>
      <w:r>
        <w:rPr>
          <w:color w:val="auto"/>
          <w:lang w:val="en-US"/>
        </w:rPr>
        <w:t>i</w:t>
      </w:r>
      <w:r w:rsidRPr="00386D8E">
        <w:rPr>
          <w:color w:val="auto"/>
          <w:lang w:val="en-US"/>
        </w:rPr>
        <w:t>mental arm and 13 subjects (86,87%) from the control arm.</w:t>
      </w:r>
    </w:p>
    <w:p w:rsidR="00B9633C" w:rsidRDefault="003B167F" w:rsidP="00B9633C">
      <w:pPr>
        <w:spacing w:line="240" w:lineRule="auto"/>
        <w:jc w:val="both"/>
        <w:rPr>
          <w:color w:val="auto"/>
          <w:lang w:val="en-US"/>
        </w:rPr>
      </w:pPr>
      <w:r w:rsidRPr="00386D8E">
        <w:rPr>
          <w:color w:val="auto"/>
          <w:lang w:val="en-US"/>
        </w:rPr>
        <w:t>D</w:t>
      </w:r>
      <w:r>
        <w:rPr>
          <w:color w:val="auto"/>
          <w:lang w:val="en-US"/>
        </w:rPr>
        <w:t>i</w:t>
      </w:r>
      <w:r w:rsidRPr="00386D8E">
        <w:rPr>
          <w:color w:val="auto"/>
          <w:lang w:val="en-US"/>
        </w:rPr>
        <w:t>sease progression was the primary cause for the study discontinuation for 22 subjects (57,89%) with 18 subjects (72%) belong</w:t>
      </w:r>
      <w:r>
        <w:rPr>
          <w:color w:val="auto"/>
          <w:lang w:val="en-US"/>
        </w:rPr>
        <w:t>ing</w:t>
      </w:r>
      <w:r w:rsidRPr="00386D8E">
        <w:rPr>
          <w:color w:val="auto"/>
          <w:lang w:val="en-US"/>
        </w:rPr>
        <w:t xml:space="preserve"> to the exp</w:t>
      </w:r>
      <w:r>
        <w:rPr>
          <w:color w:val="auto"/>
          <w:lang w:val="en-US"/>
        </w:rPr>
        <w:t>eri</w:t>
      </w:r>
      <w:r w:rsidRPr="00386D8E">
        <w:rPr>
          <w:color w:val="auto"/>
          <w:lang w:val="en-US"/>
        </w:rPr>
        <w:t xml:space="preserve">mental arm and </w:t>
      </w:r>
      <w:r>
        <w:rPr>
          <w:color w:val="auto"/>
          <w:lang w:val="en-US"/>
        </w:rPr>
        <w:t>four</w:t>
      </w:r>
      <w:r w:rsidRPr="00386D8E">
        <w:rPr>
          <w:color w:val="auto"/>
          <w:lang w:val="en-US"/>
        </w:rPr>
        <w:t xml:space="preserve"> subjects (30,77%) to the control arm. Adverse events caused premature study discontinuation in </w:t>
      </w:r>
      <w:r>
        <w:rPr>
          <w:color w:val="auto"/>
          <w:lang w:val="en-US"/>
        </w:rPr>
        <w:t>seven</w:t>
      </w:r>
      <w:r w:rsidRPr="00386D8E">
        <w:rPr>
          <w:color w:val="auto"/>
          <w:lang w:val="en-US"/>
        </w:rPr>
        <w:t xml:space="preserve"> cases (18,42%) with such A</w:t>
      </w:r>
      <w:r>
        <w:rPr>
          <w:color w:val="auto"/>
          <w:lang w:val="en-US"/>
        </w:rPr>
        <w:t>Es</w:t>
      </w:r>
      <w:r w:rsidRPr="00386D8E">
        <w:rPr>
          <w:color w:val="auto"/>
          <w:lang w:val="en-US"/>
        </w:rPr>
        <w:t xml:space="preserve"> </w:t>
      </w:r>
      <w:r w:rsidR="00B9633C" w:rsidRPr="00386D8E">
        <w:rPr>
          <w:color w:val="auto"/>
          <w:lang w:val="en-US"/>
        </w:rPr>
        <w:t>occur</w:t>
      </w:r>
      <w:r w:rsidR="00B9633C">
        <w:rPr>
          <w:color w:val="auto"/>
          <w:lang w:val="en-US"/>
        </w:rPr>
        <w:t>ring</w:t>
      </w:r>
      <w:r w:rsidRPr="00386D8E">
        <w:rPr>
          <w:color w:val="auto"/>
          <w:lang w:val="en-US"/>
        </w:rPr>
        <w:t xml:space="preserve"> in the exper</w:t>
      </w:r>
      <w:r>
        <w:rPr>
          <w:color w:val="auto"/>
          <w:lang w:val="en-US"/>
        </w:rPr>
        <w:t>i</w:t>
      </w:r>
      <w:r w:rsidRPr="00386D8E">
        <w:rPr>
          <w:color w:val="auto"/>
          <w:lang w:val="en-US"/>
        </w:rPr>
        <w:t xml:space="preserve">mental arm and </w:t>
      </w:r>
      <w:r>
        <w:rPr>
          <w:color w:val="auto"/>
          <w:lang w:val="en-US"/>
        </w:rPr>
        <w:t>four</w:t>
      </w:r>
      <w:r w:rsidRPr="00386D8E">
        <w:rPr>
          <w:color w:val="auto"/>
          <w:lang w:val="en-US"/>
        </w:rPr>
        <w:t xml:space="preserve"> AEs</w:t>
      </w:r>
      <w:r w:rsidR="00B9633C">
        <w:rPr>
          <w:color w:val="auto"/>
          <w:lang w:val="en-US"/>
        </w:rPr>
        <w:t xml:space="preserve"> (30,77%) at the treatment arm.</w:t>
      </w:r>
    </w:p>
    <w:p w:rsidR="00B9633C" w:rsidRDefault="003B167F" w:rsidP="00B9633C">
      <w:pPr>
        <w:spacing w:line="240" w:lineRule="auto"/>
        <w:jc w:val="both"/>
        <w:rPr>
          <w:color w:val="auto"/>
          <w:lang w:val="en-US"/>
        </w:rPr>
      </w:pPr>
      <w:r w:rsidRPr="00386D8E">
        <w:rPr>
          <w:color w:val="auto"/>
          <w:lang w:val="en-US"/>
        </w:rPr>
        <w:lastRenderedPageBreak/>
        <w:t>Other reasons for early (premature) discontinuations consisted of 8 cases (21%) with 3 cases (12%) occur</w:t>
      </w:r>
      <w:r>
        <w:rPr>
          <w:color w:val="auto"/>
          <w:lang w:val="en-US"/>
        </w:rPr>
        <w:t>r</w:t>
      </w:r>
      <w:r w:rsidRPr="00386D8E">
        <w:rPr>
          <w:color w:val="auto"/>
          <w:lang w:val="en-US"/>
        </w:rPr>
        <w:t xml:space="preserve">ed in the experimental arm and </w:t>
      </w:r>
      <w:r>
        <w:rPr>
          <w:color w:val="auto"/>
          <w:lang w:val="en-US"/>
        </w:rPr>
        <w:t>five</w:t>
      </w:r>
      <w:r w:rsidRPr="00386D8E">
        <w:rPr>
          <w:color w:val="auto"/>
          <w:lang w:val="en-US"/>
        </w:rPr>
        <w:t xml:space="preserve"> cases (38,46%) in the control arm</w:t>
      </w:r>
      <w:r>
        <w:rPr>
          <w:color w:val="auto"/>
          <w:lang w:val="en-US"/>
        </w:rPr>
        <w:t>.</w:t>
      </w:r>
    </w:p>
    <w:p w:rsidR="003B167F" w:rsidRPr="00386D8E" w:rsidRDefault="003B167F" w:rsidP="00B9633C">
      <w:pPr>
        <w:spacing w:line="240" w:lineRule="auto"/>
        <w:jc w:val="both"/>
        <w:rPr>
          <w:color w:val="auto"/>
          <w:lang w:val="en-US"/>
        </w:rPr>
      </w:pPr>
      <w:r>
        <w:rPr>
          <w:color w:val="auto"/>
          <w:lang w:val="en-US"/>
        </w:rPr>
        <w:t xml:space="preserve"> Sponsor’s and Coordinator Investigator’s decisions of premature discontinuation occurred in five cases (two for the experimental arm and three for the co</w:t>
      </w:r>
      <w:r w:rsidR="00B9633C">
        <w:rPr>
          <w:color w:val="auto"/>
          <w:lang w:val="en-US"/>
        </w:rPr>
        <w:t>ntrol arm), one patient that und</w:t>
      </w:r>
      <w:r>
        <w:rPr>
          <w:color w:val="auto"/>
          <w:lang w:val="en-US"/>
        </w:rPr>
        <w:t xml:space="preserve">erwent surgery for liver metastasis and one therapeutic failure. </w:t>
      </w:r>
    </w:p>
    <w:p w:rsidR="003B167F" w:rsidRDefault="003B167F" w:rsidP="00B9633C">
      <w:pPr>
        <w:spacing w:line="240" w:lineRule="auto"/>
        <w:jc w:val="both"/>
        <w:rPr>
          <w:color w:val="auto"/>
          <w:lang w:val="en-US"/>
        </w:rPr>
      </w:pPr>
      <w:bookmarkStart w:id="41" w:name="_Toc500240916"/>
    </w:p>
    <w:p w:rsidR="003B167F" w:rsidRDefault="003B167F" w:rsidP="00B9633C">
      <w:pPr>
        <w:spacing w:line="240" w:lineRule="auto"/>
        <w:jc w:val="both"/>
        <w:rPr>
          <w:color w:val="auto"/>
          <w:lang w:val="en-US"/>
        </w:rPr>
      </w:pPr>
      <w:r>
        <w:rPr>
          <w:color w:val="auto"/>
          <w:lang w:val="en-US"/>
        </w:rPr>
        <w:t xml:space="preserve">Table 6 provides case by case information </w:t>
      </w:r>
      <w:r w:rsidR="00363712">
        <w:rPr>
          <w:color w:val="auto"/>
          <w:lang w:val="en-US"/>
        </w:rPr>
        <w:t>regarding</w:t>
      </w:r>
      <w:r>
        <w:rPr>
          <w:color w:val="auto"/>
          <w:lang w:val="en-US"/>
        </w:rPr>
        <w:t xml:space="preserve"> each case of premature withdrawal happened during the study. </w:t>
      </w:r>
    </w:p>
    <w:p w:rsidR="003B167F" w:rsidRDefault="003B167F" w:rsidP="003B167F">
      <w:pPr>
        <w:jc w:val="both"/>
        <w:rPr>
          <w:color w:val="auto"/>
          <w:lang w:val="en-US"/>
        </w:rPr>
      </w:pPr>
    </w:p>
    <w:p w:rsidR="003B167F" w:rsidRPr="00FB4EE7" w:rsidRDefault="003B167F" w:rsidP="003B167F">
      <w:pPr>
        <w:jc w:val="both"/>
        <w:rPr>
          <w:b/>
          <w:color w:val="auto"/>
          <w:lang w:val="en-US"/>
        </w:rPr>
      </w:pPr>
      <w:r w:rsidRPr="00FB4EE7">
        <w:rPr>
          <w:b/>
          <w:color w:val="auto"/>
          <w:lang w:val="en-US"/>
        </w:rPr>
        <w:t>Table 6. Premature Withdrawal by treatment arm</w:t>
      </w:r>
      <w:bookmarkEnd w:id="41"/>
    </w:p>
    <w:tbl>
      <w:tblPr>
        <w:tblW w:w="5000" w:type="pct"/>
        <w:jc w:val="center"/>
        <w:tblCellMar>
          <w:left w:w="0" w:type="dxa"/>
          <w:right w:w="0" w:type="dxa"/>
        </w:tblCellMar>
        <w:tblLook w:val="0000" w:firstRow="0" w:lastRow="0" w:firstColumn="0" w:lastColumn="0" w:noHBand="0" w:noVBand="0"/>
      </w:tblPr>
      <w:tblGrid>
        <w:gridCol w:w="1357"/>
        <w:gridCol w:w="868"/>
        <w:gridCol w:w="2422"/>
        <w:gridCol w:w="1236"/>
        <w:gridCol w:w="1284"/>
        <w:gridCol w:w="1443"/>
      </w:tblGrid>
      <w:tr w:rsidR="003B167F" w:rsidRPr="00315F25" w:rsidTr="009A2182">
        <w:trPr>
          <w:cantSplit/>
          <w:tblHeader/>
          <w:jc w:val="center"/>
        </w:trPr>
        <w:tc>
          <w:tcPr>
            <w:tcW w:w="839"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jc w:val="both"/>
              <w:rPr>
                <w:b/>
                <w:bCs/>
                <w:color w:val="auto"/>
                <w:lang w:val="en-US"/>
              </w:rPr>
            </w:pPr>
            <w:r w:rsidRPr="00315F25">
              <w:rPr>
                <w:b/>
                <w:bCs/>
                <w:color w:val="auto"/>
                <w:lang w:val="en-US"/>
              </w:rPr>
              <w:t>Site</w:t>
            </w:r>
          </w:p>
        </w:tc>
        <w:tc>
          <w:tcPr>
            <w:tcW w:w="269"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jc w:val="both"/>
              <w:rPr>
                <w:b/>
                <w:bCs/>
                <w:color w:val="auto"/>
                <w:lang w:val="en-US"/>
              </w:rPr>
            </w:pPr>
            <w:r w:rsidRPr="00315F25">
              <w:rPr>
                <w:b/>
                <w:bCs/>
                <w:color w:val="auto"/>
                <w:lang w:val="en-US"/>
              </w:rPr>
              <w:t>Patient</w:t>
            </w:r>
          </w:p>
        </w:tc>
        <w:tc>
          <w:tcPr>
            <w:tcW w:w="1925"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jc w:val="both"/>
              <w:rPr>
                <w:b/>
                <w:bCs/>
                <w:color w:val="auto"/>
                <w:lang w:val="en-US"/>
              </w:rPr>
            </w:pPr>
            <w:r w:rsidRPr="00315F25">
              <w:rPr>
                <w:b/>
                <w:bCs/>
                <w:color w:val="auto"/>
                <w:lang w:val="en-US"/>
              </w:rPr>
              <w:t>Randomization treatment arm</w:t>
            </w:r>
          </w:p>
        </w:tc>
        <w:tc>
          <w:tcPr>
            <w:tcW w:w="360"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rPr>
                <w:b/>
                <w:bCs/>
                <w:color w:val="auto"/>
                <w:lang w:val="en-US"/>
              </w:rPr>
            </w:pPr>
            <w:r w:rsidRPr="00315F25">
              <w:rPr>
                <w:b/>
                <w:bCs/>
                <w:color w:val="auto"/>
                <w:lang w:val="en-US"/>
              </w:rPr>
              <w:t>End of treatment Date</w:t>
            </w:r>
          </w:p>
        </w:tc>
        <w:tc>
          <w:tcPr>
            <w:tcW w:w="491"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rPr>
                <w:b/>
                <w:bCs/>
                <w:color w:val="auto"/>
                <w:lang w:val="en-US"/>
              </w:rPr>
            </w:pPr>
            <w:r w:rsidRPr="00315F25">
              <w:rPr>
                <w:b/>
                <w:bCs/>
                <w:color w:val="auto"/>
                <w:lang w:val="en-US"/>
              </w:rPr>
              <w:t>End of treatment Reason</w:t>
            </w:r>
          </w:p>
        </w:tc>
        <w:tc>
          <w:tcPr>
            <w:tcW w:w="1116" w:type="pct"/>
            <w:tcBorders>
              <w:top w:val="single" w:sz="4" w:space="0" w:color="000080"/>
              <w:left w:val="single" w:sz="4" w:space="0" w:color="FFFFFF"/>
              <w:bottom w:val="single" w:sz="4" w:space="0" w:color="000080"/>
              <w:right w:val="single" w:sz="4" w:space="0" w:color="FFFFFF"/>
            </w:tcBorders>
            <w:shd w:val="clear" w:color="auto" w:fill="D4D4D4"/>
            <w:tcMar>
              <w:left w:w="67" w:type="dxa"/>
              <w:right w:w="67" w:type="dxa"/>
            </w:tcMar>
            <w:vAlign w:val="bottom"/>
          </w:tcPr>
          <w:p w:rsidR="003B167F" w:rsidRPr="00315F25" w:rsidRDefault="003B167F" w:rsidP="00B9633C">
            <w:pPr>
              <w:adjustRightInd w:val="0"/>
              <w:spacing w:before="67" w:after="67" w:line="240" w:lineRule="auto"/>
              <w:jc w:val="both"/>
              <w:rPr>
                <w:b/>
                <w:bCs/>
                <w:color w:val="auto"/>
                <w:lang w:val="en-US"/>
              </w:rPr>
            </w:pPr>
            <w:r w:rsidRPr="00315F25">
              <w:rPr>
                <w:b/>
                <w:bCs/>
                <w:color w:val="auto"/>
                <w:lang w:val="en-US"/>
              </w:rPr>
              <w:t>Other reasons</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315F25" w:rsidRDefault="003B167F" w:rsidP="00B9633C">
            <w:pPr>
              <w:adjustRightInd w:val="0"/>
              <w:spacing w:before="67" w:after="67" w:line="240" w:lineRule="auto"/>
              <w:jc w:val="both"/>
              <w:rPr>
                <w:color w:val="auto"/>
                <w:lang w:val="en-US"/>
              </w:rPr>
            </w:pPr>
            <w:r w:rsidRPr="00315F25">
              <w:rPr>
                <w:color w:val="auto"/>
                <w:lang w:val="en-US"/>
              </w:rPr>
              <w:t>Hospital del Mar</w:t>
            </w:r>
          </w:p>
        </w:tc>
        <w:tc>
          <w:tcPr>
            <w:tcW w:w="269" w:type="pct"/>
            <w:tcBorders>
              <w:top w:val="nil"/>
              <w:left w:val="nil"/>
              <w:bottom w:val="single" w:sz="4" w:space="0" w:color="000080"/>
              <w:right w:val="nil"/>
            </w:tcBorders>
            <w:shd w:val="clear" w:color="auto" w:fill="FFFFFF"/>
            <w:tcMar>
              <w:left w:w="67" w:type="dxa"/>
              <w:right w:w="67" w:type="dxa"/>
            </w:tcMar>
          </w:tcPr>
          <w:p w:rsidR="003B167F" w:rsidRPr="000344BD" w:rsidRDefault="003B167F" w:rsidP="00B9633C">
            <w:pPr>
              <w:adjustRightInd w:val="0"/>
              <w:spacing w:before="67" w:after="67" w:line="240" w:lineRule="auto"/>
              <w:jc w:val="both"/>
              <w:rPr>
                <w:color w:val="auto"/>
                <w:lang w:val="en-US"/>
              </w:rPr>
            </w:pPr>
            <w:r w:rsidRPr="000344BD">
              <w:rPr>
                <w:color w:val="auto"/>
                <w:lang w:val="en-US"/>
              </w:rPr>
              <w:t>1001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25/05/2013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del Mar</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1003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02/04/2015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del Mar</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1004</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03/01/2017</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Clara Campal. Hospital Sanchinarro</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05/11/2013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Central de Asturias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01/10/2014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Radiotherapy After First Dp</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Central de Asturias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 xml:space="preserve">Experimental arm -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01/12/2013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Central de Asturias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22/07/2014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Central de Asturias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3004</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17/05/2015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Liver Metastasis Surgery</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Central de Asturias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3005</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27/04/2014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12 de octubre</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4001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23/10/2016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1C6CDA"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lastRenderedPageBreak/>
              <w:t>Hospital 12 de octubre</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4002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26/12/2016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 xml:space="preserve">Sponsor's Decision </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Clinico San Carlos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5002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Experimental arm</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05/05/2014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Marques de Valdecilla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6001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Experimental arm</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14/10/2013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Marques de Valdecilla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6002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05/12/2015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Therapeutic Failure</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Hospital Marques de Valdecilla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6003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22/12/2016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Promoter Decision</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16/01/2017</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Sponsor Decision</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Exper</w:t>
            </w:r>
            <w:r>
              <w:rPr>
                <w:color w:val="auto"/>
                <w:lang w:val="en-US"/>
              </w:rPr>
              <w:t xml:space="preserve">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28/04/2015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12003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09/12/2013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12004</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01/12/2013</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12005</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22/05/2014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12012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30/05/2016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12013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29/11/2015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Bordeaux University</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12014</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02/03/2017</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Sponsor Decision</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19/06/2014</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lastRenderedPageBreak/>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14003</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24/04/2016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14004</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15/10/2015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Consent withdrawal</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14005</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28/03/2016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14006</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26/07/2015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14007</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29/04/2015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14008</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18/05/2015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14009</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05/07/2016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14010</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07/04/2016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14011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20/12/2016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sidRPr="006353B9">
              <w:rPr>
                <w:color w:val="auto"/>
                <w:lang w:val="en-US"/>
              </w:rPr>
              <w:lastRenderedPageBreak/>
              <w:t>Alexandra General Hospital of Athens</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14012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10/01/2017</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Other</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Sponsor's Decision</w:t>
            </w: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s-ES"/>
              </w:rPr>
            </w:pPr>
            <w:r w:rsidRPr="006353B9">
              <w:rPr>
                <w:color w:val="auto"/>
                <w:lang w:val="es-ES"/>
              </w:rPr>
              <w:t>Hospital Virgen de la Victoria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17005</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10/09/2015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s-ES"/>
              </w:rPr>
            </w:pPr>
            <w:r w:rsidRPr="006353B9">
              <w:rPr>
                <w:color w:val="auto"/>
                <w:lang w:val="es-ES"/>
              </w:rPr>
              <w:t>Hospital Virgen de la Victoria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17006</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10/05/2016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s-ES"/>
              </w:rPr>
            </w:pPr>
            <w:r w:rsidRPr="006353B9">
              <w:rPr>
                <w:color w:val="auto"/>
                <w:lang w:val="es-ES"/>
              </w:rPr>
              <w:t>Hospital General Universitario de Valencia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20001</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Experimental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16/12/2015</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Disease progression</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r w:rsidR="003B167F" w:rsidRPr="006353B9" w:rsidTr="009A2182">
        <w:trPr>
          <w:cantSplit/>
          <w:jc w:val="center"/>
        </w:trPr>
        <w:tc>
          <w:tcPr>
            <w:tcW w:w="8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s-ES"/>
              </w:rPr>
            </w:pPr>
            <w:r w:rsidRPr="006353B9">
              <w:rPr>
                <w:color w:val="auto"/>
                <w:lang w:val="es-ES"/>
              </w:rPr>
              <w:t>Hospital General Universitario de Valencia</w:t>
            </w:r>
          </w:p>
        </w:tc>
        <w:tc>
          <w:tcPr>
            <w:tcW w:w="2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20002</w:t>
            </w:r>
          </w:p>
        </w:tc>
        <w:tc>
          <w:tcPr>
            <w:tcW w:w="192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lang w:val="en-US"/>
              </w:rPr>
            </w:pPr>
            <w:r>
              <w:rPr>
                <w:color w:val="auto"/>
                <w:lang w:val="en-US"/>
              </w:rPr>
              <w:t xml:space="preserve">Control arm </w:t>
            </w:r>
          </w:p>
        </w:tc>
        <w:tc>
          <w:tcPr>
            <w:tcW w:w="3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28/08/2016</w:t>
            </w:r>
          </w:p>
        </w:tc>
        <w:tc>
          <w:tcPr>
            <w:tcW w:w="49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r w:rsidRPr="006353B9">
              <w:rPr>
                <w:color w:val="auto"/>
              </w:rPr>
              <w:t>Adverse event(s)</w:t>
            </w:r>
          </w:p>
        </w:tc>
        <w:tc>
          <w:tcPr>
            <w:tcW w:w="111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line="240" w:lineRule="auto"/>
              <w:jc w:val="both"/>
              <w:rPr>
                <w:color w:val="auto"/>
              </w:rPr>
            </w:pPr>
          </w:p>
        </w:tc>
      </w:tr>
    </w:tbl>
    <w:p w:rsidR="00B9633C" w:rsidRDefault="00B9633C" w:rsidP="00B9633C">
      <w:pPr>
        <w:pStyle w:val="Heading2"/>
      </w:pPr>
      <w:bookmarkStart w:id="42" w:name="_Toc501022048"/>
      <w:r>
        <w:t>Major protocol deviations</w:t>
      </w:r>
      <w:bookmarkEnd w:id="42"/>
    </w:p>
    <w:p w:rsidR="003B167F" w:rsidRPr="00077EC4" w:rsidRDefault="003B167F" w:rsidP="003B167F">
      <w:pPr>
        <w:jc w:val="both"/>
        <w:rPr>
          <w:color w:val="auto"/>
          <w:lang w:val="en-US"/>
        </w:rPr>
      </w:pPr>
      <w:r w:rsidRPr="00386D8E">
        <w:rPr>
          <w:color w:val="auto"/>
          <w:lang w:val="en-US"/>
        </w:rPr>
        <w:t>There were 2 wrongfully included subjects (4,87%) one per each arm.</w:t>
      </w:r>
    </w:p>
    <w:p w:rsidR="003B167F" w:rsidRPr="00FB4EE7" w:rsidRDefault="003B167F" w:rsidP="003B167F">
      <w:pPr>
        <w:rPr>
          <w:rFonts w:eastAsia="Times New Roman"/>
          <w:b/>
          <w:color w:val="auto"/>
          <w:kern w:val="20"/>
          <w:lang w:val="en-US" w:eastAsia="es-ES"/>
        </w:rPr>
      </w:pPr>
      <w:r w:rsidRPr="006353B9">
        <w:rPr>
          <w:b/>
          <w:color w:val="auto"/>
          <w:lang w:val="en-US"/>
        </w:rPr>
        <w:br/>
      </w:r>
      <w:r w:rsidRPr="00FB4EE7">
        <w:rPr>
          <w:rFonts w:eastAsia="Times New Roman"/>
          <w:b/>
          <w:color w:val="auto"/>
          <w:kern w:val="20"/>
          <w:lang w:val="en-US" w:eastAsia="es-ES"/>
        </w:rPr>
        <w:t>Table 7. Inclusion and exclusion criteria violation</w:t>
      </w:r>
    </w:p>
    <w:tbl>
      <w:tblPr>
        <w:tblW w:w="5000" w:type="pct"/>
        <w:jc w:val="center"/>
        <w:tblCellMar>
          <w:left w:w="0" w:type="dxa"/>
          <w:right w:w="0" w:type="dxa"/>
        </w:tblCellMar>
        <w:tblLook w:val="0000" w:firstRow="0" w:lastRow="0" w:firstColumn="0" w:lastColumn="0" w:noHBand="0" w:noVBand="0"/>
      </w:tblPr>
      <w:tblGrid>
        <w:gridCol w:w="1100"/>
        <w:gridCol w:w="868"/>
        <w:gridCol w:w="1711"/>
        <w:gridCol w:w="1322"/>
        <w:gridCol w:w="1650"/>
        <w:gridCol w:w="1959"/>
      </w:tblGrid>
      <w:tr w:rsidR="003B167F" w:rsidRPr="00315F25" w:rsidTr="009A2182">
        <w:trPr>
          <w:cantSplit/>
          <w:tblHeader/>
          <w:jc w:val="center"/>
        </w:trPr>
        <w:tc>
          <w:tcPr>
            <w:tcW w:w="639"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Site</w:t>
            </w:r>
          </w:p>
        </w:tc>
        <w:tc>
          <w:tcPr>
            <w:tcW w:w="50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Patient</w:t>
            </w:r>
          </w:p>
        </w:tc>
        <w:tc>
          <w:tcPr>
            <w:tcW w:w="99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Randomization treatment arm</w:t>
            </w:r>
          </w:p>
        </w:tc>
        <w:tc>
          <w:tcPr>
            <w:tcW w:w="866"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Informed consent date</w:t>
            </w:r>
          </w:p>
        </w:tc>
        <w:tc>
          <w:tcPr>
            <w:tcW w:w="810"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Start Date Drug administration</w:t>
            </w:r>
          </w:p>
        </w:tc>
        <w:tc>
          <w:tcPr>
            <w:tcW w:w="1188" w:type="pct"/>
            <w:tcBorders>
              <w:top w:val="single" w:sz="4" w:space="0" w:color="000080"/>
              <w:left w:val="single" w:sz="4" w:space="0" w:color="FFFFFF"/>
              <w:bottom w:val="single" w:sz="4" w:space="0" w:color="000080"/>
              <w:right w:val="single" w:sz="4" w:space="0" w:color="FFFFFF"/>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Inclusion criteria</w:t>
            </w:r>
          </w:p>
        </w:tc>
      </w:tr>
      <w:tr w:rsidR="003B167F" w:rsidRPr="00AC180A" w:rsidTr="009A2182">
        <w:trPr>
          <w:cantSplit/>
          <w:jc w:val="center"/>
        </w:trPr>
        <w:tc>
          <w:tcPr>
            <w:tcW w:w="63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lang w:val="en-US"/>
              </w:rPr>
              <w:t xml:space="preserve">Bordeaux </w:t>
            </w:r>
            <w:proofErr w:type="spellStart"/>
            <w:r w:rsidRPr="006353B9">
              <w:rPr>
                <w:color w:val="auto"/>
                <w:lang w:val="en-US"/>
              </w:rPr>
              <w:t>Unive</w:t>
            </w:r>
            <w:proofErr w:type="spellEnd"/>
            <w:r w:rsidRPr="006353B9">
              <w:rPr>
                <w:color w:val="auto"/>
              </w:rPr>
              <w:t>rsity</w:t>
            </w:r>
          </w:p>
        </w:tc>
        <w:tc>
          <w:tcPr>
            <w:tcW w:w="50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12002</w:t>
            </w:r>
          </w:p>
        </w:tc>
        <w:tc>
          <w:tcPr>
            <w:tcW w:w="99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Experimenta</w:t>
            </w:r>
            <w:r>
              <w:rPr>
                <w:color w:val="auto"/>
                <w:lang w:val="en-US"/>
              </w:rPr>
              <w:t xml:space="preserve">l arm </w:t>
            </w:r>
          </w:p>
        </w:tc>
        <w:tc>
          <w:tcPr>
            <w:tcW w:w="86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05/02/2013</w:t>
            </w:r>
          </w:p>
        </w:tc>
        <w:tc>
          <w:tcPr>
            <w:tcW w:w="81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25FEB2013</w:t>
            </w:r>
          </w:p>
        </w:tc>
        <w:tc>
          <w:tcPr>
            <w:tcW w:w="1188"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B9633C">
            <w:pPr>
              <w:adjustRightInd w:val="0"/>
              <w:spacing w:before="67" w:after="67"/>
              <w:rPr>
                <w:color w:val="auto"/>
                <w:lang w:val="en-US"/>
              </w:rPr>
            </w:pPr>
            <w:r w:rsidRPr="006353B9">
              <w:rPr>
                <w:color w:val="auto"/>
                <w:lang w:val="en-US"/>
              </w:rPr>
              <w:t xml:space="preserve">Patient doesn´t fulfil Inclusion </w:t>
            </w:r>
            <w:proofErr w:type="gramStart"/>
            <w:r w:rsidRPr="006353B9">
              <w:rPr>
                <w:color w:val="auto"/>
                <w:lang w:val="en-US"/>
              </w:rPr>
              <w:t>criteri</w:t>
            </w:r>
            <w:r>
              <w:rPr>
                <w:color w:val="auto"/>
                <w:lang w:val="en-US"/>
              </w:rPr>
              <w:t>on</w:t>
            </w:r>
            <w:proofErr w:type="gramEnd"/>
            <w:r w:rsidRPr="006353B9">
              <w:rPr>
                <w:color w:val="auto"/>
                <w:lang w:val="en-US"/>
              </w:rPr>
              <w:t xml:space="preserve"> Number 9 a)</w:t>
            </w:r>
          </w:p>
        </w:tc>
      </w:tr>
    </w:tbl>
    <w:p w:rsidR="003B167F" w:rsidRPr="006353B9" w:rsidRDefault="003B167F" w:rsidP="003B167F">
      <w:pPr>
        <w:jc w:val="both"/>
        <w:rPr>
          <w:color w:val="auto"/>
          <w:lang w:val="en-US"/>
        </w:rPr>
      </w:pPr>
    </w:p>
    <w:tbl>
      <w:tblPr>
        <w:tblW w:w="5000" w:type="pct"/>
        <w:jc w:val="center"/>
        <w:tblCellMar>
          <w:left w:w="0" w:type="dxa"/>
          <w:right w:w="0" w:type="dxa"/>
        </w:tblCellMar>
        <w:tblLook w:val="0000" w:firstRow="0" w:lastRow="0" w:firstColumn="0" w:lastColumn="0" w:noHBand="0" w:noVBand="0"/>
      </w:tblPr>
      <w:tblGrid>
        <w:gridCol w:w="1119"/>
        <w:gridCol w:w="868"/>
        <w:gridCol w:w="1840"/>
        <w:gridCol w:w="1236"/>
        <w:gridCol w:w="1730"/>
        <w:gridCol w:w="1817"/>
      </w:tblGrid>
      <w:tr w:rsidR="003B167F" w:rsidRPr="006353B9" w:rsidTr="009A2182">
        <w:trPr>
          <w:cantSplit/>
          <w:tblHeader/>
          <w:jc w:val="center"/>
        </w:trPr>
        <w:tc>
          <w:tcPr>
            <w:tcW w:w="677"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lastRenderedPageBreak/>
              <w:t>Site</w:t>
            </w:r>
          </w:p>
        </w:tc>
        <w:tc>
          <w:tcPr>
            <w:tcW w:w="369"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Patient</w:t>
            </w:r>
          </w:p>
        </w:tc>
        <w:tc>
          <w:tcPr>
            <w:tcW w:w="1096"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Randomization treatment arm</w:t>
            </w:r>
          </w:p>
        </w:tc>
        <w:tc>
          <w:tcPr>
            <w:tcW w:w="732"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Informed consent date</w:t>
            </w:r>
          </w:p>
        </w:tc>
        <w:tc>
          <w:tcPr>
            <w:tcW w:w="104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Start Date Drug administration</w:t>
            </w:r>
          </w:p>
        </w:tc>
        <w:tc>
          <w:tcPr>
            <w:tcW w:w="1082" w:type="pct"/>
            <w:tcBorders>
              <w:top w:val="single" w:sz="4" w:space="0" w:color="000080"/>
              <w:left w:val="single" w:sz="4" w:space="0" w:color="FFFFFF"/>
              <w:bottom w:val="single" w:sz="4" w:space="0" w:color="000080"/>
              <w:right w:val="single" w:sz="4" w:space="0" w:color="FFFFFF"/>
            </w:tcBorders>
            <w:shd w:val="clear" w:color="auto" w:fill="D4D4D4"/>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Exclusion criteria</w:t>
            </w:r>
          </w:p>
        </w:tc>
      </w:tr>
      <w:tr w:rsidR="003B167F" w:rsidRPr="00AC180A" w:rsidTr="009A2182">
        <w:trPr>
          <w:cantSplit/>
          <w:jc w:val="center"/>
        </w:trPr>
        <w:tc>
          <w:tcPr>
            <w:tcW w:w="677"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s-ES"/>
              </w:rPr>
            </w:pPr>
            <w:r w:rsidRPr="006353B9">
              <w:rPr>
                <w:color w:val="auto"/>
                <w:lang w:val="es-ES"/>
              </w:rPr>
              <w:t>Hospital Virgen de la Victoria</w:t>
            </w:r>
          </w:p>
        </w:tc>
        <w:tc>
          <w:tcPr>
            <w:tcW w:w="36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17006</w:t>
            </w:r>
          </w:p>
        </w:tc>
        <w:tc>
          <w:tcPr>
            <w:tcW w:w="109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 xml:space="preserve">Control arm </w:t>
            </w:r>
          </w:p>
        </w:tc>
        <w:tc>
          <w:tcPr>
            <w:tcW w:w="732"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16/12/2015</w:t>
            </w:r>
          </w:p>
        </w:tc>
        <w:tc>
          <w:tcPr>
            <w:tcW w:w="104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21DEC2015</w:t>
            </w:r>
          </w:p>
        </w:tc>
        <w:tc>
          <w:tcPr>
            <w:tcW w:w="1082"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 xml:space="preserve">Patient doesn´t fulfil Exclusion </w:t>
            </w:r>
            <w:proofErr w:type="gramStart"/>
            <w:r w:rsidRPr="006353B9">
              <w:rPr>
                <w:color w:val="auto"/>
                <w:lang w:val="en-US"/>
              </w:rPr>
              <w:t>criteri</w:t>
            </w:r>
            <w:r>
              <w:rPr>
                <w:color w:val="auto"/>
                <w:lang w:val="en-US"/>
              </w:rPr>
              <w:t>on</w:t>
            </w:r>
            <w:proofErr w:type="gramEnd"/>
            <w:r w:rsidRPr="006353B9">
              <w:rPr>
                <w:color w:val="auto"/>
                <w:lang w:val="en-US"/>
              </w:rPr>
              <w:t xml:space="preserve"> Number 15</w:t>
            </w:r>
          </w:p>
        </w:tc>
      </w:tr>
    </w:tbl>
    <w:p w:rsidR="003B167F" w:rsidRPr="006353B9" w:rsidRDefault="003B167F" w:rsidP="003B167F">
      <w:pPr>
        <w:pStyle w:val="Normal1"/>
        <w:jc w:val="both"/>
        <w:rPr>
          <w:b/>
          <w:color w:val="auto"/>
          <w:lang w:val="en-US"/>
        </w:rPr>
      </w:pPr>
    </w:p>
    <w:p w:rsidR="003B167F" w:rsidRPr="006353B9" w:rsidRDefault="003B167F" w:rsidP="00B9633C">
      <w:pPr>
        <w:pStyle w:val="Heading1"/>
      </w:pPr>
      <w:bookmarkStart w:id="43" w:name="_Toc501022049"/>
      <w:r w:rsidRPr="006353B9">
        <w:t>EFFICACY EVALUATION</w:t>
      </w:r>
      <w:bookmarkEnd w:id="43"/>
    </w:p>
    <w:p w:rsidR="003B167F" w:rsidRPr="006353B9" w:rsidRDefault="003B167F" w:rsidP="00B9633C">
      <w:pPr>
        <w:pStyle w:val="Heading2"/>
      </w:pPr>
      <w:bookmarkStart w:id="44" w:name="_Toc501022050"/>
      <w:r w:rsidRPr="006353B9">
        <w:t>Data Sets Analyzed</w:t>
      </w:r>
      <w:bookmarkEnd w:id="44"/>
    </w:p>
    <w:tbl>
      <w:tblPr>
        <w:tblW w:w="8647" w:type="dxa"/>
        <w:jc w:val="center"/>
        <w:tblCellMar>
          <w:left w:w="0" w:type="dxa"/>
          <w:right w:w="0" w:type="dxa"/>
        </w:tblCellMar>
        <w:tblLook w:val="0000" w:firstRow="0" w:lastRow="0" w:firstColumn="0" w:lastColumn="0" w:noHBand="0" w:noVBand="0"/>
      </w:tblPr>
      <w:tblGrid>
        <w:gridCol w:w="6662"/>
        <w:gridCol w:w="851"/>
        <w:gridCol w:w="1134"/>
      </w:tblGrid>
      <w:tr w:rsidR="003B167F" w:rsidRPr="006353B9" w:rsidTr="00D22C4D">
        <w:trPr>
          <w:cantSplit/>
          <w:tblHeader/>
          <w:jc w:val="center"/>
        </w:trPr>
        <w:tc>
          <w:tcPr>
            <w:tcW w:w="7513"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1134"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D22C4D">
        <w:trPr>
          <w:cantSplit/>
          <w:jc w:val="center"/>
        </w:trPr>
        <w:tc>
          <w:tcPr>
            <w:tcW w:w="666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Randomization treatment arm</w:t>
            </w:r>
          </w:p>
        </w:tc>
        <w:tc>
          <w:tcPr>
            <w:tcW w:w="85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34"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66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 xml:space="preserve">Control arm - Sequential treatment: </w:t>
            </w:r>
            <w:proofErr w:type="spellStart"/>
            <w:r w:rsidRPr="006353B9">
              <w:rPr>
                <w:color w:val="auto"/>
                <w:lang w:val="en-US"/>
              </w:rPr>
              <w:t>Sunitinib</w:t>
            </w:r>
            <w:proofErr w:type="spellEnd"/>
            <w:r w:rsidRPr="006353B9">
              <w:rPr>
                <w:color w:val="auto"/>
                <w:lang w:val="en-US"/>
              </w:rPr>
              <w:t xml:space="preserve"> until progression and </w:t>
            </w:r>
            <w:proofErr w:type="spellStart"/>
            <w:r w:rsidRPr="006353B9">
              <w:rPr>
                <w:color w:val="auto"/>
                <w:lang w:val="en-US"/>
              </w:rPr>
              <w:t>Everolimus</w:t>
            </w:r>
            <w:proofErr w:type="spellEnd"/>
            <w:r w:rsidRPr="006353B9">
              <w:rPr>
                <w:color w:val="auto"/>
                <w:lang w:val="en-US"/>
              </w:rPr>
              <w:t xml:space="preserve"> </w:t>
            </w:r>
            <w:proofErr w:type="gramStart"/>
            <w:r w:rsidRPr="006353B9">
              <w:rPr>
                <w:color w:val="auto"/>
                <w:lang w:val="en-US"/>
              </w:rPr>
              <w:t>later on</w:t>
            </w:r>
            <w:proofErr w:type="gramEnd"/>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134"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15 (36.59)</w:t>
            </w:r>
          </w:p>
        </w:tc>
      </w:tr>
      <w:tr w:rsidR="003B167F" w:rsidRPr="006353B9" w:rsidTr="00D22C4D">
        <w:trPr>
          <w:cantSplit/>
          <w:jc w:val="center"/>
        </w:trPr>
        <w:tc>
          <w:tcPr>
            <w:tcW w:w="66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lang w:val="en-US"/>
              </w:rPr>
            </w:pPr>
            <w:r w:rsidRPr="006353B9">
              <w:rPr>
                <w:color w:val="auto"/>
                <w:lang w:val="en-US"/>
              </w:rPr>
              <w:t xml:space="preserve">Experimental arm - Alternating treatment: </w:t>
            </w:r>
            <w:proofErr w:type="spellStart"/>
            <w:r w:rsidRPr="006353B9">
              <w:rPr>
                <w:color w:val="auto"/>
                <w:lang w:val="en-US"/>
              </w:rPr>
              <w:t>Sunitinib</w:t>
            </w:r>
            <w:proofErr w:type="spellEnd"/>
            <w:r w:rsidRPr="006353B9">
              <w:rPr>
                <w:color w:val="auto"/>
                <w:lang w:val="en-US"/>
              </w:rPr>
              <w:t xml:space="preserve"> and </w:t>
            </w:r>
            <w:proofErr w:type="spellStart"/>
            <w:r w:rsidRPr="006353B9">
              <w:rPr>
                <w:color w:val="auto"/>
                <w:lang w:val="en-US"/>
              </w:rPr>
              <w:t>Everolimus</w:t>
            </w:r>
            <w:proofErr w:type="spellEnd"/>
            <w:r w:rsidRPr="006353B9">
              <w:rPr>
                <w:color w:val="auto"/>
                <w:lang w:val="en-US"/>
              </w:rPr>
              <w:t>, intermittent, until progression</w:t>
            </w:r>
          </w:p>
        </w:tc>
        <w:tc>
          <w:tcPr>
            <w:tcW w:w="85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134"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26 (63.41)</w:t>
            </w:r>
          </w:p>
        </w:tc>
      </w:tr>
    </w:tbl>
    <w:p w:rsidR="00B9633C" w:rsidRDefault="00B9633C" w:rsidP="00D22C4D">
      <w:pPr>
        <w:spacing w:line="240" w:lineRule="auto"/>
        <w:jc w:val="both"/>
        <w:rPr>
          <w:iCs/>
          <w:color w:val="auto"/>
          <w:lang w:val="en-US"/>
        </w:rPr>
      </w:pPr>
    </w:p>
    <w:p w:rsidR="003B167F" w:rsidRDefault="003B167F" w:rsidP="00D22C4D">
      <w:pPr>
        <w:spacing w:line="240" w:lineRule="auto"/>
        <w:jc w:val="both"/>
        <w:rPr>
          <w:color w:val="auto"/>
          <w:lang w:val="en-US"/>
        </w:rPr>
      </w:pPr>
      <w:r>
        <w:rPr>
          <w:iCs/>
          <w:color w:val="auto"/>
          <w:lang w:val="en-US"/>
        </w:rPr>
        <w:t xml:space="preserve">Full Analysis set (FAS). </w:t>
      </w:r>
      <w:r w:rsidRPr="006353B9">
        <w:rPr>
          <w:color w:val="auto"/>
          <w:lang w:val="en-US"/>
        </w:rPr>
        <w:t>It consists of all randomized patients having taken at least one dose of the study medication.</w:t>
      </w:r>
    </w:p>
    <w:p w:rsidR="00D22C4D" w:rsidRPr="006353B9" w:rsidRDefault="00D22C4D" w:rsidP="00D22C4D">
      <w:pPr>
        <w:spacing w:line="240" w:lineRule="auto"/>
        <w:jc w:val="both"/>
        <w:rPr>
          <w:iCs/>
          <w:color w:val="auto"/>
          <w:lang w:val="en-US"/>
        </w:rPr>
      </w:pPr>
    </w:p>
    <w:p w:rsidR="00D22C4D" w:rsidRDefault="00D22C4D" w:rsidP="00D22C4D">
      <w:pPr>
        <w:spacing w:line="240" w:lineRule="auto"/>
        <w:jc w:val="both"/>
        <w:rPr>
          <w:iCs/>
          <w:color w:val="auto"/>
          <w:lang w:val="en-US"/>
        </w:rPr>
      </w:pPr>
    </w:p>
    <w:p w:rsidR="00D22C4D" w:rsidRDefault="003B167F" w:rsidP="00D22C4D">
      <w:pPr>
        <w:spacing w:line="240" w:lineRule="auto"/>
        <w:jc w:val="both"/>
        <w:rPr>
          <w:iCs/>
          <w:color w:val="auto"/>
          <w:lang w:val="en-US"/>
        </w:rPr>
      </w:pPr>
      <w:r w:rsidRPr="006353B9">
        <w:rPr>
          <w:iCs/>
          <w:color w:val="auto"/>
          <w:lang w:val="en-US"/>
        </w:rPr>
        <w:t>Safety Population (SAF)</w:t>
      </w:r>
    </w:p>
    <w:p w:rsidR="003B167F" w:rsidRPr="000344BD" w:rsidRDefault="003B167F" w:rsidP="00D22C4D">
      <w:pPr>
        <w:spacing w:line="240" w:lineRule="auto"/>
        <w:jc w:val="both"/>
        <w:rPr>
          <w:color w:val="auto"/>
          <w:lang w:val="en-US"/>
        </w:rPr>
      </w:pPr>
      <w:r w:rsidRPr="006353B9">
        <w:rPr>
          <w:color w:val="auto"/>
          <w:lang w:val="en-US"/>
        </w:rPr>
        <w:t>It consists of all patients who received at least one dose of study medication (i.e. one dose of any compound of the study treatment) and with a valid post baseline safety assessment. Patients are analyzed according to the treatment received. Patients who have received at least one dose of study drug but who have no post-treatment safety data of any kind would be excluded from the safety population.</w:t>
      </w:r>
    </w:p>
    <w:p w:rsidR="003B167F" w:rsidRPr="006353B9" w:rsidRDefault="003B167F" w:rsidP="00D22C4D">
      <w:pPr>
        <w:spacing w:line="240" w:lineRule="auto"/>
        <w:ind w:left="720"/>
        <w:jc w:val="both"/>
        <w:rPr>
          <w:rFonts w:eastAsia="Times New Roman"/>
          <w:b/>
          <w:color w:val="auto"/>
          <w:lang w:val="en-US"/>
        </w:rPr>
      </w:pPr>
    </w:p>
    <w:p w:rsidR="003B167F" w:rsidRPr="006353B9" w:rsidRDefault="003B167F" w:rsidP="00D22C4D">
      <w:pPr>
        <w:pStyle w:val="Heading2"/>
        <w:spacing w:before="0" w:line="240" w:lineRule="auto"/>
      </w:pPr>
      <w:bookmarkStart w:id="45" w:name="_Toc501022051"/>
      <w:r w:rsidRPr="006353B9">
        <w:t>Demographic and Other Baseline Characteristics</w:t>
      </w:r>
      <w:bookmarkEnd w:id="45"/>
      <w:r w:rsidRPr="006353B9">
        <w:br/>
      </w:r>
    </w:p>
    <w:p w:rsidR="003B167F" w:rsidRPr="000344BD" w:rsidRDefault="003B167F" w:rsidP="00D22C4D">
      <w:pPr>
        <w:spacing w:line="240" w:lineRule="auto"/>
        <w:jc w:val="both"/>
        <w:rPr>
          <w:rFonts w:eastAsia="Times New Roman"/>
          <w:b/>
          <w:color w:val="auto"/>
          <w:lang w:val="en-US"/>
        </w:rPr>
      </w:pPr>
      <w:bookmarkStart w:id="46" w:name="_Toc500240895"/>
      <w:r w:rsidRPr="00063905">
        <w:rPr>
          <w:color w:val="auto"/>
          <w:lang w:val="en-US"/>
        </w:rPr>
        <w:t>Demographics by treatment arm</w:t>
      </w:r>
      <w:bookmarkEnd w:id="46"/>
      <w:r>
        <w:rPr>
          <w:color w:val="auto"/>
          <w:lang w:val="en-US"/>
        </w:rPr>
        <w:t xml:space="preserve"> are shown at the Table 8.</w:t>
      </w:r>
    </w:p>
    <w:p w:rsidR="003B167F" w:rsidRPr="006353B9" w:rsidRDefault="003B167F" w:rsidP="003B167F">
      <w:pPr>
        <w:jc w:val="both"/>
        <w:rPr>
          <w:color w:val="auto"/>
          <w:lang w:val="en-US"/>
        </w:rPr>
      </w:pPr>
      <w:r w:rsidRPr="00063905">
        <w:rPr>
          <w:color w:val="auto"/>
          <w:lang w:val="en-US" w:eastAsia="es-ES"/>
        </w:rPr>
        <w:t xml:space="preserve">Forty-one patients were included in total, </w:t>
      </w:r>
      <w:r>
        <w:rPr>
          <w:color w:val="auto"/>
          <w:lang w:val="en-US" w:eastAsia="es-ES"/>
        </w:rPr>
        <w:t>all were Caucasians, among them 34 males (82,93%) and seven females (17,07%). M</w:t>
      </w:r>
      <w:r w:rsidRPr="00063905">
        <w:rPr>
          <w:color w:val="auto"/>
          <w:lang w:val="en-US" w:eastAsia="es-ES"/>
        </w:rPr>
        <w:t xml:space="preserve">ean age </w:t>
      </w:r>
      <w:r>
        <w:rPr>
          <w:color w:val="auto"/>
          <w:lang w:val="en-US" w:eastAsia="es-ES"/>
        </w:rPr>
        <w:t xml:space="preserve">was 60,05 years for overall study population (59,35 for the experimental arm and 61,27 for the control arm). The youngest patient was at his age of 34 and the oldest one at 77 years. </w:t>
      </w:r>
    </w:p>
    <w:p w:rsidR="003B167F" w:rsidRDefault="003B167F" w:rsidP="003B167F">
      <w:pPr>
        <w:jc w:val="both"/>
        <w:rPr>
          <w:color w:val="auto"/>
          <w:lang w:val="en-US"/>
        </w:rPr>
      </w:pPr>
    </w:p>
    <w:p w:rsidR="003B167F" w:rsidRPr="00FB4EE7" w:rsidRDefault="003B167F" w:rsidP="003B167F">
      <w:pPr>
        <w:jc w:val="both"/>
        <w:rPr>
          <w:b/>
          <w:color w:val="auto"/>
          <w:lang w:val="en-US"/>
        </w:rPr>
      </w:pPr>
      <w:r w:rsidRPr="00FB4EE7">
        <w:rPr>
          <w:b/>
          <w:color w:val="auto"/>
          <w:lang w:val="en-US"/>
        </w:rPr>
        <w:lastRenderedPageBreak/>
        <w:t xml:space="preserve">Table 8. Demographics by treatment arm distribution. </w:t>
      </w:r>
    </w:p>
    <w:tbl>
      <w:tblPr>
        <w:tblW w:w="0" w:type="auto"/>
        <w:jc w:val="center"/>
        <w:tblLayout w:type="fixed"/>
        <w:tblCellMar>
          <w:left w:w="0" w:type="dxa"/>
          <w:right w:w="0" w:type="dxa"/>
        </w:tblCellMar>
        <w:tblLook w:val="0000" w:firstRow="0" w:lastRow="0" w:firstColumn="0" w:lastColumn="0" w:noHBand="0" w:noVBand="0"/>
      </w:tblPr>
      <w:tblGrid>
        <w:gridCol w:w="1310"/>
        <w:gridCol w:w="1262"/>
        <w:gridCol w:w="1998"/>
        <w:gridCol w:w="2142"/>
        <w:gridCol w:w="1652"/>
      </w:tblGrid>
      <w:tr w:rsidR="003B167F" w:rsidRPr="006353B9" w:rsidTr="00D22C4D">
        <w:trPr>
          <w:cantSplit/>
          <w:tblHeader/>
          <w:jc w:val="center"/>
        </w:trPr>
        <w:tc>
          <w:tcPr>
            <w:tcW w:w="2572"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1998"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Control arm  </w:t>
            </w:r>
            <w:r w:rsidRPr="006353B9">
              <w:rPr>
                <w:b/>
                <w:bCs/>
                <w:color w:val="auto"/>
                <w:lang w:val="en-US"/>
              </w:rPr>
              <w:br/>
              <w:t>(N=15)</w:t>
            </w:r>
          </w:p>
        </w:tc>
        <w:tc>
          <w:tcPr>
            <w:tcW w:w="2142"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Experimental arm  </w:t>
            </w:r>
            <w:r w:rsidRPr="006353B9">
              <w:rPr>
                <w:b/>
                <w:bCs/>
                <w:color w:val="auto"/>
                <w:lang w:val="en-US"/>
              </w:rPr>
              <w:br/>
              <w:t>(N=26)</w:t>
            </w:r>
          </w:p>
        </w:tc>
        <w:tc>
          <w:tcPr>
            <w:tcW w:w="1652"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D22C4D">
        <w:trPr>
          <w:cantSplit/>
          <w:jc w:val="center"/>
        </w:trPr>
        <w:tc>
          <w:tcPr>
            <w:tcW w:w="13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Pr>
                <w:b/>
                <w:bCs/>
                <w:color w:val="auto"/>
              </w:rPr>
              <w:t>Age</w:t>
            </w:r>
          </w:p>
        </w:tc>
        <w:tc>
          <w:tcPr>
            <w:tcW w:w="126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99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4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652"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61.27 (11.40)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59.35 (9.59)</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60.05 (10.19)</w:t>
            </w: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60.00 [51.00, 75.00]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59.50 [52.00, 67.00]</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60.00 [52.00, 68.00]</w:t>
            </w: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44.00, 77.00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34.00, 75.00</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34.00, 77.00</w:t>
            </w: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CI 95%</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(54.95, 67.58)</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(55.47, 63.22)</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(56.83, 63.26)</w:t>
            </w: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0.2327</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0.4327</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0.4649</w:t>
            </w:r>
          </w:p>
        </w:tc>
      </w:tr>
      <w:tr w:rsidR="003B167F" w:rsidRPr="006353B9" w:rsidTr="00D22C4D">
        <w:trPr>
          <w:cantSplit/>
          <w:jc w:val="center"/>
        </w:trPr>
        <w:tc>
          <w:tcPr>
            <w:tcW w:w="13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Gender</w:t>
            </w:r>
          </w:p>
        </w:tc>
        <w:tc>
          <w:tcPr>
            <w:tcW w:w="126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99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4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652"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Male</w:t>
            </w: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12 (80.00)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22 (84.62)</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34 (82.93)</w:t>
            </w: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Female</w:t>
            </w: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 (20.00)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4 (15.38)</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7 (17.07)</w:t>
            </w:r>
          </w:p>
        </w:tc>
      </w:tr>
      <w:tr w:rsidR="003B167F" w:rsidRPr="006353B9" w:rsidTr="00D22C4D">
        <w:trPr>
          <w:cantSplit/>
          <w:jc w:val="center"/>
        </w:trPr>
        <w:tc>
          <w:tcPr>
            <w:tcW w:w="13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Race</w:t>
            </w:r>
          </w:p>
        </w:tc>
        <w:tc>
          <w:tcPr>
            <w:tcW w:w="126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99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4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652"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1310" w:type="dxa"/>
            <w:tcBorders>
              <w:top w:val="nil"/>
              <w:left w:val="nil"/>
              <w:bottom w:val="single" w:sz="4" w:space="0" w:color="000080"/>
              <w:right w:val="nil"/>
            </w:tcBorders>
            <w:shd w:val="clear" w:color="auto" w:fill="FFFFFF"/>
            <w:tcMar>
              <w:left w:w="67" w:type="dxa"/>
              <w:right w:w="67" w:type="dxa"/>
            </w:tcMar>
          </w:tcPr>
          <w:p w:rsidR="003B167F" w:rsidRPr="00945558" w:rsidRDefault="003B167F" w:rsidP="009A2182">
            <w:pPr>
              <w:adjustRightInd w:val="0"/>
              <w:spacing w:before="67" w:after="67"/>
              <w:jc w:val="both"/>
              <w:rPr>
                <w:color w:val="auto"/>
                <w:sz w:val="20"/>
                <w:szCs w:val="20"/>
              </w:rPr>
            </w:pPr>
            <w:r w:rsidRPr="00945558">
              <w:rPr>
                <w:color w:val="auto"/>
                <w:sz w:val="20"/>
                <w:szCs w:val="20"/>
              </w:rPr>
              <w:t>Caucasian</w:t>
            </w:r>
          </w:p>
        </w:tc>
        <w:tc>
          <w:tcPr>
            <w:tcW w:w="126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199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15 (100.00)</w:t>
            </w:r>
          </w:p>
        </w:tc>
        <w:tc>
          <w:tcPr>
            <w:tcW w:w="214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26 (100.00)</w:t>
            </w:r>
          </w:p>
        </w:tc>
        <w:tc>
          <w:tcPr>
            <w:tcW w:w="165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41 (100.00)</w:t>
            </w:r>
          </w:p>
        </w:tc>
      </w:tr>
    </w:tbl>
    <w:p w:rsidR="008B182F" w:rsidRDefault="008B182F" w:rsidP="0045181E">
      <w:pPr>
        <w:pStyle w:val="Caption"/>
      </w:pPr>
      <w:bookmarkStart w:id="47" w:name="_Toc500240896"/>
    </w:p>
    <w:p w:rsidR="008B182F" w:rsidRDefault="008B182F" w:rsidP="0045181E">
      <w:pPr>
        <w:pStyle w:val="Caption"/>
      </w:pPr>
    </w:p>
    <w:p w:rsidR="003B167F" w:rsidRPr="006353B9" w:rsidRDefault="003B167F" w:rsidP="0045181E">
      <w:pPr>
        <w:pStyle w:val="Caption"/>
      </w:pPr>
      <w:r>
        <w:t xml:space="preserve">Table 9. </w:t>
      </w:r>
      <w:r w:rsidRPr="006353B9">
        <w:t>Body Metrics by treatment arm</w:t>
      </w:r>
      <w:bookmarkEnd w:id="47"/>
    </w:p>
    <w:tbl>
      <w:tblPr>
        <w:tblW w:w="8711" w:type="dxa"/>
        <w:jc w:val="center"/>
        <w:tblLayout w:type="fixed"/>
        <w:tblCellMar>
          <w:left w:w="0" w:type="dxa"/>
          <w:right w:w="0" w:type="dxa"/>
        </w:tblCellMar>
        <w:tblLook w:val="0000" w:firstRow="0" w:lastRow="0" w:firstColumn="0" w:lastColumn="0" w:noHBand="0" w:noVBand="0"/>
      </w:tblPr>
      <w:tblGrid>
        <w:gridCol w:w="905"/>
        <w:gridCol w:w="1437"/>
        <w:gridCol w:w="2123"/>
        <w:gridCol w:w="2123"/>
        <w:gridCol w:w="2123"/>
      </w:tblGrid>
      <w:tr w:rsidR="003B167F" w:rsidRPr="006353B9" w:rsidTr="00D22C4D">
        <w:trPr>
          <w:cantSplit/>
          <w:tblHeader/>
          <w:jc w:val="center"/>
        </w:trPr>
        <w:tc>
          <w:tcPr>
            <w:tcW w:w="2342"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315F25" w:rsidRDefault="003B167F" w:rsidP="009A2182">
            <w:pPr>
              <w:adjustRightInd w:val="0"/>
              <w:spacing w:before="67" w:after="67"/>
              <w:jc w:val="both"/>
              <w:rPr>
                <w:b/>
                <w:bCs/>
                <w:color w:val="auto"/>
                <w:lang w:val="en-US"/>
              </w:rPr>
            </w:pPr>
          </w:p>
        </w:tc>
        <w:tc>
          <w:tcPr>
            <w:tcW w:w="2123"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Pr>
                <w:b/>
                <w:bCs/>
                <w:color w:val="auto"/>
                <w:lang w:val="en-US"/>
              </w:rPr>
              <w:t xml:space="preserve">Control </w:t>
            </w:r>
            <w:r w:rsidR="00363712">
              <w:rPr>
                <w:b/>
                <w:bCs/>
                <w:color w:val="auto"/>
                <w:lang w:val="en-US"/>
              </w:rPr>
              <w:t xml:space="preserve">arm </w:t>
            </w:r>
            <w:r w:rsidR="00363712" w:rsidRPr="006353B9">
              <w:rPr>
                <w:b/>
                <w:bCs/>
                <w:color w:val="auto"/>
                <w:lang w:val="en-US"/>
              </w:rPr>
              <w:t>(</w:t>
            </w:r>
            <w:r w:rsidRPr="006353B9">
              <w:rPr>
                <w:b/>
                <w:bCs/>
                <w:color w:val="auto"/>
                <w:lang w:val="en-US"/>
              </w:rPr>
              <w:t>N=15)</w:t>
            </w:r>
          </w:p>
        </w:tc>
        <w:tc>
          <w:tcPr>
            <w:tcW w:w="2123"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Experimental arm (N=26)</w:t>
            </w:r>
          </w:p>
        </w:tc>
        <w:tc>
          <w:tcPr>
            <w:tcW w:w="2123"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981696" w:rsidRDefault="003B167F" w:rsidP="009A2182">
            <w:pPr>
              <w:adjustRightInd w:val="0"/>
              <w:spacing w:before="67" w:after="67"/>
              <w:jc w:val="both"/>
              <w:rPr>
                <w:color w:val="auto"/>
                <w:lang w:val="en-US"/>
              </w:rPr>
            </w:pPr>
            <w:r>
              <w:rPr>
                <w:color w:val="auto"/>
                <w:lang w:val="en-US"/>
              </w:rPr>
              <w:t>Height</w:t>
            </w: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168.29 (9.84)</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166.14 (34.24)</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166.93 (27.71)</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172.00 [165.00, 175.00]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171.50 [167.00, 179.00]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172.00 [165.00, 178.00]</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146.00, 179.00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1.63, 185.00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1.63, 185.00</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0.0389</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&lt; 0.0001</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&lt; 0.0001</w:t>
            </w:r>
          </w:p>
        </w:tc>
      </w:tr>
      <w:tr w:rsidR="003B167F" w:rsidRPr="006353B9" w:rsidTr="00D22C4D">
        <w:trPr>
          <w:cantSplit/>
          <w:jc w:val="center"/>
        </w:trPr>
        <w:tc>
          <w:tcPr>
            <w:tcW w:w="90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Weight</w:t>
            </w:r>
            <w:r>
              <w:rPr>
                <w:b/>
                <w:bCs/>
                <w:color w:val="auto"/>
                <w:lang w:val="en-US"/>
              </w:rPr>
              <w:t xml:space="preserve"> </w:t>
            </w:r>
            <w:r w:rsidRPr="006353B9">
              <w:rPr>
                <w:b/>
                <w:bCs/>
                <w:color w:val="auto"/>
              </w:rPr>
              <w:t>(kg)</w:t>
            </w:r>
          </w:p>
        </w:tc>
        <w:tc>
          <w:tcPr>
            <w:tcW w:w="1437"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23"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23"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2123"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15</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26</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41</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82.46 (21.38)</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79.03 (13.92)</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80.29 (16.85)</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82.00 [62.90, 100.00]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78.50 [67.00, 90.00]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81.40 [67.00, 91.00]</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50.50, 119.00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49.00, 103.00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49.00, 119.00</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CI 95%</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(70.62, 94.30)</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(73.41, 84.66)</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(74.97, 85.61)</w:t>
            </w:r>
          </w:p>
        </w:tc>
      </w:tr>
      <w:tr w:rsidR="003B167F" w:rsidRPr="006353B9" w:rsidTr="00D22C4D">
        <w:trPr>
          <w:cantSplit/>
          <w:jc w:val="center"/>
        </w:trPr>
        <w:tc>
          <w:tcPr>
            <w:tcW w:w="90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143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0.6538</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0.4483</w:t>
            </w:r>
          </w:p>
        </w:tc>
        <w:tc>
          <w:tcPr>
            <w:tcW w:w="212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0.8170</w:t>
            </w:r>
          </w:p>
        </w:tc>
      </w:tr>
    </w:tbl>
    <w:p w:rsidR="00D22C4D" w:rsidRDefault="003B167F" w:rsidP="00D22C4D">
      <w:pPr>
        <w:tabs>
          <w:tab w:val="left" w:pos="1440"/>
        </w:tabs>
        <w:spacing w:line="240" w:lineRule="auto"/>
        <w:jc w:val="both"/>
        <w:rPr>
          <w:rFonts w:eastAsia="Times New Roman"/>
          <w:color w:val="auto"/>
          <w:lang w:val="en-US"/>
        </w:rPr>
      </w:pPr>
      <w:r w:rsidRPr="00386D8E">
        <w:rPr>
          <w:rFonts w:eastAsia="Times New Roman"/>
          <w:color w:val="auto"/>
          <w:lang w:val="en-US"/>
        </w:rPr>
        <w:t xml:space="preserve">Mean height was 166,93 </w:t>
      </w:r>
      <w:r>
        <w:rPr>
          <w:rFonts w:eastAsia="Times New Roman"/>
          <w:color w:val="auto"/>
          <w:lang w:val="en-US"/>
        </w:rPr>
        <w:t xml:space="preserve">cm </w:t>
      </w:r>
      <w:r w:rsidRPr="00386D8E">
        <w:rPr>
          <w:rFonts w:eastAsia="Times New Roman"/>
          <w:color w:val="auto"/>
          <w:lang w:val="en-US"/>
        </w:rPr>
        <w:t>with standard deviation (SD) being 27,71 and mean weight was 80,29 with SD of 16,85.</w:t>
      </w:r>
    </w:p>
    <w:p w:rsidR="005F252D" w:rsidRDefault="005F252D" w:rsidP="005F252D">
      <w:pPr>
        <w:spacing w:after="160" w:line="240" w:lineRule="auto"/>
        <w:jc w:val="both"/>
        <w:rPr>
          <w:rFonts w:eastAsia="Times New Roman"/>
          <w:color w:val="auto"/>
          <w:lang w:val="en-US"/>
        </w:rPr>
      </w:pPr>
      <w:bookmarkStart w:id="48" w:name="_Toc500240897"/>
    </w:p>
    <w:p w:rsidR="003B167F" w:rsidRPr="00FB4EE7" w:rsidRDefault="003B167F" w:rsidP="005F252D">
      <w:pPr>
        <w:spacing w:after="160" w:line="240" w:lineRule="auto"/>
        <w:jc w:val="both"/>
        <w:rPr>
          <w:rFonts w:eastAsia="Times New Roman"/>
          <w:b/>
          <w:color w:val="auto"/>
          <w:lang w:val="en-US"/>
        </w:rPr>
      </w:pPr>
      <w:r w:rsidRPr="00FB4EE7">
        <w:rPr>
          <w:b/>
        </w:rPr>
        <w:t>Table 10. Vital Signs by treatment arm</w:t>
      </w:r>
      <w:bookmarkEnd w:id="48"/>
    </w:p>
    <w:tbl>
      <w:tblPr>
        <w:tblW w:w="5000" w:type="pct"/>
        <w:jc w:val="center"/>
        <w:tblCellMar>
          <w:left w:w="0" w:type="dxa"/>
          <w:right w:w="0" w:type="dxa"/>
        </w:tblCellMar>
        <w:tblLook w:val="0000" w:firstRow="0" w:lastRow="0" w:firstColumn="0" w:lastColumn="0" w:noHBand="0" w:noVBand="0"/>
      </w:tblPr>
      <w:tblGrid>
        <w:gridCol w:w="1907"/>
        <w:gridCol w:w="1575"/>
        <w:gridCol w:w="1664"/>
        <w:gridCol w:w="1576"/>
        <w:gridCol w:w="1898"/>
      </w:tblGrid>
      <w:tr w:rsidR="003B167F" w:rsidRPr="006353B9" w:rsidTr="009A2182">
        <w:trPr>
          <w:cantSplit/>
          <w:tblHeader/>
          <w:jc w:val="center"/>
        </w:trPr>
        <w:tc>
          <w:tcPr>
            <w:tcW w:w="2020" w:type="pct"/>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965"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Control arm </w:t>
            </w:r>
            <w:r w:rsidRPr="006353B9">
              <w:rPr>
                <w:b/>
                <w:bCs/>
                <w:color w:val="auto"/>
                <w:lang w:val="en-US"/>
              </w:rPr>
              <w:br/>
              <w:t>(N=15)</w:t>
            </w:r>
          </w:p>
        </w:tc>
        <w:tc>
          <w:tcPr>
            <w:tcW w:w="914"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Experimental </w:t>
            </w:r>
            <w:r w:rsidRPr="006353B9">
              <w:rPr>
                <w:b/>
                <w:bCs/>
                <w:color w:val="auto"/>
                <w:lang w:val="en-US"/>
              </w:rPr>
              <w:br/>
              <w:t>(N=26)</w:t>
            </w:r>
          </w:p>
        </w:tc>
        <w:tc>
          <w:tcPr>
            <w:tcW w:w="1101"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9A2182">
        <w:trPr>
          <w:cantSplit/>
          <w:jc w:val="center"/>
        </w:trPr>
        <w:tc>
          <w:tcPr>
            <w:tcW w:w="1106"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Pr>
                <w:b/>
                <w:bCs/>
                <w:color w:val="auto"/>
                <w:lang w:val="en-US"/>
              </w:rPr>
              <w:t>Diastolic</w:t>
            </w:r>
            <w:r w:rsidRPr="006353B9">
              <w:rPr>
                <w:b/>
                <w:bCs/>
                <w:color w:val="auto"/>
              </w:rPr>
              <w:t xml:space="preserve"> Blood Pressure(mmHg)</w:t>
            </w: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965"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01"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81.20 (7.15)</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80.54 (4.49)</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80.78 (5.53)</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80.0 [75.0, 88.0]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80.0 [80.0, 81.0]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80.0 [80.0, 84.0]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70.0, 90.0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70.0, 90.0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70.0, 90.0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0.1248</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0.0002</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0.0005</w:t>
            </w:r>
          </w:p>
        </w:tc>
      </w:tr>
      <w:tr w:rsidR="003B167F" w:rsidRPr="006353B9" w:rsidTr="009A2182">
        <w:trPr>
          <w:cantSplit/>
          <w:jc w:val="center"/>
        </w:trPr>
        <w:tc>
          <w:tcPr>
            <w:tcW w:w="1106"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Pr>
                <w:b/>
                <w:bCs/>
                <w:color w:val="auto"/>
                <w:lang w:val="en-US"/>
              </w:rPr>
              <w:t>Systolic</w:t>
            </w:r>
            <w:r w:rsidRPr="006353B9">
              <w:rPr>
                <w:b/>
                <w:bCs/>
                <w:color w:val="auto"/>
              </w:rPr>
              <w:t xml:space="preserve"> Blood Pressure(mmHg)</w:t>
            </w: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965"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101"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129.20 (5.58)</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128.00 (8.02)</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128.44 (7.18)</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130.0 [126.0, 131.0]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130.0 [120.0, 134.0]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130.0 [125.0, 131.0]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115.0, 140.0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110.0, 140.0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110.0, 140.0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0.0582</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0.0619</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0.0046</w:t>
            </w:r>
          </w:p>
        </w:tc>
      </w:tr>
      <w:tr w:rsidR="003B167F" w:rsidRPr="006353B9" w:rsidTr="009A2182">
        <w:trPr>
          <w:cantSplit/>
          <w:jc w:val="center"/>
        </w:trPr>
        <w:tc>
          <w:tcPr>
            <w:tcW w:w="1106"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Pulse Rate(bpm)</w:t>
            </w: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965"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01"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Mean (SD)</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79.33 (11.76)</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73.85 (10.03)</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75.85 (10.89)</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Median [Q1,Q3]</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76.0 [71.0, 86.0]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72.5 [69.0, 80.0]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74.0 [71.0, 80.0]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Min, Max</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66.0, 106.0</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43.0, 93.0</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43.0, 106.0</w:t>
            </w:r>
          </w:p>
        </w:tc>
      </w:tr>
      <w:tr w:rsidR="003B167F" w:rsidRPr="006353B9" w:rsidTr="009A2182">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Shapiro Wilk</w:t>
            </w:r>
          </w:p>
        </w:tc>
        <w:tc>
          <w:tcPr>
            <w:tcW w:w="9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0.0465</w:t>
            </w:r>
          </w:p>
        </w:tc>
        <w:tc>
          <w:tcPr>
            <w:tcW w:w="91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0.1243</w:t>
            </w:r>
          </w:p>
        </w:tc>
        <w:tc>
          <w:tcPr>
            <w:tcW w:w="110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0.0412</w:t>
            </w:r>
          </w:p>
        </w:tc>
      </w:tr>
    </w:tbl>
    <w:p w:rsidR="00FB4EE7" w:rsidRDefault="00D22C4D" w:rsidP="00AA4F59">
      <w:pPr>
        <w:pStyle w:val="Caption"/>
      </w:pPr>
      <w:bookmarkStart w:id="49" w:name="_Toc500240898"/>
      <w:r w:rsidRPr="00363712">
        <w:rPr>
          <w:b w:val="0"/>
        </w:rPr>
        <w:t xml:space="preserve">Vital signs were also </w:t>
      </w:r>
      <w:proofErr w:type="gramStart"/>
      <w:r w:rsidRPr="00363712">
        <w:rPr>
          <w:b w:val="0"/>
        </w:rPr>
        <w:t>pretty balanced</w:t>
      </w:r>
      <w:proofErr w:type="gramEnd"/>
      <w:r w:rsidRPr="00363712">
        <w:rPr>
          <w:b w:val="0"/>
        </w:rPr>
        <w:t xml:space="preserve"> among two arms with mean SBP being 128,44 and DBP of 80,78. Mean Pulse rate at rest was a bit higher at the control arm than in the</w:t>
      </w:r>
      <w:r w:rsidR="00FB4EE7" w:rsidRPr="00363712">
        <w:rPr>
          <w:b w:val="0"/>
        </w:rPr>
        <w:t xml:space="preserve"> </w:t>
      </w:r>
      <w:r w:rsidRPr="00363712">
        <w:rPr>
          <w:b w:val="0"/>
        </w:rPr>
        <w:t>experimental arm (79,33 versus 73,85)</w:t>
      </w:r>
      <w:r w:rsidRPr="00FB4EE7">
        <w:t>.</w:t>
      </w:r>
    </w:p>
    <w:p w:rsidR="00AA4F59" w:rsidRPr="00AA4F59" w:rsidRDefault="00AA4F59" w:rsidP="00AA4F59">
      <w:pPr>
        <w:rPr>
          <w:lang w:val="en-US" w:eastAsia="es-ES"/>
        </w:rPr>
      </w:pPr>
    </w:p>
    <w:p w:rsidR="003B167F" w:rsidRPr="00FB4EE7" w:rsidRDefault="003B167F" w:rsidP="0045181E">
      <w:pPr>
        <w:pStyle w:val="Caption"/>
      </w:pPr>
      <w:r w:rsidRPr="00FB4EE7">
        <w:t>Table 11. Neurological Exam by treatment arm</w:t>
      </w:r>
      <w:bookmarkEnd w:id="49"/>
    </w:p>
    <w:tbl>
      <w:tblPr>
        <w:tblW w:w="8758" w:type="dxa"/>
        <w:jc w:val="center"/>
        <w:tblLayout w:type="fixed"/>
        <w:tblCellMar>
          <w:left w:w="0" w:type="dxa"/>
          <w:right w:w="0" w:type="dxa"/>
        </w:tblCellMar>
        <w:tblLook w:val="0000" w:firstRow="0" w:lastRow="0" w:firstColumn="0" w:lastColumn="0" w:noHBand="0" w:noVBand="0"/>
      </w:tblPr>
      <w:tblGrid>
        <w:gridCol w:w="3510"/>
        <w:gridCol w:w="738"/>
        <w:gridCol w:w="1422"/>
        <w:gridCol w:w="1701"/>
        <w:gridCol w:w="1387"/>
      </w:tblGrid>
      <w:tr w:rsidR="003B167F" w:rsidRPr="006353B9" w:rsidTr="00D22C4D">
        <w:trPr>
          <w:cantSplit/>
          <w:tblHeader/>
          <w:jc w:val="center"/>
        </w:trPr>
        <w:tc>
          <w:tcPr>
            <w:tcW w:w="4248"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1422"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Pr>
                <w:b/>
                <w:bCs/>
                <w:color w:val="auto"/>
                <w:lang w:val="en-US"/>
              </w:rPr>
              <w:t xml:space="preserve">Control arm </w:t>
            </w:r>
            <w:r w:rsidRPr="006353B9">
              <w:rPr>
                <w:b/>
                <w:bCs/>
                <w:color w:val="auto"/>
                <w:lang w:val="en-US"/>
              </w:rPr>
              <w:br/>
              <w:t>(N=15)</w:t>
            </w:r>
          </w:p>
        </w:tc>
        <w:tc>
          <w:tcPr>
            <w:tcW w:w="1701"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Experimental arm (N=26)</w:t>
            </w:r>
          </w:p>
        </w:tc>
        <w:tc>
          <w:tcPr>
            <w:tcW w:w="1387"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D22C4D">
        <w:trPr>
          <w:cantSplit/>
          <w:jc w:val="center"/>
        </w:trPr>
        <w:tc>
          <w:tcPr>
            <w:tcW w:w="35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r w:rsidRPr="006353B9">
              <w:rPr>
                <w:b/>
                <w:bCs/>
                <w:color w:val="auto"/>
              </w:rPr>
              <w:t>Neurological examination performed?</w:t>
            </w:r>
          </w:p>
        </w:tc>
        <w:tc>
          <w:tcPr>
            <w:tcW w:w="73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42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387"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r>
      <w:tr w:rsidR="003B167F" w:rsidRPr="006353B9" w:rsidTr="00D22C4D">
        <w:trPr>
          <w:cantSplit/>
          <w:jc w:val="center"/>
        </w:trPr>
        <w:tc>
          <w:tcPr>
            <w:tcW w:w="35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Yes</w:t>
            </w:r>
          </w:p>
        </w:tc>
        <w:tc>
          <w:tcPr>
            <w:tcW w:w="73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42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15 (100.00)</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25 (96.15)</w:t>
            </w:r>
          </w:p>
        </w:tc>
        <w:tc>
          <w:tcPr>
            <w:tcW w:w="138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40 (97.56)</w:t>
            </w:r>
          </w:p>
        </w:tc>
      </w:tr>
      <w:tr w:rsidR="003B167F" w:rsidRPr="006353B9" w:rsidTr="00D22C4D">
        <w:trPr>
          <w:cantSplit/>
          <w:jc w:val="center"/>
        </w:trPr>
        <w:tc>
          <w:tcPr>
            <w:tcW w:w="35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No</w:t>
            </w:r>
          </w:p>
        </w:tc>
        <w:tc>
          <w:tcPr>
            <w:tcW w:w="73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42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 (0.00)</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(3.85)</w:t>
            </w:r>
          </w:p>
        </w:tc>
        <w:tc>
          <w:tcPr>
            <w:tcW w:w="138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(2.44)</w:t>
            </w:r>
          </w:p>
        </w:tc>
      </w:tr>
      <w:tr w:rsidR="003B167F" w:rsidRPr="006353B9" w:rsidTr="00D22C4D">
        <w:trPr>
          <w:cantSplit/>
          <w:jc w:val="center"/>
        </w:trPr>
        <w:tc>
          <w:tcPr>
            <w:tcW w:w="35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r w:rsidRPr="006353B9">
              <w:rPr>
                <w:b/>
                <w:bCs/>
                <w:color w:val="auto"/>
              </w:rPr>
              <w:t>Sensorial neurological affectation</w:t>
            </w:r>
          </w:p>
        </w:tc>
        <w:tc>
          <w:tcPr>
            <w:tcW w:w="73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42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387"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r>
      <w:tr w:rsidR="003B167F" w:rsidRPr="006353B9" w:rsidTr="00D22C4D">
        <w:trPr>
          <w:cantSplit/>
          <w:jc w:val="center"/>
        </w:trPr>
        <w:tc>
          <w:tcPr>
            <w:tcW w:w="35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G0: No affectation</w:t>
            </w:r>
          </w:p>
        </w:tc>
        <w:tc>
          <w:tcPr>
            <w:tcW w:w="73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42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15 (100.00)</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24 (96.00)</w:t>
            </w:r>
          </w:p>
        </w:tc>
        <w:tc>
          <w:tcPr>
            <w:tcW w:w="138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39 (97.50)</w:t>
            </w:r>
          </w:p>
        </w:tc>
      </w:tr>
      <w:tr w:rsidR="003B167F" w:rsidRPr="006353B9" w:rsidTr="00D22C4D">
        <w:trPr>
          <w:cantSplit/>
          <w:jc w:val="center"/>
        </w:trPr>
        <w:tc>
          <w:tcPr>
            <w:tcW w:w="35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G1: Mild sensory alteration</w:t>
            </w:r>
          </w:p>
        </w:tc>
        <w:tc>
          <w:tcPr>
            <w:tcW w:w="73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42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 (0.00)</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(4.00)</w:t>
            </w:r>
          </w:p>
        </w:tc>
        <w:tc>
          <w:tcPr>
            <w:tcW w:w="138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(2.50)</w:t>
            </w:r>
          </w:p>
        </w:tc>
      </w:tr>
      <w:tr w:rsidR="003B167F" w:rsidRPr="006353B9" w:rsidTr="00D22C4D">
        <w:trPr>
          <w:cantSplit/>
          <w:jc w:val="center"/>
        </w:trPr>
        <w:tc>
          <w:tcPr>
            <w:tcW w:w="3510"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r w:rsidRPr="006353B9">
              <w:rPr>
                <w:b/>
                <w:bCs/>
                <w:color w:val="auto"/>
              </w:rPr>
              <w:t>Motor neurological affectation</w:t>
            </w:r>
          </w:p>
        </w:tc>
        <w:tc>
          <w:tcPr>
            <w:tcW w:w="73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422"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70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c>
          <w:tcPr>
            <w:tcW w:w="1387"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D22C4D">
            <w:pPr>
              <w:adjustRightInd w:val="0"/>
              <w:spacing w:before="67" w:after="67"/>
              <w:rPr>
                <w:b/>
                <w:bCs/>
                <w:color w:val="auto"/>
              </w:rPr>
            </w:pPr>
          </w:p>
        </w:tc>
      </w:tr>
      <w:tr w:rsidR="003B167F" w:rsidRPr="006353B9" w:rsidTr="00D22C4D">
        <w:trPr>
          <w:cantSplit/>
          <w:jc w:val="center"/>
        </w:trPr>
        <w:tc>
          <w:tcPr>
            <w:tcW w:w="3510"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G0: No affectation</w:t>
            </w:r>
          </w:p>
        </w:tc>
        <w:tc>
          <w:tcPr>
            <w:tcW w:w="73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422"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15 (100.00)</w:t>
            </w:r>
          </w:p>
        </w:tc>
        <w:tc>
          <w:tcPr>
            <w:tcW w:w="170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25 (100.00)</w:t>
            </w:r>
          </w:p>
        </w:tc>
        <w:tc>
          <w:tcPr>
            <w:tcW w:w="1387"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40 (100.00)</w:t>
            </w:r>
          </w:p>
        </w:tc>
      </w:tr>
    </w:tbl>
    <w:p w:rsidR="003B167F" w:rsidRPr="00386D8E" w:rsidRDefault="003B167F" w:rsidP="00D22C4D">
      <w:pPr>
        <w:spacing w:line="240" w:lineRule="auto"/>
        <w:jc w:val="both"/>
        <w:rPr>
          <w:rFonts w:eastAsia="Times New Roman"/>
          <w:color w:val="auto"/>
          <w:lang w:val="en-US"/>
        </w:rPr>
      </w:pPr>
      <w:r w:rsidRPr="00386D8E">
        <w:rPr>
          <w:rFonts w:eastAsia="Times New Roman"/>
          <w:color w:val="auto"/>
          <w:lang w:val="en-US"/>
        </w:rPr>
        <w:t xml:space="preserve">Neurological examinations were performed for 40 patients (97,5%) with only </w:t>
      </w:r>
      <w:r>
        <w:rPr>
          <w:rFonts w:eastAsia="Times New Roman"/>
          <w:color w:val="auto"/>
          <w:lang w:val="en-US"/>
        </w:rPr>
        <w:t>one</w:t>
      </w:r>
      <w:r w:rsidRPr="00386D8E">
        <w:rPr>
          <w:rFonts w:eastAsia="Times New Roman"/>
          <w:color w:val="auto"/>
          <w:lang w:val="en-US"/>
        </w:rPr>
        <w:t xml:space="preserve"> subject in the experimental arm was left unexamined. No </w:t>
      </w:r>
      <w:r>
        <w:rPr>
          <w:rFonts w:eastAsia="Times New Roman"/>
          <w:color w:val="auto"/>
          <w:lang w:val="en-US"/>
        </w:rPr>
        <w:t>p</w:t>
      </w:r>
      <w:r w:rsidRPr="00386D8E">
        <w:rPr>
          <w:rFonts w:eastAsia="Times New Roman"/>
          <w:color w:val="auto"/>
          <w:lang w:val="en-US"/>
        </w:rPr>
        <w:t xml:space="preserve">atient was diagnosed with motor neurological affectation and </w:t>
      </w:r>
      <w:r>
        <w:rPr>
          <w:rFonts w:eastAsia="Times New Roman"/>
          <w:color w:val="auto"/>
          <w:lang w:val="en-US"/>
        </w:rPr>
        <w:t>one</w:t>
      </w:r>
      <w:r w:rsidRPr="00386D8E">
        <w:rPr>
          <w:rFonts w:eastAsia="Times New Roman"/>
          <w:color w:val="auto"/>
          <w:lang w:val="en-US"/>
        </w:rPr>
        <w:t xml:space="preserve"> subject at the experimental arm was diagnosed with Grade 1, Mild sensory alteration</w:t>
      </w:r>
      <w:r>
        <w:rPr>
          <w:rFonts w:eastAsia="Times New Roman"/>
          <w:color w:val="auto"/>
          <w:lang w:val="en-US"/>
        </w:rPr>
        <w:t>.</w:t>
      </w:r>
      <w:r w:rsidR="00D22C4D">
        <w:rPr>
          <w:rFonts w:eastAsia="Times New Roman"/>
          <w:color w:val="auto"/>
          <w:lang w:val="en-US"/>
        </w:rPr>
        <w:t xml:space="preserve"> </w:t>
      </w:r>
      <w:r>
        <w:rPr>
          <w:rFonts w:eastAsia="Times New Roman"/>
          <w:color w:val="auto"/>
          <w:lang w:val="en-US"/>
        </w:rPr>
        <w:t>T</w:t>
      </w:r>
      <w:r w:rsidRPr="00386D8E">
        <w:rPr>
          <w:rFonts w:eastAsia="Times New Roman"/>
          <w:color w:val="auto"/>
          <w:lang w:val="en-US"/>
        </w:rPr>
        <w:t xml:space="preserve">he rest of subjects (97,5%) did not have any sensory affectation. </w:t>
      </w:r>
    </w:p>
    <w:p w:rsidR="003B167F" w:rsidRDefault="003B167F" w:rsidP="0045181E">
      <w:pPr>
        <w:pStyle w:val="Caption"/>
      </w:pPr>
      <w:bookmarkStart w:id="50" w:name="_Toc500240899"/>
    </w:p>
    <w:p w:rsidR="003B167F" w:rsidRPr="00315F25" w:rsidRDefault="003B167F" w:rsidP="0045181E">
      <w:pPr>
        <w:pStyle w:val="Caption"/>
      </w:pPr>
      <w:r>
        <w:t xml:space="preserve">Table 12. </w:t>
      </w:r>
      <w:r w:rsidRPr="006353B9">
        <w:t>Electrocardiogram by treatment arm</w:t>
      </w:r>
      <w:bookmarkEnd w:id="50"/>
    </w:p>
    <w:tbl>
      <w:tblPr>
        <w:tblW w:w="0" w:type="auto"/>
        <w:jc w:val="center"/>
        <w:tblLayout w:type="fixed"/>
        <w:tblCellMar>
          <w:left w:w="0" w:type="dxa"/>
          <w:right w:w="0" w:type="dxa"/>
        </w:tblCellMar>
        <w:tblLook w:val="0000" w:firstRow="0" w:lastRow="0" w:firstColumn="0" w:lastColumn="0" w:noHBand="0" w:noVBand="0"/>
      </w:tblPr>
      <w:tblGrid>
        <w:gridCol w:w="3261"/>
        <w:gridCol w:w="843"/>
        <w:gridCol w:w="1678"/>
        <w:gridCol w:w="1589"/>
        <w:gridCol w:w="1143"/>
      </w:tblGrid>
      <w:tr w:rsidR="003B167F" w:rsidRPr="006353B9" w:rsidTr="00D22C4D">
        <w:trPr>
          <w:cantSplit/>
          <w:tblHeader/>
          <w:jc w:val="center"/>
        </w:trPr>
        <w:tc>
          <w:tcPr>
            <w:tcW w:w="4104"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315F25" w:rsidRDefault="003B167F" w:rsidP="009A2182">
            <w:pPr>
              <w:adjustRightInd w:val="0"/>
              <w:spacing w:before="67" w:after="67"/>
              <w:jc w:val="both"/>
              <w:rPr>
                <w:b/>
                <w:bCs/>
                <w:color w:val="auto"/>
                <w:lang w:val="en-US"/>
              </w:rPr>
            </w:pPr>
          </w:p>
        </w:tc>
        <w:tc>
          <w:tcPr>
            <w:tcW w:w="1678"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Control arm  </w:t>
            </w:r>
            <w:r w:rsidRPr="006353B9">
              <w:rPr>
                <w:b/>
                <w:bCs/>
                <w:color w:val="auto"/>
                <w:lang w:val="en-US"/>
              </w:rPr>
              <w:br/>
              <w:t>(N=15)</w:t>
            </w:r>
          </w:p>
        </w:tc>
        <w:tc>
          <w:tcPr>
            <w:tcW w:w="1589"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Experimental arm </w:t>
            </w:r>
            <w:r w:rsidRPr="006353B9">
              <w:rPr>
                <w:b/>
                <w:bCs/>
                <w:color w:val="auto"/>
                <w:lang w:val="en-US"/>
              </w:rPr>
              <w:br/>
              <w:t>(N=26)</w:t>
            </w:r>
          </w:p>
        </w:tc>
        <w:tc>
          <w:tcPr>
            <w:tcW w:w="1143" w:type="dxa"/>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D22C4D">
        <w:trPr>
          <w:cantSplit/>
          <w:jc w:val="center"/>
        </w:trPr>
        <w:tc>
          <w:tcPr>
            <w:tcW w:w="3261"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ECG Result</w:t>
            </w:r>
          </w:p>
        </w:tc>
        <w:tc>
          <w:tcPr>
            <w:tcW w:w="843"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678"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589"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1143" w:type="dxa"/>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D22C4D">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1-Normal</w:t>
            </w:r>
          </w:p>
        </w:tc>
        <w:tc>
          <w:tcPr>
            <w:tcW w:w="8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12 (80.00)</w:t>
            </w:r>
          </w:p>
        </w:tc>
        <w:tc>
          <w:tcPr>
            <w:tcW w:w="1589"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24 (92.31)</w:t>
            </w:r>
          </w:p>
        </w:tc>
        <w:tc>
          <w:tcPr>
            <w:tcW w:w="11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36 (87.80)</w:t>
            </w:r>
          </w:p>
        </w:tc>
      </w:tr>
      <w:tr w:rsidR="003B167F" w:rsidRPr="006353B9" w:rsidTr="00D22C4D">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2-Findings without clinical relevance</w:t>
            </w:r>
          </w:p>
        </w:tc>
        <w:tc>
          <w:tcPr>
            <w:tcW w:w="8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 (13.33)</w:t>
            </w:r>
          </w:p>
        </w:tc>
        <w:tc>
          <w:tcPr>
            <w:tcW w:w="1589"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 (7.69)</w:t>
            </w:r>
          </w:p>
        </w:tc>
        <w:tc>
          <w:tcPr>
            <w:tcW w:w="11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4 (9.76)</w:t>
            </w:r>
          </w:p>
        </w:tc>
      </w:tr>
      <w:tr w:rsidR="003B167F" w:rsidRPr="006353B9" w:rsidTr="00D22C4D">
        <w:trPr>
          <w:cantSplit/>
          <w:jc w:val="center"/>
        </w:trPr>
        <w:tc>
          <w:tcPr>
            <w:tcW w:w="3261"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lang w:val="en-US"/>
              </w:rPr>
            </w:pPr>
            <w:r w:rsidRPr="006353B9">
              <w:rPr>
                <w:color w:val="auto"/>
                <w:lang w:val="en-US"/>
              </w:rPr>
              <w:lastRenderedPageBreak/>
              <w:t>3-Findings with clinical relevance. Specify</w:t>
            </w:r>
          </w:p>
        </w:tc>
        <w:tc>
          <w:tcPr>
            <w:tcW w:w="8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1678"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(6.67)</w:t>
            </w:r>
          </w:p>
        </w:tc>
        <w:tc>
          <w:tcPr>
            <w:tcW w:w="1589"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0 (0.00)</w:t>
            </w:r>
          </w:p>
        </w:tc>
        <w:tc>
          <w:tcPr>
            <w:tcW w:w="1143"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 (2.44)</w:t>
            </w:r>
          </w:p>
        </w:tc>
      </w:tr>
    </w:tbl>
    <w:p w:rsidR="00AA4F59" w:rsidRDefault="003B167F" w:rsidP="00AA4F59">
      <w:pPr>
        <w:spacing w:line="240" w:lineRule="auto"/>
        <w:jc w:val="both"/>
        <w:rPr>
          <w:rFonts w:eastAsia="Times New Roman"/>
          <w:color w:val="auto"/>
          <w:lang w:val="en-US"/>
        </w:rPr>
      </w:pPr>
      <w:r w:rsidRPr="00386D8E">
        <w:rPr>
          <w:rFonts w:eastAsia="Times New Roman"/>
          <w:color w:val="auto"/>
          <w:lang w:val="en-US"/>
        </w:rPr>
        <w:t xml:space="preserve">Normal ECGs were observed for 36 subjects (87,8%) with 24 subjects (92,31%) at the experimental arm and 12 subjects (13,33%) form the control arm. Clinical relevance findings were detected only for one patient from the control arm. Other findings (4 in total, 9,76%) </w:t>
      </w:r>
      <w:r w:rsidR="00D22C4D">
        <w:rPr>
          <w:rFonts w:eastAsia="Times New Roman"/>
          <w:color w:val="auto"/>
          <w:lang w:val="en-US"/>
        </w:rPr>
        <w:t>were not of clinical relevance.</w:t>
      </w:r>
    </w:p>
    <w:p w:rsidR="00AA4F59" w:rsidRDefault="00AA4F59" w:rsidP="0045181E">
      <w:pPr>
        <w:pStyle w:val="Caption"/>
      </w:pPr>
      <w:bookmarkStart w:id="51" w:name="_Toc500240900"/>
    </w:p>
    <w:p w:rsidR="003B167F" w:rsidRPr="00315F25" w:rsidRDefault="003B167F" w:rsidP="0045181E">
      <w:pPr>
        <w:pStyle w:val="Caption"/>
      </w:pPr>
      <w:r>
        <w:t xml:space="preserve">Table 13. </w:t>
      </w:r>
      <w:r w:rsidRPr="006353B9">
        <w:t>ECOG Scale by treatment arm</w:t>
      </w:r>
      <w:bookmarkEnd w:id="51"/>
    </w:p>
    <w:tbl>
      <w:tblPr>
        <w:tblW w:w="5000" w:type="pct"/>
        <w:jc w:val="center"/>
        <w:tblCellMar>
          <w:left w:w="0" w:type="dxa"/>
          <w:right w:w="0" w:type="dxa"/>
        </w:tblCellMar>
        <w:tblLook w:val="0000" w:firstRow="0" w:lastRow="0" w:firstColumn="0" w:lastColumn="0" w:noHBand="0" w:noVBand="0"/>
      </w:tblPr>
      <w:tblGrid>
        <w:gridCol w:w="3331"/>
        <w:gridCol w:w="1169"/>
        <w:gridCol w:w="1441"/>
        <w:gridCol w:w="1533"/>
        <w:gridCol w:w="1146"/>
      </w:tblGrid>
      <w:tr w:rsidR="003B167F" w:rsidRPr="006353B9" w:rsidTr="005F252D">
        <w:trPr>
          <w:cantSplit/>
          <w:tblHeader/>
          <w:jc w:val="center"/>
        </w:trPr>
        <w:tc>
          <w:tcPr>
            <w:tcW w:w="2610" w:type="pct"/>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D22C4D">
            <w:pPr>
              <w:adjustRightInd w:val="0"/>
              <w:spacing w:before="67" w:after="67"/>
              <w:rPr>
                <w:b/>
                <w:bCs/>
                <w:color w:val="auto"/>
                <w:lang w:val="en-US"/>
              </w:rPr>
            </w:pPr>
          </w:p>
        </w:tc>
        <w:tc>
          <w:tcPr>
            <w:tcW w:w="836"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D22C4D">
            <w:pPr>
              <w:adjustRightInd w:val="0"/>
              <w:spacing w:before="67" w:after="67"/>
              <w:rPr>
                <w:b/>
                <w:bCs/>
                <w:color w:val="auto"/>
                <w:lang w:val="en-US"/>
              </w:rPr>
            </w:pPr>
            <w:r w:rsidRPr="006353B9">
              <w:rPr>
                <w:b/>
                <w:bCs/>
                <w:color w:val="auto"/>
                <w:lang w:val="en-US"/>
              </w:rPr>
              <w:t xml:space="preserve">Control arm  </w:t>
            </w:r>
            <w:r w:rsidRPr="006353B9">
              <w:rPr>
                <w:b/>
                <w:bCs/>
                <w:color w:val="auto"/>
                <w:lang w:val="en-US"/>
              </w:rPr>
              <w:br/>
              <w:t>(N=15)</w:t>
            </w:r>
          </w:p>
        </w:tc>
        <w:tc>
          <w:tcPr>
            <w:tcW w:w="889"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D22C4D">
            <w:pPr>
              <w:adjustRightInd w:val="0"/>
              <w:spacing w:before="67" w:after="67"/>
              <w:rPr>
                <w:b/>
                <w:bCs/>
                <w:color w:val="auto"/>
                <w:lang w:val="en-US"/>
              </w:rPr>
            </w:pPr>
            <w:r w:rsidRPr="006353B9">
              <w:rPr>
                <w:b/>
                <w:bCs/>
                <w:color w:val="auto"/>
                <w:lang w:val="en-US"/>
              </w:rPr>
              <w:t>Experimental arm (N=26)</w:t>
            </w:r>
          </w:p>
        </w:tc>
        <w:tc>
          <w:tcPr>
            <w:tcW w:w="665"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D22C4D">
            <w:pPr>
              <w:adjustRightInd w:val="0"/>
              <w:spacing w:before="67" w:after="67"/>
              <w:rPr>
                <w:b/>
                <w:bCs/>
                <w:color w:val="auto"/>
              </w:rPr>
            </w:pPr>
            <w:r w:rsidRPr="006353B9">
              <w:rPr>
                <w:b/>
                <w:bCs/>
                <w:color w:val="auto"/>
              </w:rPr>
              <w:t>Total</w:t>
            </w:r>
            <w:r w:rsidRPr="006353B9">
              <w:rPr>
                <w:b/>
                <w:bCs/>
                <w:color w:val="auto"/>
              </w:rPr>
              <w:br/>
              <w:t>(N=41)</w:t>
            </w:r>
          </w:p>
        </w:tc>
      </w:tr>
      <w:tr w:rsidR="003B167F" w:rsidRPr="006353B9" w:rsidTr="005F252D">
        <w:trPr>
          <w:cantSplit/>
          <w:jc w:val="center"/>
        </w:trPr>
        <w:tc>
          <w:tcPr>
            <w:tcW w:w="1932" w:type="pct"/>
            <w:tcBorders>
              <w:top w:val="nil"/>
              <w:left w:val="single" w:sz="4" w:space="0" w:color="FFFFFF"/>
              <w:bottom w:val="single" w:sz="4" w:space="0" w:color="000080"/>
              <w:right w:val="nil"/>
            </w:tcBorders>
            <w:shd w:val="clear" w:color="auto" w:fill="D4D4D4"/>
            <w:tcMar>
              <w:left w:w="67" w:type="dxa"/>
              <w:right w:w="67" w:type="dxa"/>
            </w:tcMar>
          </w:tcPr>
          <w:p w:rsidR="003B167F" w:rsidRPr="00C9148C" w:rsidRDefault="003B167F" w:rsidP="009A2182">
            <w:pPr>
              <w:adjustRightInd w:val="0"/>
              <w:spacing w:before="67" w:after="67"/>
              <w:jc w:val="both"/>
              <w:rPr>
                <w:b/>
                <w:bCs/>
                <w:color w:val="auto"/>
              </w:rPr>
            </w:pPr>
            <w:r>
              <w:rPr>
                <w:b/>
                <w:bCs/>
                <w:color w:val="auto"/>
              </w:rPr>
              <w:t>ECOG Grade</w:t>
            </w:r>
          </w:p>
        </w:tc>
        <w:tc>
          <w:tcPr>
            <w:tcW w:w="678"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836"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889"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665"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5F252D">
        <w:trPr>
          <w:cantSplit/>
          <w:jc w:val="center"/>
        </w:trPr>
        <w:tc>
          <w:tcPr>
            <w:tcW w:w="1932"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lang w:val="en-US"/>
              </w:rPr>
            </w:pPr>
            <w:r w:rsidRPr="006353B9">
              <w:rPr>
                <w:color w:val="auto"/>
                <w:lang w:val="en-US"/>
              </w:rPr>
              <w:t>0: Fully active,</w:t>
            </w:r>
            <w:r>
              <w:rPr>
                <w:color w:val="auto"/>
                <w:lang w:val="en-US"/>
              </w:rPr>
              <w:t xml:space="preserve"> </w:t>
            </w:r>
            <w:r w:rsidRPr="006353B9">
              <w:rPr>
                <w:color w:val="auto"/>
                <w:lang w:val="en-US"/>
              </w:rPr>
              <w:t>able to carry on all pre-disease performance without restriction</w:t>
            </w:r>
          </w:p>
        </w:tc>
        <w:tc>
          <w:tcPr>
            <w:tcW w:w="678"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83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8 (53.33)</w:t>
            </w:r>
          </w:p>
        </w:tc>
        <w:tc>
          <w:tcPr>
            <w:tcW w:w="88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17 (65.38)</w:t>
            </w:r>
          </w:p>
        </w:tc>
        <w:tc>
          <w:tcPr>
            <w:tcW w:w="6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25 (60.98)</w:t>
            </w:r>
          </w:p>
        </w:tc>
      </w:tr>
      <w:tr w:rsidR="003B167F" w:rsidRPr="006353B9" w:rsidTr="005F252D">
        <w:trPr>
          <w:cantSplit/>
          <w:jc w:val="center"/>
        </w:trPr>
        <w:tc>
          <w:tcPr>
            <w:tcW w:w="1932"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lang w:val="en-US"/>
              </w:rPr>
            </w:pPr>
            <w:r w:rsidRPr="006353B9">
              <w:rPr>
                <w:color w:val="auto"/>
                <w:lang w:val="en-US"/>
              </w:rPr>
              <w:t xml:space="preserve">1: Restricted in physically </w:t>
            </w:r>
            <w:r w:rsidR="00363712" w:rsidRPr="006353B9">
              <w:rPr>
                <w:color w:val="auto"/>
                <w:lang w:val="en-US"/>
              </w:rPr>
              <w:t>strenuous</w:t>
            </w:r>
            <w:r w:rsidRPr="006353B9">
              <w:rPr>
                <w:color w:val="auto"/>
                <w:lang w:val="en-US"/>
              </w:rPr>
              <w:t xml:space="preserve"> activity but ambulatory and able to carry out work of a light or sedentary nature, e.g., light house work, offic</w:t>
            </w:r>
            <w:r>
              <w:rPr>
                <w:color w:val="auto"/>
                <w:lang w:val="en-US"/>
              </w:rPr>
              <w:t>e work</w:t>
            </w:r>
          </w:p>
        </w:tc>
        <w:tc>
          <w:tcPr>
            <w:tcW w:w="678"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n (%)</w:t>
            </w:r>
          </w:p>
        </w:tc>
        <w:tc>
          <w:tcPr>
            <w:tcW w:w="836"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7 (46.67)</w:t>
            </w:r>
          </w:p>
        </w:tc>
        <w:tc>
          <w:tcPr>
            <w:tcW w:w="88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9 (34.62)</w:t>
            </w:r>
          </w:p>
        </w:tc>
        <w:tc>
          <w:tcPr>
            <w:tcW w:w="665"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D22C4D">
            <w:pPr>
              <w:adjustRightInd w:val="0"/>
              <w:spacing w:before="67" w:after="67"/>
              <w:rPr>
                <w:color w:val="auto"/>
              </w:rPr>
            </w:pPr>
            <w:r w:rsidRPr="006353B9">
              <w:rPr>
                <w:color w:val="auto"/>
              </w:rPr>
              <w:t>16 (39.02)</w:t>
            </w:r>
          </w:p>
        </w:tc>
      </w:tr>
    </w:tbl>
    <w:p w:rsidR="00D22C4D" w:rsidRPr="00AA4F59" w:rsidRDefault="003B167F" w:rsidP="0045181E">
      <w:pPr>
        <w:pStyle w:val="Caption"/>
        <w:rPr>
          <w:b w:val="0"/>
        </w:rPr>
      </w:pPr>
      <w:bookmarkStart w:id="52" w:name="_Toc500240901"/>
      <w:r w:rsidRPr="00AA4F59">
        <w:rPr>
          <w:b w:val="0"/>
        </w:rPr>
        <w:t>Twenty-five randomized subjects (60,98%) had ECOG 1 and 16 subjects had ECOG 1 (39,02%).</w:t>
      </w:r>
    </w:p>
    <w:p w:rsidR="00D22C4D" w:rsidRPr="00D22C4D" w:rsidRDefault="00D22C4D" w:rsidP="00D22C4D">
      <w:pPr>
        <w:rPr>
          <w:lang w:val="en-US" w:eastAsia="es-ES"/>
        </w:rPr>
      </w:pPr>
    </w:p>
    <w:p w:rsidR="003B167F" w:rsidRPr="006353B9" w:rsidRDefault="003B167F" w:rsidP="0045181E">
      <w:pPr>
        <w:pStyle w:val="Caption"/>
      </w:pPr>
      <w:r>
        <w:t xml:space="preserve">Table 14. </w:t>
      </w:r>
      <w:r w:rsidRPr="006353B9">
        <w:t>MSKCC Prognostic Risk Score by treatment arm</w:t>
      </w:r>
      <w:bookmarkEnd w:id="52"/>
    </w:p>
    <w:tbl>
      <w:tblPr>
        <w:tblW w:w="4997" w:type="pct"/>
        <w:jc w:val="center"/>
        <w:tblCellMar>
          <w:left w:w="0" w:type="dxa"/>
          <w:right w:w="0" w:type="dxa"/>
        </w:tblCellMar>
        <w:tblLook w:val="0000" w:firstRow="0" w:lastRow="0" w:firstColumn="0" w:lastColumn="0" w:noHBand="0" w:noVBand="0"/>
      </w:tblPr>
      <w:tblGrid>
        <w:gridCol w:w="3659"/>
        <w:gridCol w:w="967"/>
        <w:gridCol w:w="1253"/>
        <w:gridCol w:w="1516"/>
        <w:gridCol w:w="1220"/>
      </w:tblGrid>
      <w:tr w:rsidR="003B167F" w:rsidRPr="006353B9" w:rsidTr="005F252D">
        <w:trPr>
          <w:cantSplit/>
          <w:tblHeader/>
          <w:jc w:val="center"/>
        </w:trPr>
        <w:tc>
          <w:tcPr>
            <w:tcW w:w="2685" w:type="pct"/>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27"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D22C4D" w:rsidRDefault="003B167F" w:rsidP="00D22C4D">
            <w:pPr>
              <w:adjustRightInd w:val="0"/>
              <w:spacing w:before="67" w:after="67"/>
              <w:rPr>
                <w:rFonts w:asciiTheme="minorHAnsi" w:hAnsiTheme="minorHAnsi" w:cstheme="minorHAnsi"/>
                <w:b/>
                <w:bCs/>
                <w:color w:val="auto"/>
                <w:lang w:val="en-US"/>
              </w:rPr>
            </w:pPr>
            <w:r w:rsidRPr="00D22C4D">
              <w:rPr>
                <w:rFonts w:asciiTheme="minorHAnsi" w:hAnsiTheme="minorHAnsi" w:cstheme="minorHAnsi"/>
                <w:b/>
                <w:bCs/>
                <w:color w:val="auto"/>
                <w:lang w:val="en-US"/>
              </w:rPr>
              <w:t xml:space="preserve">Control arm </w:t>
            </w:r>
            <w:r w:rsidRPr="00D22C4D">
              <w:rPr>
                <w:rFonts w:asciiTheme="minorHAnsi" w:hAnsiTheme="minorHAnsi" w:cstheme="minorHAnsi"/>
                <w:b/>
                <w:bCs/>
                <w:color w:val="auto"/>
                <w:lang w:val="en-US"/>
              </w:rPr>
              <w:br/>
              <w:t>(N=15)</w:t>
            </w:r>
          </w:p>
        </w:tc>
        <w:tc>
          <w:tcPr>
            <w:tcW w:w="880"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D22C4D" w:rsidRDefault="003B167F" w:rsidP="00D22C4D">
            <w:pPr>
              <w:adjustRightInd w:val="0"/>
              <w:spacing w:before="67" w:after="67"/>
              <w:rPr>
                <w:rFonts w:asciiTheme="minorHAnsi" w:hAnsiTheme="minorHAnsi" w:cstheme="minorHAnsi"/>
                <w:b/>
                <w:bCs/>
                <w:color w:val="auto"/>
                <w:lang w:val="en-US"/>
              </w:rPr>
            </w:pPr>
            <w:r w:rsidRPr="00D22C4D">
              <w:rPr>
                <w:rFonts w:asciiTheme="minorHAnsi" w:hAnsiTheme="minorHAnsi" w:cstheme="minorHAnsi"/>
                <w:b/>
                <w:bCs/>
                <w:color w:val="auto"/>
                <w:lang w:val="en-US"/>
              </w:rPr>
              <w:t xml:space="preserve">Experimental arm </w:t>
            </w:r>
            <w:r w:rsidRPr="00D22C4D">
              <w:rPr>
                <w:rFonts w:asciiTheme="minorHAnsi" w:hAnsiTheme="minorHAnsi" w:cstheme="minorHAnsi"/>
                <w:b/>
                <w:bCs/>
                <w:color w:val="auto"/>
                <w:lang w:val="en-US"/>
              </w:rPr>
              <w:br/>
              <w:t>(N=26)</w:t>
            </w:r>
          </w:p>
        </w:tc>
        <w:tc>
          <w:tcPr>
            <w:tcW w:w="708"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D22C4D" w:rsidRDefault="003B167F" w:rsidP="00D22C4D">
            <w:pPr>
              <w:adjustRightInd w:val="0"/>
              <w:spacing w:before="67" w:after="67"/>
              <w:rPr>
                <w:rFonts w:asciiTheme="minorHAnsi" w:hAnsiTheme="minorHAnsi" w:cstheme="minorHAnsi"/>
                <w:b/>
                <w:bCs/>
                <w:color w:val="auto"/>
              </w:rPr>
            </w:pPr>
            <w:r w:rsidRPr="00D22C4D">
              <w:rPr>
                <w:rFonts w:asciiTheme="minorHAnsi" w:hAnsiTheme="minorHAnsi" w:cstheme="minorHAnsi"/>
                <w:b/>
                <w:bCs/>
                <w:color w:val="auto"/>
              </w:rPr>
              <w:t>Total</w:t>
            </w:r>
            <w:r w:rsidRPr="00D22C4D">
              <w:rPr>
                <w:rFonts w:asciiTheme="minorHAnsi" w:hAnsiTheme="minorHAnsi" w:cstheme="minorHAnsi"/>
                <w:b/>
                <w:bCs/>
                <w:color w:val="auto"/>
              </w:rPr>
              <w:br/>
              <w:t>(N=41)</w:t>
            </w:r>
          </w:p>
        </w:tc>
      </w:tr>
      <w:tr w:rsidR="003B167F" w:rsidRPr="00AC180A" w:rsidTr="005F252D">
        <w:trPr>
          <w:cantSplit/>
          <w:jc w:val="center"/>
        </w:trPr>
        <w:tc>
          <w:tcPr>
            <w:tcW w:w="212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lang w:val="en-US"/>
              </w:rPr>
            </w:pPr>
            <w:proofErr w:type="spellStart"/>
            <w:r w:rsidRPr="006353B9">
              <w:rPr>
                <w:b/>
                <w:bCs/>
                <w:color w:val="auto"/>
                <w:lang w:val="en-US"/>
              </w:rPr>
              <w:t>Karnofsky</w:t>
            </w:r>
            <w:proofErr w:type="spellEnd"/>
            <w:r w:rsidRPr="006353B9">
              <w:rPr>
                <w:b/>
                <w:bCs/>
                <w:color w:val="auto"/>
                <w:lang w:val="en-US"/>
              </w:rPr>
              <w:t xml:space="preserve"> performance status</w:t>
            </w:r>
          </w:p>
          <w:p w:rsidR="003B167F" w:rsidRPr="006353B9" w:rsidRDefault="003B167F" w:rsidP="009A2182">
            <w:pPr>
              <w:adjustRightInd w:val="0"/>
              <w:spacing w:before="67" w:after="67"/>
              <w:jc w:val="both"/>
              <w:rPr>
                <w:b/>
                <w:bCs/>
                <w:color w:val="auto"/>
                <w:lang w:val="en-US"/>
              </w:rPr>
            </w:pPr>
            <w:r w:rsidRPr="006353B9">
              <w:rPr>
                <w:b/>
                <w:bCs/>
                <w:color w:val="auto"/>
                <w:lang w:val="en-US"/>
              </w:rPr>
              <w:t>(less than 80%)</w:t>
            </w:r>
          </w:p>
        </w:tc>
        <w:tc>
          <w:tcPr>
            <w:tcW w:w="561"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27"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880"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08"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Yes</w:t>
            </w: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 (6.67)</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 (0.00)</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 (2.44)</w:t>
            </w: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No</w:t>
            </w: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14 (93.33)</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26 (100.00)</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40 (97.56)</w:t>
            </w:r>
          </w:p>
        </w:tc>
      </w:tr>
      <w:tr w:rsidR="003B167F" w:rsidRPr="00AC180A" w:rsidTr="005F252D">
        <w:trPr>
          <w:cantSplit/>
          <w:jc w:val="center"/>
        </w:trPr>
        <w:tc>
          <w:tcPr>
            <w:tcW w:w="212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lang w:val="en-US"/>
              </w:rPr>
            </w:pPr>
            <w:r w:rsidRPr="006353B9">
              <w:rPr>
                <w:b/>
                <w:bCs/>
                <w:color w:val="auto"/>
                <w:lang w:val="en-US"/>
              </w:rPr>
              <w:lastRenderedPageBreak/>
              <w:t>Low</w:t>
            </w:r>
            <w:r>
              <w:rPr>
                <w:b/>
                <w:bCs/>
                <w:color w:val="auto"/>
                <w:lang w:val="en-US"/>
              </w:rPr>
              <w:t xml:space="preserve"> </w:t>
            </w:r>
            <w:r w:rsidRPr="006353B9">
              <w:rPr>
                <w:b/>
                <w:bCs/>
                <w:color w:val="auto"/>
                <w:lang w:val="en-US"/>
              </w:rPr>
              <w:t>serum hemoglobin</w:t>
            </w:r>
          </w:p>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(less than or </w:t>
            </w:r>
            <w:r w:rsidR="00363712" w:rsidRPr="006353B9">
              <w:rPr>
                <w:b/>
                <w:bCs/>
                <w:color w:val="auto"/>
                <w:lang w:val="en-US"/>
              </w:rPr>
              <w:t>equal</w:t>
            </w:r>
            <w:r w:rsidRPr="006353B9">
              <w:rPr>
                <w:b/>
                <w:bCs/>
                <w:color w:val="auto"/>
                <w:lang w:val="en-US"/>
              </w:rPr>
              <w:t xml:space="preserve"> to 13g/</w:t>
            </w:r>
            <w:proofErr w:type="spellStart"/>
            <w:r w:rsidRPr="006353B9">
              <w:rPr>
                <w:b/>
                <w:bCs/>
                <w:color w:val="auto"/>
                <w:lang w:val="en-US"/>
              </w:rPr>
              <w:t>dL</w:t>
            </w:r>
            <w:proofErr w:type="spellEnd"/>
            <w:r w:rsidRPr="006353B9">
              <w:rPr>
                <w:b/>
                <w:bCs/>
                <w:color w:val="auto"/>
                <w:lang w:val="en-US"/>
              </w:rPr>
              <w:t xml:space="preserve"> for males and </w:t>
            </w:r>
          </w:p>
          <w:p w:rsidR="003B167F" w:rsidRPr="006353B9" w:rsidRDefault="003B167F" w:rsidP="009A2182">
            <w:pPr>
              <w:adjustRightInd w:val="0"/>
              <w:spacing w:before="67" w:after="67"/>
              <w:jc w:val="both"/>
              <w:rPr>
                <w:b/>
                <w:bCs/>
                <w:color w:val="auto"/>
                <w:lang w:val="en-US"/>
              </w:rPr>
            </w:pPr>
            <w:r w:rsidRPr="006353B9">
              <w:rPr>
                <w:b/>
                <w:bCs/>
                <w:color w:val="auto"/>
                <w:lang w:val="en-US"/>
              </w:rPr>
              <w:t>less than or equal to 11.5g/</w:t>
            </w:r>
            <w:proofErr w:type="spellStart"/>
            <w:r w:rsidRPr="006353B9">
              <w:rPr>
                <w:b/>
                <w:bCs/>
                <w:color w:val="auto"/>
                <w:lang w:val="en-US"/>
              </w:rPr>
              <w:t>dL</w:t>
            </w:r>
            <w:proofErr w:type="spellEnd"/>
            <w:r w:rsidRPr="006353B9">
              <w:rPr>
                <w:b/>
                <w:bCs/>
                <w:color w:val="auto"/>
                <w:lang w:val="en-US"/>
              </w:rPr>
              <w:t xml:space="preserve"> for females)</w:t>
            </w:r>
          </w:p>
        </w:tc>
        <w:tc>
          <w:tcPr>
            <w:tcW w:w="561"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27"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880"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08"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Yes</w:t>
            </w: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5 (33.33)</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9 (34.62)</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14 (34.15)</w:t>
            </w: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No</w:t>
            </w: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10 (66.67)</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17 (65.38)</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27 (65.85)</w:t>
            </w:r>
          </w:p>
        </w:tc>
      </w:tr>
      <w:tr w:rsidR="003B167F" w:rsidRPr="00AC180A" w:rsidTr="005F252D">
        <w:trPr>
          <w:cantSplit/>
          <w:jc w:val="center"/>
        </w:trPr>
        <w:tc>
          <w:tcPr>
            <w:tcW w:w="212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lang w:val="en-US"/>
              </w:rPr>
            </w:pPr>
            <w:r w:rsidRPr="006353B9">
              <w:rPr>
                <w:b/>
                <w:bCs/>
                <w:color w:val="auto"/>
                <w:lang w:val="en-US"/>
              </w:rPr>
              <w:t>High corrected serum calcium</w:t>
            </w:r>
          </w:p>
          <w:p w:rsidR="003B167F" w:rsidRPr="006353B9" w:rsidRDefault="003B167F" w:rsidP="009A2182">
            <w:pPr>
              <w:adjustRightInd w:val="0"/>
              <w:spacing w:before="67" w:after="67"/>
              <w:jc w:val="both"/>
              <w:rPr>
                <w:b/>
                <w:bCs/>
                <w:color w:val="auto"/>
                <w:lang w:val="en-US"/>
              </w:rPr>
            </w:pPr>
            <w:r w:rsidRPr="006353B9">
              <w:rPr>
                <w:b/>
                <w:bCs/>
                <w:color w:val="auto"/>
                <w:lang w:val="en-US"/>
              </w:rPr>
              <w:t>(</w:t>
            </w:r>
            <w:r>
              <w:rPr>
                <w:b/>
                <w:bCs/>
                <w:color w:val="auto"/>
                <w:lang w:val="en-US"/>
              </w:rPr>
              <w:t>more</w:t>
            </w:r>
            <w:r w:rsidRPr="006353B9">
              <w:rPr>
                <w:b/>
                <w:bCs/>
                <w:color w:val="auto"/>
                <w:lang w:val="en-US"/>
              </w:rPr>
              <w:t xml:space="preserve"> than or equal to 10mg/</w:t>
            </w:r>
            <w:proofErr w:type="spellStart"/>
            <w:r w:rsidRPr="006353B9">
              <w:rPr>
                <w:b/>
                <w:bCs/>
                <w:color w:val="auto"/>
                <w:lang w:val="en-US"/>
              </w:rPr>
              <w:t>dL</w:t>
            </w:r>
            <w:proofErr w:type="spellEnd"/>
            <w:r w:rsidRPr="006353B9">
              <w:rPr>
                <w:b/>
                <w:bCs/>
                <w:color w:val="auto"/>
                <w:lang w:val="en-US"/>
              </w:rPr>
              <w:t>)</w:t>
            </w:r>
          </w:p>
        </w:tc>
        <w:tc>
          <w:tcPr>
            <w:tcW w:w="561"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27"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880"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c>
          <w:tcPr>
            <w:tcW w:w="708"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lang w:val="en-US"/>
              </w:rPr>
            </w:pP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No</w:t>
            </w: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15 (100.00)</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26 (100.00)</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41 (100.00)</w:t>
            </w:r>
          </w:p>
        </w:tc>
      </w:tr>
      <w:tr w:rsidR="003B167F" w:rsidRPr="006353B9" w:rsidTr="005F252D">
        <w:trPr>
          <w:cantSplit/>
          <w:jc w:val="center"/>
        </w:trPr>
        <w:tc>
          <w:tcPr>
            <w:tcW w:w="212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Number of risk factors*</w:t>
            </w:r>
          </w:p>
        </w:tc>
        <w:tc>
          <w:tcPr>
            <w:tcW w:w="561"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727"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880"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708"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n</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15</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26</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41</w:t>
            </w: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Median [Q1,Q3]</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[0.00, 1.00]</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[0.00, 1.00]</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[0.00, 1.00]</w:t>
            </w: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p>
        </w:tc>
        <w:tc>
          <w:tcPr>
            <w:tcW w:w="561"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Min, Max</w:t>
            </w:r>
          </w:p>
        </w:tc>
        <w:tc>
          <w:tcPr>
            <w:tcW w:w="727"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0.00, 1.00</w:t>
            </w:r>
          </w:p>
        </w:tc>
        <w:tc>
          <w:tcPr>
            <w:tcW w:w="880"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0.00, 1.00</w:t>
            </w:r>
          </w:p>
        </w:tc>
        <w:tc>
          <w:tcPr>
            <w:tcW w:w="708" w:type="pct"/>
            <w:tcBorders>
              <w:top w:val="nil"/>
              <w:left w:val="nil"/>
              <w:bottom w:val="single" w:sz="4" w:space="0" w:color="000080"/>
              <w:right w:val="nil"/>
            </w:tcBorders>
            <w:shd w:val="clear" w:color="auto" w:fill="FFFFFF"/>
            <w:tcMar>
              <w:left w:w="67" w:type="dxa"/>
              <w:right w:w="67" w:type="dxa"/>
            </w:tcMar>
          </w:tcPr>
          <w:p w:rsidR="003B167F" w:rsidRPr="00D22C4D" w:rsidRDefault="003B167F" w:rsidP="00D22C4D">
            <w:pPr>
              <w:adjustRightInd w:val="0"/>
              <w:spacing w:before="67" w:after="67"/>
              <w:rPr>
                <w:rFonts w:asciiTheme="minorHAnsi" w:hAnsiTheme="minorHAnsi" w:cstheme="minorHAnsi"/>
                <w:color w:val="auto"/>
              </w:rPr>
            </w:pPr>
            <w:r w:rsidRPr="00D22C4D">
              <w:rPr>
                <w:rFonts w:asciiTheme="minorHAnsi" w:hAnsiTheme="minorHAnsi" w:cstheme="minorHAnsi"/>
                <w:color w:val="auto"/>
              </w:rPr>
              <w:t>0.00, 1.00</w:t>
            </w:r>
          </w:p>
        </w:tc>
      </w:tr>
      <w:tr w:rsidR="003B167F" w:rsidRPr="006353B9" w:rsidTr="005F252D">
        <w:trPr>
          <w:cantSplit/>
          <w:jc w:val="center"/>
        </w:trPr>
        <w:tc>
          <w:tcPr>
            <w:tcW w:w="2124"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MSKCC Risk Groups</w:t>
            </w:r>
          </w:p>
        </w:tc>
        <w:tc>
          <w:tcPr>
            <w:tcW w:w="561"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727"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880" w:type="pct"/>
            <w:tcBorders>
              <w:top w:val="nil"/>
              <w:left w:val="single" w:sz="4" w:space="0" w:color="FFFFFF"/>
              <w:bottom w:val="single" w:sz="4" w:space="0" w:color="000080"/>
              <w:right w:val="nil"/>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c>
          <w:tcPr>
            <w:tcW w:w="708"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D22C4D" w:rsidRDefault="003B167F" w:rsidP="00D22C4D">
            <w:pPr>
              <w:adjustRightInd w:val="0"/>
              <w:spacing w:before="67" w:after="67"/>
              <w:rPr>
                <w:rFonts w:asciiTheme="minorHAnsi" w:hAnsiTheme="minorHAnsi" w:cstheme="minorHAnsi"/>
                <w:b/>
                <w:bCs/>
                <w:color w:val="auto"/>
              </w:rPr>
            </w:pP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Favorable</w:t>
            </w:r>
          </w:p>
        </w:tc>
        <w:tc>
          <w:tcPr>
            <w:tcW w:w="56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9 (60.00)</w:t>
            </w:r>
          </w:p>
        </w:tc>
        <w:tc>
          <w:tcPr>
            <w:tcW w:w="88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17 (65.38)</w:t>
            </w:r>
          </w:p>
        </w:tc>
        <w:tc>
          <w:tcPr>
            <w:tcW w:w="708"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26 (63.41)</w:t>
            </w:r>
          </w:p>
        </w:tc>
      </w:tr>
      <w:tr w:rsidR="003B167F" w:rsidRPr="006353B9" w:rsidTr="005F252D">
        <w:trPr>
          <w:cantSplit/>
          <w:jc w:val="center"/>
        </w:trPr>
        <w:tc>
          <w:tcPr>
            <w:tcW w:w="2124"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Intermediate</w:t>
            </w:r>
          </w:p>
        </w:tc>
        <w:tc>
          <w:tcPr>
            <w:tcW w:w="56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727"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6 (40.00)</w:t>
            </w:r>
          </w:p>
        </w:tc>
        <w:tc>
          <w:tcPr>
            <w:tcW w:w="88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9 (34.62)</w:t>
            </w:r>
          </w:p>
        </w:tc>
        <w:tc>
          <w:tcPr>
            <w:tcW w:w="708"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15 (36.59)</w:t>
            </w:r>
          </w:p>
        </w:tc>
      </w:tr>
    </w:tbl>
    <w:p w:rsidR="003B167F" w:rsidRPr="00D22C4D" w:rsidRDefault="003B167F" w:rsidP="00FB4EE7">
      <w:pPr>
        <w:spacing w:line="240" w:lineRule="auto"/>
        <w:jc w:val="both"/>
        <w:rPr>
          <w:color w:val="auto"/>
          <w:lang w:val="en-US"/>
        </w:rPr>
      </w:pPr>
      <w:r w:rsidRPr="00D22C4D">
        <w:rPr>
          <w:color w:val="auto"/>
          <w:lang w:val="en-US"/>
        </w:rPr>
        <w:t>The Memorial Sloan–Kettering Cancer Center/ MSKCC Prognostic Risk Score was used to predict survival based on clinical and laboratory data in metastatic RCC patients.</w:t>
      </w:r>
      <w:r w:rsidR="00FB4EE7">
        <w:rPr>
          <w:color w:val="auto"/>
          <w:lang w:val="en-US"/>
        </w:rPr>
        <w:t xml:space="preserve"> </w:t>
      </w:r>
      <w:r w:rsidRPr="00D22C4D">
        <w:rPr>
          <w:color w:val="auto"/>
          <w:lang w:val="en-US"/>
        </w:rPr>
        <w:t>Out of 41 patients 26 (63,41%) had favorable MSKCC risk profile and 15 subjects (36,59%) fell under definition of intermediate risk group. Low serum hemoglobin was the most frequent risk factor found in 14 subjects (34,15%)</w:t>
      </w:r>
      <w:r w:rsidR="005F252D">
        <w:rPr>
          <w:color w:val="auto"/>
          <w:lang w:val="en-US"/>
        </w:rPr>
        <w:t>.</w:t>
      </w:r>
    </w:p>
    <w:p w:rsidR="003B167F" w:rsidRPr="00AC180A" w:rsidRDefault="003B167F" w:rsidP="00D22C4D">
      <w:pPr>
        <w:spacing w:line="240" w:lineRule="auto"/>
        <w:rPr>
          <w:color w:val="auto"/>
          <w:lang w:val="en-US"/>
        </w:rPr>
      </w:pPr>
      <w:bookmarkStart w:id="53" w:name="_Toc500240902"/>
    </w:p>
    <w:p w:rsidR="003B167F" w:rsidRPr="00AC180A" w:rsidRDefault="003B167F" w:rsidP="00D22C4D">
      <w:pPr>
        <w:spacing w:line="240" w:lineRule="auto"/>
        <w:rPr>
          <w:color w:val="auto"/>
          <w:lang w:val="en-US"/>
        </w:rPr>
      </w:pPr>
    </w:p>
    <w:p w:rsidR="00AA4F59" w:rsidRDefault="00AA4F59">
      <w:pPr>
        <w:spacing w:after="160" w:line="240" w:lineRule="auto"/>
        <w:jc w:val="both"/>
        <w:rPr>
          <w:rFonts w:eastAsia="Times New Roman"/>
          <w:b/>
          <w:bCs/>
          <w:color w:val="auto"/>
          <w:kern w:val="20"/>
          <w:lang w:val="en-US" w:eastAsia="es-ES"/>
        </w:rPr>
      </w:pPr>
      <w:r>
        <w:br w:type="page"/>
      </w:r>
    </w:p>
    <w:p w:rsidR="003B167F" w:rsidRPr="00315F25" w:rsidRDefault="003B167F" w:rsidP="0045181E">
      <w:pPr>
        <w:pStyle w:val="Caption"/>
      </w:pPr>
      <w:r>
        <w:lastRenderedPageBreak/>
        <w:t xml:space="preserve">Table 15. </w:t>
      </w:r>
      <w:r w:rsidRPr="006353B9">
        <w:t>Pregnancy Test by treatment arm</w:t>
      </w:r>
      <w:bookmarkEnd w:id="53"/>
    </w:p>
    <w:tbl>
      <w:tblPr>
        <w:tblW w:w="0" w:type="auto"/>
        <w:jc w:val="center"/>
        <w:tblCellMar>
          <w:left w:w="0" w:type="dxa"/>
          <w:right w:w="0" w:type="dxa"/>
        </w:tblCellMar>
        <w:tblLook w:val="0000" w:firstRow="0" w:lastRow="0" w:firstColumn="0" w:lastColumn="0" w:noHBand="0" w:noVBand="0"/>
      </w:tblPr>
      <w:tblGrid>
        <w:gridCol w:w="3355"/>
        <w:gridCol w:w="660"/>
        <w:gridCol w:w="1381"/>
        <w:gridCol w:w="1981"/>
        <w:gridCol w:w="1137"/>
      </w:tblGrid>
      <w:tr w:rsidR="003B167F" w:rsidRPr="006353B9" w:rsidTr="005F252D">
        <w:trPr>
          <w:cantSplit/>
          <w:tblHeader/>
          <w:jc w:val="center"/>
        </w:trPr>
        <w:tc>
          <w:tcPr>
            <w:tcW w:w="4015" w:type="dxa"/>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p>
        </w:tc>
        <w:tc>
          <w:tcPr>
            <w:tcW w:w="0" w:type="auto"/>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Pr>
                <w:b/>
                <w:bCs/>
                <w:color w:val="auto"/>
                <w:lang w:val="en-US"/>
              </w:rPr>
              <w:t xml:space="preserve">Control arm </w:t>
            </w:r>
            <w:r w:rsidRPr="006353B9">
              <w:rPr>
                <w:b/>
                <w:bCs/>
                <w:color w:val="auto"/>
                <w:lang w:val="en-US"/>
              </w:rPr>
              <w:br/>
              <w:t>(N=15)</w:t>
            </w:r>
          </w:p>
        </w:tc>
        <w:tc>
          <w:tcPr>
            <w:tcW w:w="0" w:type="auto"/>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lang w:val="en-US"/>
              </w:rPr>
            </w:pPr>
            <w:r w:rsidRPr="006353B9">
              <w:rPr>
                <w:b/>
                <w:bCs/>
                <w:color w:val="auto"/>
                <w:lang w:val="en-US"/>
              </w:rPr>
              <w:t xml:space="preserve">Experimental arm </w:t>
            </w:r>
            <w:r w:rsidRPr="006353B9">
              <w:rPr>
                <w:b/>
                <w:bCs/>
                <w:color w:val="auto"/>
                <w:lang w:val="en-US"/>
              </w:rPr>
              <w:br/>
              <w:t>(N=26)</w:t>
            </w:r>
          </w:p>
        </w:tc>
        <w:tc>
          <w:tcPr>
            <w:tcW w:w="0" w:type="auto"/>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9A2182">
            <w:pPr>
              <w:adjustRightInd w:val="0"/>
              <w:spacing w:before="67" w:after="67"/>
              <w:jc w:val="both"/>
              <w:rPr>
                <w:b/>
                <w:bCs/>
                <w:color w:val="auto"/>
              </w:rPr>
            </w:pPr>
            <w:r w:rsidRPr="006353B9">
              <w:rPr>
                <w:b/>
                <w:bCs/>
                <w:color w:val="auto"/>
              </w:rPr>
              <w:t>Total</w:t>
            </w:r>
            <w:r w:rsidRPr="006353B9">
              <w:rPr>
                <w:b/>
                <w:bCs/>
                <w:color w:val="auto"/>
              </w:rPr>
              <w:br/>
              <w:t>(N=41)</w:t>
            </w:r>
          </w:p>
        </w:tc>
      </w:tr>
      <w:tr w:rsidR="003B167F" w:rsidRPr="006353B9" w:rsidTr="005F252D">
        <w:trPr>
          <w:cantSplit/>
          <w:jc w:val="center"/>
        </w:trPr>
        <w:tc>
          <w:tcPr>
            <w:tcW w:w="335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It has been done?</w:t>
            </w: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5F252D">
        <w:trPr>
          <w:cantSplit/>
          <w:jc w:val="center"/>
        </w:trPr>
        <w:tc>
          <w:tcPr>
            <w:tcW w:w="335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Yes</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(6.67)</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(3.85)</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 (4.88)</w:t>
            </w:r>
          </w:p>
        </w:tc>
      </w:tr>
      <w:tr w:rsidR="003B167F" w:rsidRPr="006353B9" w:rsidTr="005F252D">
        <w:trPr>
          <w:cantSplit/>
          <w:jc w:val="center"/>
        </w:trPr>
        <w:tc>
          <w:tcPr>
            <w:tcW w:w="335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NA</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14 (93.33)</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25 (96.15)</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39 (95.12)</w:t>
            </w:r>
          </w:p>
        </w:tc>
      </w:tr>
      <w:tr w:rsidR="003B167F" w:rsidRPr="006353B9" w:rsidTr="005F252D">
        <w:trPr>
          <w:cantSplit/>
          <w:jc w:val="center"/>
        </w:trPr>
        <w:tc>
          <w:tcPr>
            <w:tcW w:w="3355" w:type="dxa"/>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r w:rsidRPr="006353B9">
              <w:rPr>
                <w:b/>
                <w:bCs/>
                <w:color w:val="auto"/>
              </w:rPr>
              <w:t>Test result</w:t>
            </w: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c>
          <w:tcPr>
            <w:tcW w:w="0" w:type="auto"/>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9A2182">
            <w:pPr>
              <w:adjustRightInd w:val="0"/>
              <w:spacing w:before="67" w:after="67"/>
              <w:jc w:val="both"/>
              <w:rPr>
                <w:b/>
                <w:bCs/>
                <w:color w:val="auto"/>
              </w:rPr>
            </w:pPr>
          </w:p>
        </w:tc>
      </w:tr>
      <w:tr w:rsidR="003B167F" w:rsidRPr="006353B9" w:rsidTr="005F252D">
        <w:trPr>
          <w:cantSplit/>
          <w:jc w:val="center"/>
        </w:trPr>
        <w:tc>
          <w:tcPr>
            <w:tcW w:w="3355" w:type="dxa"/>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Negative</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n (%)</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(100.00)</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1 (100.00)</w:t>
            </w:r>
          </w:p>
        </w:tc>
        <w:tc>
          <w:tcPr>
            <w:tcW w:w="0" w:type="auto"/>
            <w:tcBorders>
              <w:top w:val="nil"/>
              <w:left w:val="nil"/>
              <w:bottom w:val="single" w:sz="4" w:space="0" w:color="000080"/>
              <w:right w:val="nil"/>
            </w:tcBorders>
            <w:shd w:val="clear" w:color="auto" w:fill="FFFFFF"/>
            <w:tcMar>
              <w:left w:w="67" w:type="dxa"/>
              <w:right w:w="67" w:type="dxa"/>
            </w:tcMar>
          </w:tcPr>
          <w:p w:rsidR="003B167F" w:rsidRPr="006353B9" w:rsidRDefault="003B167F" w:rsidP="009A2182">
            <w:pPr>
              <w:adjustRightInd w:val="0"/>
              <w:spacing w:before="67" w:after="67"/>
              <w:jc w:val="both"/>
              <w:rPr>
                <w:color w:val="auto"/>
              </w:rPr>
            </w:pPr>
            <w:r w:rsidRPr="006353B9">
              <w:rPr>
                <w:color w:val="auto"/>
              </w:rPr>
              <w:t>2 (100.00)</w:t>
            </w:r>
          </w:p>
        </w:tc>
      </w:tr>
    </w:tbl>
    <w:p w:rsidR="003B167F" w:rsidRPr="00AA4F59" w:rsidRDefault="003B167F" w:rsidP="0045181E">
      <w:pPr>
        <w:pStyle w:val="Caption"/>
        <w:rPr>
          <w:b w:val="0"/>
        </w:rPr>
      </w:pPr>
      <w:bookmarkStart w:id="54" w:name="_Toc500240903"/>
      <w:r w:rsidRPr="00AA4F59">
        <w:rPr>
          <w:b w:val="0"/>
        </w:rPr>
        <w:t>Pregnancy tests were only needed and therefore performed for two female subjects with results being negative for both cases.</w:t>
      </w:r>
      <w:bookmarkEnd w:id="54"/>
    </w:p>
    <w:p w:rsidR="00AA4F59" w:rsidRDefault="00AA4F59" w:rsidP="00AA4F59">
      <w:pPr>
        <w:jc w:val="both"/>
        <w:rPr>
          <w:rFonts w:eastAsia="Times New Roman"/>
          <w:bCs/>
          <w:color w:val="auto"/>
          <w:kern w:val="20"/>
          <w:lang w:val="en-US" w:eastAsia="es-ES"/>
        </w:rPr>
      </w:pPr>
    </w:p>
    <w:p w:rsidR="00AA4F59" w:rsidRPr="00FB4EE7" w:rsidRDefault="00AA4F59" w:rsidP="00AA4F59">
      <w:pPr>
        <w:spacing w:after="160" w:line="240" w:lineRule="auto"/>
        <w:jc w:val="both"/>
        <w:rPr>
          <w:rFonts w:eastAsia="Times New Roman"/>
          <w:b/>
          <w:color w:val="auto"/>
          <w:lang w:val="en-US"/>
        </w:rPr>
      </w:pPr>
      <w:r w:rsidRPr="00FB4EE7">
        <w:rPr>
          <w:b/>
        </w:rPr>
        <w:t>Table 1</w:t>
      </w:r>
      <w:r>
        <w:rPr>
          <w:b/>
          <w:lang w:val="en-US"/>
        </w:rPr>
        <w:t>6</w:t>
      </w:r>
      <w:r w:rsidRPr="00FB4EE7">
        <w:rPr>
          <w:b/>
        </w:rPr>
        <w:t xml:space="preserve">. </w:t>
      </w:r>
      <w:r>
        <w:rPr>
          <w:b/>
          <w:lang w:val="en-US"/>
        </w:rPr>
        <w:t xml:space="preserve">Serum hemoglobin and platelets </w:t>
      </w:r>
      <w:r w:rsidRPr="00FB4EE7">
        <w:rPr>
          <w:b/>
        </w:rPr>
        <w:t>by treatment arm</w:t>
      </w:r>
    </w:p>
    <w:tbl>
      <w:tblPr>
        <w:tblW w:w="5000" w:type="pct"/>
        <w:jc w:val="center"/>
        <w:tblCellMar>
          <w:left w:w="0" w:type="dxa"/>
          <w:right w:w="0" w:type="dxa"/>
        </w:tblCellMar>
        <w:tblLook w:val="0000" w:firstRow="0" w:lastRow="0" w:firstColumn="0" w:lastColumn="0" w:noHBand="0" w:noVBand="0"/>
      </w:tblPr>
      <w:tblGrid>
        <w:gridCol w:w="1906"/>
        <w:gridCol w:w="1576"/>
        <w:gridCol w:w="1664"/>
        <w:gridCol w:w="1576"/>
        <w:gridCol w:w="1898"/>
      </w:tblGrid>
      <w:tr w:rsidR="00AA4F59" w:rsidRPr="006353B9" w:rsidTr="00A0730D">
        <w:trPr>
          <w:cantSplit/>
          <w:tblHeader/>
          <w:jc w:val="center"/>
        </w:trPr>
        <w:tc>
          <w:tcPr>
            <w:tcW w:w="2020" w:type="pct"/>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AA4F59" w:rsidRPr="006353B9" w:rsidRDefault="00AA4F59" w:rsidP="00A0730D">
            <w:pPr>
              <w:adjustRightInd w:val="0"/>
              <w:spacing w:before="67" w:after="67"/>
              <w:jc w:val="both"/>
              <w:rPr>
                <w:b/>
                <w:bCs/>
                <w:color w:val="auto"/>
                <w:lang w:val="en-US"/>
              </w:rPr>
            </w:pPr>
          </w:p>
        </w:tc>
        <w:tc>
          <w:tcPr>
            <w:tcW w:w="965"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AA4F59" w:rsidRPr="006353B9" w:rsidRDefault="00AA4F59" w:rsidP="00A0730D">
            <w:pPr>
              <w:adjustRightInd w:val="0"/>
              <w:spacing w:before="67" w:after="67"/>
              <w:jc w:val="both"/>
              <w:rPr>
                <w:b/>
                <w:bCs/>
                <w:color w:val="auto"/>
                <w:lang w:val="en-US"/>
              </w:rPr>
            </w:pPr>
            <w:r w:rsidRPr="006353B9">
              <w:rPr>
                <w:b/>
                <w:bCs/>
                <w:color w:val="auto"/>
                <w:lang w:val="en-US"/>
              </w:rPr>
              <w:t xml:space="preserve">Control arm </w:t>
            </w:r>
            <w:r w:rsidRPr="006353B9">
              <w:rPr>
                <w:b/>
                <w:bCs/>
                <w:color w:val="auto"/>
                <w:lang w:val="en-US"/>
              </w:rPr>
              <w:br/>
              <w:t>(N=15)</w:t>
            </w:r>
          </w:p>
        </w:tc>
        <w:tc>
          <w:tcPr>
            <w:tcW w:w="914"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AA4F59" w:rsidRPr="006353B9" w:rsidRDefault="00AA4F59" w:rsidP="00A0730D">
            <w:pPr>
              <w:adjustRightInd w:val="0"/>
              <w:spacing w:before="67" w:after="67"/>
              <w:jc w:val="both"/>
              <w:rPr>
                <w:b/>
                <w:bCs/>
                <w:color w:val="auto"/>
                <w:lang w:val="en-US"/>
              </w:rPr>
            </w:pPr>
            <w:r w:rsidRPr="006353B9">
              <w:rPr>
                <w:b/>
                <w:bCs/>
                <w:color w:val="auto"/>
                <w:lang w:val="en-US"/>
              </w:rPr>
              <w:t xml:space="preserve">Experimental </w:t>
            </w:r>
            <w:r w:rsidRPr="006353B9">
              <w:rPr>
                <w:b/>
                <w:bCs/>
                <w:color w:val="auto"/>
                <w:lang w:val="en-US"/>
              </w:rPr>
              <w:br/>
              <w:t>(N=26)</w:t>
            </w:r>
          </w:p>
        </w:tc>
        <w:tc>
          <w:tcPr>
            <w:tcW w:w="1101"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AA4F59" w:rsidRPr="006353B9" w:rsidRDefault="00AA4F59" w:rsidP="00A0730D">
            <w:pPr>
              <w:adjustRightInd w:val="0"/>
              <w:spacing w:before="67" w:after="67"/>
              <w:jc w:val="both"/>
              <w:rPr>
                <w:b/>
                <w:bCs/>
                <w:color w:val="auto"/>
              </w:rPr>
            </w:pPr>
            <w:r w:rsidRPr="006353B9">
              <w:rPr>
                <w:b/>
                <w:bCs/>
                <w:color w:val="auto"/>
              </w:rPr>
              <w:t>Total</w:t>
            </w:r>
            <w:r w:rsidRPr="006353B9">
              <w:rPr>
                <w:b/>
                <w:bCs/>
                <w:color w:val="auto"/>
              </w:rPr>
              <w:br/>
              <w:t>(N=41)</w:t>
            </w:r>
          </w:p>
        </w:tc>
      </w:tr>
      <w:tr w:rsidR="00AA4F59" w:rsidRPr="006353B9" w:rsidTr="00A0730D">
        <w:trPr>
          <w:cantSplit/>
          <w:jc w:val="center"/>
        </w:trPr>
        <w:tc>
          <w:tcPr>
            <w:tcW w:w="1106" w:type="pct"/>
            <w:tcBorders>
              <w:top w:val="nil"/>
              <w:left w:val="single" w:sz="4" w:space="0" w:color="FFFFFF"/>
              <w:bottom w:val="single" w:sz="4" w:space="0" w:color="000080"/>
              <w:right w:val="nil"/>
            </w:tcBorders>
            <w:shd w:val="clear" w:color="auto" w:fill="D4D4D4"/>
            <w:tcMar>
              <w:left w:w="67" w:type="dxa"/>
              <w:right w:w="67" w:type="dxa"/>
            </w:tcMar>
          </w:tcPr>
          <w:p w:rsidR="00AA4F59" w:rsidRPr="006353B9" w:rsidRDefault="00AA4F59" w:rsidP="00A0730D">
            <w:pPr>
              <w:adjustRightInd w:val="0"/>
              <w:spacing w:before="67" w:after="67"/>
              <w:jc w:val="both"/>
              <w:rPr>
                <w:b/>
                <w:bCs/>
                <w:color w:val="auto"/>
              </w:rPr>
            </w:pPr>
            <w:r>
              <w:rPr>
                <w:b/>
                <w:bCs/>
                <w:color w:val="auto"/>
              </w:rPr>
              <w:t xml:space="preserve">Hemoglobin </w:t>
            </w:r>
            <w:r w:rsidRPr="006353B9">
              <w:rPr>
                <w:b/>
                <w:bCs/>
                <w:color w:val="auto"/>
              </w:rPr>
              <w:t>(</w:t>
            </w:r>
            <w:r>
              <w:rPr>
                <w:b/>
                <w:bCs/>
                <w:color w:val="auto"/>
                <w:lang w:val="en-US"/>
              </w:rPr>
              <w:t>g/</w:t>
            </w:r>
            <w:proofErr w:type="spellStart"/>
            <w:r>
              <w:rPr>
                <w:b/>
                <w:bCs/>
                <w:color w:val="auto"/>
                <w:lang w:val="en-US"/>
              </w:rPr>
              <w:t>dL</w:t>
            </w:r>
            <w:proofErr w:type="spellEnd"/>
            <w:r w:rsidRPr="006353B9">
              <w:rPr>
                <w:b/>
                <w:bCs/>
                <w:color w:val="auto"/>
              </w:rPr>
              <w:t>)</w:t>
            </w: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AA4F59" w:rsidRPr="006353B9" w:rsidRDefault="00AA4F59" w:rsidP="00A0730D">
            <w:pPr>
              <w:adjustRightInd w:val="0"/>
              <w:spacing w:before="67" w:after="67"/>
              <w:jc w:val="both"/>
              <w:rPr>
                <w:b/>
                <w:bCs/>
                <w:color w:val="auto"/>
              </w:rPr>
            </w:pPr>
          </w:p>
        </w:tc>
        <w:tc>
          <w:tcPr>
            <w:tcW w:w="965" w:type="pct"/>
            <w:tcBorders>
              <w:top w:val="nil"/>
              <w:left w:val="single" w:sz="4" w:space="0" w:color="FFFFFF"/>
              <w:bottom w:val="single" w:sz="4" w:space="0" w:color="000080"/>
              <w:right w:val="nil"/>
            </w:tcBorders>
            <w:shd w:val="clear" w:color="auto" w:fill="D4D4D4"/>
            <w:tcMar>
              <w:left w:w="67" w:type="dxa"/>
              <w:right w:w="67" w:type="dxa"/>
            </w:tcMar>
          </w:tcPr>
          <w:p w:rsidR="00AA4F59" w:rsidRPr="006353B9" w:rsidRDefault="00AA4F59" w:rsidP="00A0730D">
            <w:pPr>
              <w:adjustRightInd w:val="0"/>
              <w:spacing w:before="67" w:after="67"/>
              <w:jc w:val="both"/>
              <w:rPr>
                <w:b/>
                <w:bCs/>
                <w:color w:val="auto"/>
              </w:rPr>
            </w:pPr>
          </w:p>
        </w:tc>
        <w:tc>
          <w:tcPr>
            <w:tcW w:w="914" w:type="pct"/>
            <w:tcBorders>
              <w:top w:val="nil"/>
              <w:left w:val="single" w:sz="4" w:space="0" w:color="FFFFFF"/>
              <w:bottom w:val="single" w:sz="4" w:space="0" w:color="000080"/>
              <w:right w:val="nil"/>
            </w:tcBorders>
            <w:shd w:val="clear" w:color="auto" w:fill="D4D4D4"/>
            <w:tcMar>
              <w:left w:w="67" w:type="dxa"/>
              <w:right w:w="67" w:type="dxa"/>
            </w:tcMar>
          </w:tcPr>
          <w:p w:rsidR="00AA4F59" w:rsidRPr="006353B9" w:rsidRDefault="00AA4F59" w:rsidP="00A0730D">
            <w:pPr>
              <w:adjustRightInd w:val="0"/>
              <w:spacing w:before="67" w:after="67"/>
              <w:jc w:val="both"/>
              <w:rPr>
                <w:b/>
                <w:bCs/>
                <w:color w:val="auto"/>
              </w:rPr>
            </w:pPr>
          </w:p>
        </w:tc>
        <w:tc>
          <w:tcPr>
            <w:tcW w:w="1101"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AA4F59" w:rsidRPr="006353B9" w:rsidRDefault="00AA4F59" w:rsidP="00A0730D">
            <w:pPr>
              <w:adjustRightInd w:val="0"/>
              <w:spacing w:before="67" w:after="67"/>
              <w:jc w:val="both"/>
              <w:rPr>
                <w:b/>
                <w:bCs/>
                <w:color w:val="auto"/>
              </w:rPr>
            </w:pPr>
          </w:p>
        </w:tc>
      </w:tr>
      <w:tr w:rsidR="00AA4F59" w:rsidRPr="006353B9" w:rsidTr="00A0730D">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r w:rsidRPr="006353B9">
              <w:rPr>
                <w:color w:val="auto"/>
              </w:rPr>
              <w:t>Mean (SD)</w:t>
            </w:r>
          </w:p>
        </w:tc>
        <w:tc>
          <w:tcPr>
            <w:tcW w:w="965"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Pr>
                <w:color w:val="auto"/>
                <w:lang w:val="en-US"/>
              </w:rPr>
              <w:t xml:space="preserve">12.96 </w:t>
            </w:r>
            <w:r w:rsidR="00AA4F59" w:rsidRPr="006353B9">
              <w:rPr>
                <w:color w:val="auto"/>
              </w:rPr>
              <w:t>(</w:t>
            </w:r>
            <w:r>
              <w:rPr>
                <w:color w:val="auto"/>
                <w:lang w:val="en-US"/>
              </w:rPr>
              <w:t>2</w:t>
            </w:r>
            <w:r w:rsidR="00AA4F59" w:rsidRPr="006353B9">
              <w:rPr>
                <w:color w:val="auto"/>
              </w:rPr>
              <w:t>.</w:t>
            </w:r>
            <w:r>
              <w:rPr>
                <w:color w:val="auto"/>
                <w:lang w:val="en-US"/>
              </w:rPr>
              <w:t>10</w:t>
            </w:r>
            <w:r w:rsidR="00AA4F59" w:rsidRPr="006353B9">
              <w:rPr>
                <w:color w:val="auto"/>
              </w:rPr>
              <w:t>)</w:t>
            </w: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Pr>
                <w:color w:val="auto"/>
                <w:lang w:val="en-US"/>
              </w:rPr>
              <w:t>13</w:t>
            </w:r>
            <w:r w:rsidR="00AA4F59" w:rsidRPr="006353B9">
              <w:rPr>
                <w:color w:val="auto"/>
              </w:rPr>
              <w:t>.</w:t>
            </w:r>
            <w:r>
              <w:rPr>
                <w:color w:val="auto"/>
                <w:lang w:val="en-US"/>
              </w:rPr>
              <w:t>27</w:t>
            </w:r>
            <w:r w:rsidR="00AA4F59" w:rsidRPr="006353B9">
              <w:rPr>
                <w:color w:val="auto"/>
              </w:rPr>
              <w:t xml:space="preserve"> (</w:t>
            </w:r>
            <w:r>
              <w:rPr>
                <w:color w:val="auto"/>
                <w:lang w:val="en-US"/>
              </w:rPr>
              <w:t>1</w:t>
            </w:r>
            <w:r w:rsidR="00AA4F59" w:rsidRPr="006353B9">
              <w:rPr>
                <w:color w:val="auto"/>
              </w:rPr>
              <w:t>.</w:t>
            </w:r>
            <w:r>
              <w:rPr>
                <w:color w:val="auto"/>
                <w:lang w:val="en-US"/>
              </w:rPr>
              <w:t>60</w:t>
            </w:r>
            <w:r w:rsidR="00AA4F59" w:rsidRPr="006353B9">
              <w:rPr>
                <w:color w:val="auto"/>
              </w:rPr>
              <w:t>)</w:t>
            </w:r>
          </w:p>
        </w:tc>
        <w:tc>
          <w:tcPr>
            <w:tcW w:w="1101"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Pr>
                <w:color w:val="auto"/>
                <w:lang w:val="en-US"/>
              </w:rPr>
              <w:t>13</w:t>
            </w:r>
            <w:r w:rsidR="00AA4F59" w:rsidRPr="006353B9">
              <w:rPr>
                <w:color w:val="auto"/>
              </w:rPr>
              <w:t>.</w:t>
            </w:r>
            <w:r>
              <w:rPr>
                <w:color w:val="auto"/>
                <w:lang w:val="en-US"/>
              </w:rPr>
              <w:t>15</w:t>
            </w:r>
            <w:r w:rsidR="00AA4F59" w:rsidRPr="006353B9">
              <w:rPr>
                <w:color w:val="auto"/>
              </w:rPr>
              <w:t xml:space="preserve"> (</w:t>
            </w:r>
            <w:r>
              <w:rPr>
                <w:color w:val="auto"/>
                <w:lang w:val="en-US"/>
              </w:rPr>
              <w:t>1.78</w:t>
            </w:r>
            <w:r w:rsidR="00AA4F59" w:rsidRPr="006353B9">
              <w:rPr>
                <w:color w:val="auto"/>
              </w:rPr>
              <w:t>)</w:t>
            </w:r>
          </w:p>
        </w:tc>
      </w:tr>
      <w:tr w:rsidR="00AA4F59" w:rsidRPr="006353B9" w:rsidTr="00A0730D">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r w:rsidRPr="006353B9">
              <w:rPr>
                <w:color w:val="auto"/>
              </w:rPr>
              <w:t>Median [Q1,Q3]</w:t>
            </w:r>
          </w:p>
        </w:tc>
        <w:tc>
          <w:tcPr>
            <w:tcW w:w="965"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12.20 [11.60, 14.30]</w:t>
            </w: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13.15 [12.20, 14.60]</w:t>
            </w:r>
          </w:p>
        </w:tc>
        <w:tc>
          <w:tcPr>
            <w:tcW w:w="1101"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13.10 [11.60, 14.30]</w:t>
            </w:r>
          </w:p>
        </w:tc>
      </w:tr>
      <w:tr w:rsidR="00AA4F59" w:rsidRPr="006353B9" w:rsidTr="00A0730D">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AA4F59" w:rsidP="00A0730D">
            <w:pPr>
              <w:adjustRightInd w:val="0"/>
              <w:spacing w:before="67" w:after="67"/>
              <w:jc w:val="both"/>
              <w:rPr>
                <w:color w:val="auto"/>
              </w:rPr>
            </w:pPr>
            <w:r w:rsidRPr="006353B9">
              <w:rPr>
                <w:color w:val="auto"/>
              </w:rPr>
              <w:t>Min, Max</w:t>
            </w:r>
          </w:p>
        </w:tc>
        <w:tc>
          <w:tcPr>
            <w:tcW w:w="965"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9.20, 16.50</w:t>
            </w:r>
          </w:p>
        </w:tc>
        <w:tc>
          <w:tcPr>
            <w:tcW w:w="914"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10.20, 16.50</w:t>
            </w:r>
          </w:p>
        </w:tc>
        <w:tc>
          <w:tcPr>
            <w:tcW w:w="1101" w:type="pct"/>
            <w:tcBorders>
              <w:top w:val="nil"/>
              <w:left w:val="nil"/>
              <w:bottom w:val="single" w:sz="4" w:space="0" w:color="000080"/>
              <w:right w:val="nil"/>
            </w:tcBorders>
            <w:shd w:val="clear" w:color="auto" w:fill="FFFFFF"/>
            <w:tcMar>
              <w:left w:w="67" w:type="dxa"/>
              <w:right w:w="67" w:type="dxa"/>
            </w:tcMar>
          </w:tcPr>
          <w:p w:rsidR="00AA4F59" w:rsidRPr="006353B9" w:rsidRDefault="002E3009" w:rsidP="00A0730D">
            <w:pPr>
              <w:adjustRightInd w:val="0"/>
              <w:spacing w:before="67" w:after="67"/>
              <w:rPr>
                <w:color w:val="auto"/>
              </w:rPr>
            </w:pPr>
            <w:r w:rsidRPr="002E3009">
              <w:rPr>
                <w:color w:val="auto"/>
              </w:rPr>
              <w:t>9.20, 16.50</w:t>
            </w:r>
          </w:p>
        </w:tc>
      </w:tr>
      <w:tr w:rsidR="002E3009" w:rsidRPr="006353B9" w:rsidTr="00A0730D">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r w:rsidRPr="006353B9">
              <w:rPr>
                <w:color w:val="auto"/>
              </w:rPr>
              <w:t>Shapiro Wilk</w:t>
            </w:r>
          </w:p>
        </w:tc>
        <w:tc>
          <w:tcPr>
            <w:tcW w:w="965"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0.5207</w:t>
            </w:r>
          </w:p>
        </w:tc>
        <w:tc>
          <w:tcPr>
            <w:tcW w:w="914"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0.8524</w:t>
            </w:r>
          </w:p>
        </w:tc>
        <w:tc>
          <w:tcPr>
            <w:tcW w:w="1101"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0.7797</w:t>
            </w:r>
          </w:p>
        </w:tc>
      </w:tr>
      <w:tr w:rsidR="002E3009" w:rsidRPr="006353B9" w:rsidTr="00AA4F59">
        <w:trPr>
          <w:cantSplit/>
          <w:jc w:val="center"/>
        </w:trPr>
        <w:tc>
          <w:tcPr>
            <w:tcW w:w="1106" w:type="pct"/>
            <w:tcBorders>
              <w:top w:val="nil"/>
              <w:left w:val="nil"/>
              <w:bottom w:val="single" w:sz="4" w:space="0" w:color="000080"/>
              <w:right w:val="nil"/>
            </w:tcBorders>
            <w:shd w:val="clear" w:color="auto" w:fill="D9D9D9" w:themeFill="background1" w:themeFillShade="D9"/>
            <w:tcMar>
              <w:left w:w="67" w:type="dxa"/>
              <w:right w:w="67" w:type="dxa"/>
            </w:tcMar>
          </w:tcPr>
          <w:p w:rsidR="002E3009" w:rsidRPr="00AA4F59" w:rsidRDefault="002E3009" w:rsidP="002E3009">
            <w:pPr>
              <w:adjustRightInd w:val="0"/>
              <w:spacing w:before="67" w:after="67"/>
              <w:jc w:val="both"/>
              <w:rPr>
                <w:b/>
                <w:bCs/>
                <w:color w:val="auto"/>
                <w:lang w:val="en-US"/>
              </w:rPr>
            </w:pPr>
            <w:r>
              <w:rPr>
                <w:b/>
                <w:bCs/>
                <w:color w:val="auto"/>
                <w:lang w:val="en-US"/>
              </w:rPr>
              <w:t xml:space="preserve">Platelets </w:t>
            </w:r>
            <w:r w:rsidRPr="00AA4F59">
              <w:rPr>
                <w:b/>
                <w:bCs/>
                <w:color w:val="auto"/>
                <w:lang w:val="en-US"/>
              </w:rPr>
              <w:t>(</w:t>
            </w:r>
            <w:proofErr w:type="spellStart"/>
            <w:r>
              <w:rPr>
                <w:b/>
                <w:bCs/>
                <w:color w:val="auto"/>
                <w:lang w:val="en-US"/>
              </w:rPr>
              <w:t>cel</w:t>
            </w:r>
            <w:proofErr w:type="spellEnd"/>
            <w:r>
              <w:rPr>
                <w:b/>
                <w:bCs/>
                <w:color w:val="auto"/>
                <w:lang w:val="en-US"/>
              </w:rPr>
              <w:t>/mm</w:t>
            </w:r>
            <w:r>
              <w:rPr>
                <w:b/>
                <w:bCs/>
                <w:color w:val="auto"/>
                <w:vertAlign w:val="superscript"/>
                <w:lang w:val="en-US"/>
              </w:rPr>
              <w:t>3</w:t>
            </w:r>
            <w:r>
              <w:rPr>
                <w:b/>
                <w:bCs/>
                <w:color w:val="auto"/>
                <w:lang w:val="en-US"/>
              </w:rPr>
              <w:t>)</w:t>
            </w:r>
          </w:p>
        </w:tc>
        <w:tc>
          <w:tcPr>
            <w:tcW w:w="914" w:type="pct"/>
            <w:tcBorders>
              <w:top w:val="nil"/>
              <w:left w:val="nil"/>
              <w:bottom w:val="single" w:sz="4" w:space="0" w:color="000080"/>
              <w:right w:val="nil"/>
            </w:tcBorders>
            <w:shd w:val="clear" w:color="auto" w:fill="D9D9D9" w:themeFill="background1" w:themeFillShade="D9"/>
            <w:tcMar>
              <w:left w:w="67" w:type="dxa"/>
              <w:right w:w="67" w:type="dxa"/>
            </w:tcMar>
          </w:tcPr>
          <w:p w:rsidR="002E3009" w:rsidRPr="00AA4F59" w:rsidRDefault="002E3009" w:rsidP="002E3009">
            <w:pPr>
              <w:adjustRightInd w:val="0"/>
              <w:spacing w:before="67" w:after="67"/>
              <w:jc w:val="both"/>
              <w:rPr>
                <w:b/>
                <w:bCs/>
                <w:color w:val="auto"/>
                <w:lang w:val="en-US"/>
              </w:rPr>
            </w:pPr>
          </w:p>
        </w:tc>
        <w:tc>
          <w:tcPr>
            <w:tcW w:w="965" w:type="pct"/>
            <w:tcBorders>
              <w:top w:val="nil"/>
              <w:left w:val="nil"/>
              <w:bottom w:val="single" w:sz="4" w:space="0" w:color="000080"/>
              <w:right w:val="nil"/>
            </w:tcBorders>
            <w:shd w:val="clear" w:color="auto" w:fill="D9D9D9" w:themeFill="background1" w:themeFillShade="D9"/>
            <w:tcMar>
              <w:left w:w="67" w:type="dxa"/>
              <w:right w:w="67" w:type="dxa"/>
            </w:tcMar>
          </w:tcPr>
          <w:p w:rsidR="002E3009" w:rsidRPr="00AA4F59" w:rsidRDefault="002E3009" w:rsidP="002E3009">
            <w:pPr>
              <w:adjustRightInd w:val="0"/>
              <w:spacing w:before="67" w:after="67"/>
              <w:rPr>
                <w:b/>
                <w:bCs/>
                <w:color w:val="auto"/>
                <w:lang w:val="en-US"/>
              </w:rPr>
            </w:pPr>
          </w:p>
        </w:tc>
        <w:tc>
          <w:tcPr>
            <w:tcW w:w="914" w:type="pct"/>
            <w:tcBorders>
              <w:top w:val="nil"/>
              <w:left w:val="nil"/>
              <w:bottom w:val="single" w:sz="4" w:space="0" w:color="000080"/>
              <w:right w:val="nil"/>
            </w:tcBorders>
            <w:shd w:val="clear" w:color="auto" w:fill="D9D9D9" w:themeFill="background1" w:themeFillShade="D9"/>
            <w:tcMar>
              <w:left w:w="67" w:type="dxa"/>
              <w:right w:w="67" w:type="dxa"/>
            </w:tcMar>
          </w:tcPr>
          <w:p w:rsidR="002E3009" w:rsidRPr="00AA4F59" w:rsidRDefault="002E3009" w:rsidP="002E3009">
            <w:pPr>
              <w:adjustRightInd w:val="0"/>
              <w:spacing w:before="67" w:after="67"/>
              <w:rPr>
                <w:b/>
                <w:bCs/>
                <w:color w:val="auto"/>
                <w:lang w:val="en-US"/>
              </w:rPr>
            </w:pPr>
          </w:p>
        </w:tc>
        <w:tc>
          <w:tcPr>
            <w:tcW w:w="1101" w:type="pct"/>
            <w:tcBorders>
              <w:top w:val="nil"/>
              <w:left w:val="nil"/>
              <w:bottom w:val="single" w:sz="4" w:space="0" w:color="000080"/>
              <w:right w:val="nil"/>
            </w:tcBorders>
            <w:shd w:val="clear" w:color="auto" w:fill="D9D9D9" w:themeFill="background1" w:themeFillShade="D9"/>
            <w:tcMar>
              <w:left w:w="67" w:type="dxa"/>
              <w:right w:w="67" w:type="dxa"/>
            </w:tcMar>
          </w:tcPr>
          <w:p w:rsidR="002E3009" w:rsidRPr="00AA4F59" w:rsidRDefault="002E3009" w:rsidP="002E3009">
            <w:pPr>
              <w:adjustRightInd w:val="0"/>
              <w:spacing w:before="67" w:after="67"/>
              <w:rPr>
                <w:b/>
                <w:bCs/>
                <w:color w:val="auto"/>
                <w:lang w:val="en-US"/>
              </w:rPr>
            </w:pPr>
          </w:p>
        </w:tc>
      </w:tr>
      <w:tr w:rsidR="002E3009" w:rsidRPr="006353B9" w:rsidTr="00AA4F59">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r w:rsidRPr="006353B9">
              <w:rPr>
                <w:color w:val="auto"/>
              </w:rPr>
              <w:t>Mean (SD)</w:t>
            </w:r>
          </w:p>
        </w:tc>
        <w:tc>
          <w:tcPr>
            <w:tcW w:w="965"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208.80 (63.53) </w:t>
            </w:r>
          </w:p>
        </w:tc>
        <w:tc>
          <w:tcPr>
            <w:tcW w:w="914"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207.23 (60.66) </w:t>
            </w:r>
          </w:p>
        </w:tc>
        <w:tc>
          <w:tcPr>
            <w:tcW w:w="1101"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207.80 (60.93) </w:t>
            </w:r>
          </w:p>
        </w:tc>
      </w:tr>
      <w:tr w:rsidR="002E3009" w:rsidRPr="006353B9" w:rsidTr="00AA4F59">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r w:rsidRPr="006353B9">
              <w:rPr>
                <w:color w:val="auto"/>
              </w:rPr>
              <w:t>Median [Q1,Q3]</w:t>
            </w:r>
          </w:p>
        </w:tc>
        <w:tc>
          <w:tcPr>
            <w:tcW w:w="965"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184.00 [153.00, 257.00] </w:t>
            </w:r>
          </w:p>
        </w:tc>
        <w:tc>
          <w:tcPr>
            <w:tcW w:w="914"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209.50 [169.00, 236.00] </w:t>
            </w:r>
          </w:p>
        </w:tc>
        <w:tc>
          <w:tcPr>
            <w:tcW w:w="1101"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205.00 [162.00, 242.00] </w:t>
            </w:r>
          </w:p>
        </w:tc>
      </w:tr>
      <w:tr w:rsidR="002E3009" w:rsidRPr="006353B9" w:rsidTr="00AA4F59">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r w:rsidRPr="006353B9">
              <w:rPr>
                <w:color w:val="auto"/>
              </w:rPr>
              <w:t>Min, Max</w:t>
            </w:r>
          </w:p>
        </w:tc>
        <w:tc>
          <w:tcPr>
            <w:tcW w:w="965"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133.00, 337.00 </w:t>
            </w:r>
          </w:p>
        </w:tc>
        <w:tc>
          <w:tcPr>
            <w:tcW w:w="914"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77.00, 400.00 </w:t>
            </w:r>
          </w:p>
        </w:tc>
        <w:tc>
          <w:tcPr>
            <w:tcW w:w="1101"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77.00, 400.00 </w:t>
            </w:r>
          </w:p>
        </w:tc>
      </w:tr>
      <w:tr w:rsidR="002E3009" w:rsidRPr="006353B9" w:rsidTr="00AA4F59">
        <w:trPr>
          <w:cantSplit/>
          <w:jc w:val="center"/>
        </w:trPr>
        <w:tc>
          <w:tcPr>
            <w:tcW w:w="1106"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p>
        </w:tc>
        <w:tc>
          <w:tcPr>
            <w:tcW w:w="914" w:type="pct"/>
            <w:tcBorders>
              <w:top w:val="nil"/>
              <w:left w:val="nil"/>
              <w:bottom w:val="single" w:sz="4" w:space="0" w:color="000080"/>
              <w:right w:val="nil"/>
            </w:tcBorders>
            <w:shd w:val="clear" w:color="auto" w:fill="FFFFFF"/>
            <w:tcMar>
              <w:left w:w="67" w:type="dxa"/>
              <w:right w:w="67" w:type="dxa"/>
            </w:tcMar>
          </w:tcPr>
          <w:p w:rsidR="002E3009" w:rsidRPr="006353B9" w:rsidRDefault="002E3009" w:rsidP="002E3009">
            <w:pPr>
              <w:adjustRightInd w:val="0"/>
              <w:spacing w:before="67" w:after="67"/>
              <w:jc w:val="both"/>
              <w:rPr>
                <w:color w:val="auto"/>
              </w:rPr>
            </w:pPr>
            <w:r w:rsidRPr="006353B9">
              <w:rPr>
                <w:color w:val="auto"/>
              </w:rPr>
              <w:t>Shapiro Wilk</w:t>
            </w:r>
          </w:p>
        </w:tc>
        <w:tc>
          <w:tcPr>
            <w:tcW w:w="965"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0.1334 </w:t>
            </w:r>
          </w:p>
        </w:tc>
        <w:tc>
          <w:tcPr>
            <w:tcW w:w="914"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0.0560 </w:t>
            </w:r>
          </w:p>
        </w:tc>
        <w:tc>
          <w:tcPr>
            <w:tcW w:w="1101" w:type="pct"/>
            <w:tcBorders>
              <w:top w:val="nil"/>
              <w:left w:val="nil"/>
              <w:bottom w:val="single" w:sz="4" w:space="0" w:color="000080"/>
              <w:right w:val="nil"/>
            </w:tcBorders>
            <w:shd w:val="clear" w:color="auto" w:fill="FFFFFF"/>
            <w:tcMar>
              <w:left w:w="67" w:type="dxa"/>
              <w:right w:w="67" w:type="dxa"/>
            </w:tcMar>
          </w:tcPr>
          <w:p w:rsidR="002E3009" w:rsidRPr="002E3009" w:rsidRDefault="002E3009" w:rsidP="002E3009">
            <w:pPr>
              <w:adjustRightInd w:val="0"/>
              <w:spacing w:before="67" w:after="67"/>
              <w:rPr>
                <w:color w:val="auto"/>
              </w:rPr>
            </w:pPr>
            <w:r w:rsidRPr="002E3009">
              <w:rPr>
                <w:color w:val="auto"/>
              </w:rPr>
              <w:t xml:space="preserve">0.2179 </w:t>
            </w:r>
          </w:p>
        </w:tc>
      </w:tr>
    </w:tbl>
    <w:p w:rsidR="00AA4F59" w:rsidRDefault="00AA4F59" w:rsidP="00AA4F59">
      <w:pPr>
        <w:jc w:val="both"/>
        <w:rPr>
          <w:rFonts w:eastAsia="Times New Roman"/>
          <w:bCs/>
          <w:color w:val="auto"/>
          <w:kern w:val="20"/>
          <w:lang w:val="en-US" w:eastAsia="es-ES"/>
        </w:rPr>
      </w:pPr>
    </w:p>
    <w:p w:rsidR="003B167F" w:rsidRPr="00AA4F59" w:rsidRDefault="003B167F" w:rsidP="00AA4F59">
      <w:pPr>
        <w:jc w:val="both"/>
        <w:rPr>
          <w:color w:val="auto"/>
          <w:lang w:val="en-US"/>
        </w:rPr>
      </w:pPr>
      <w:r>
        <w:rPr>
          <w:rFonts w:eastAsia="Times New Roman"/>
          <w:bCs/>
          <w:color w:val="auto"/>
          <w:kern w:val="20"/>
          <w:lang w:val="en-US" w:eastAsia="es-ES"/>
        </w:rPr>
        <w:t xml:space="preserve">There was no difference observed between the treatment arm </w:t>
      </w:r>
      <w:r w:rsidR="00363712">
        <w:rPr>
          <w:rFonts w:eastAsia="Times New Roman"/>
          <w:bCs/>
          <w:color w:val="auto"/>
          <w:kern w:val="20"/>
          <w:lang w:val="en-US" w:eastAsia="es-ES"/>
        </w:rPr>
        <w:t>regarding</w:t>
      </w:r>
      <w:r>
        <w:rPr>
          <w:rFonts w:eastAsia="Times New Roman"/>
          <w:bCs/>
          <w:color w:val="auto"/>
          <w:kern w:val="20"/>
          <w:lang w:val="en-US" w:eastAsia="es-ES"/>
        </w:rPr>
        <w:t xml:space="preserve"> serum hemoglobin with a mean being 13</w:t>
      </w:r>
      <w:r w:rsidR="002E3009">
        <w:rPr>
          <w:rFonts w:eastAsia="Times New Roman"/>
          <w:bCs/>
          <w:color w:val="auto"/>
          <w:kern w:val="20"/>
          <w:lang w:val="en-US" w:eastAsia="es-ES"/>
        </w:rPr>
        <w:t xml:space="preserve"> to </w:t>
      </w:r>
      <w:r>
        <w:rPr>
          <w:rFonts w:eastAsia="Times New Roman"/>
          <w:bCs/>
          <w:color w:val="auto"/>
          <w:kern w:val="20"/>
          <w:lang w:val="en-US" w:eastAsia="es-ES"/>
        </w:rPr>
        <w:t>15</w:t>
      </w:r>
      <w:r w:rsidR="002E3009">
        <w:rPr>
          <w:rFonts w:eastAsia="Times New Roman"/>
          <w:bCs/>
          <w:color w:val="auto"/>
          <w:kern w:val="20"/>
          <w:lang w:val="en-US" w:eastAsia="es-ES"/>
        </w:rPr>
        <w:t xml:space="preserve"> and</w:t>
      </w:r>
      <w:r>
        <w:rPr>
          <w:rFonts w:eastAsia="Times New Roman"/>
          <w:bCs/>
          <w:color w:val="auto"/>
          <w:kern w:val="20"/>
          <w:lang w:val="en-US" w:eastAsia="es-ES"/>
        </w:rPr>
        <w:t xml:space="preserve"> platelets (with mean of 20</w:t>
      </w:r>
      <w:r w:rsidR="002E3009">
        <w:rPr>
          <w:rFonts w:eastAsia="Times New Roman"/>
          <w:bCs/>
          <w:color w:val="auto"/>
          <w:kern w:val="20"/>
          <w:lang w:val="en-US" w:eastAsia="es-ES"/>
        </w:rPr>
        <w:t>7</w:t>
      </w:r>
      <w:r>
        <w:rPr>
          <w:rFonts w:eastAsia="Times New Roman"/>
          <w:bCs/>
          <w:color w:val="auto"/>
          <w:kern w:val="20"/>
          <w:lang w:val="en-US" w:eastAsia="es-ES"/>
        </w:rPr>
        <w:t xml:space="preserve">,8) </w:t>
      </w:r>
    </w:p>
    <w:p w:rsidR="003B167F" w:rsidRPr="003A69B3" w:rsidRDefault="003B167F" w:rsidP="003A69B3">
      <w:pPr>
        <w:pStyle w:val="Heading2"/>
      </w:pPr>
      <w:bookmarkStart w:id="55" w:name="_Toc501022052"/>
      <w:r w:rsidRPr="003A69B3">
        <w:lastRenderedPageBreak/>
        <w:t>Efficacy Results and Tabulations</w:t>
      </w:r>
      <w:bookmarkEnd w:id="55"/>
    </w:p>
    <w:p w:rsidR="00D22C4D" w:rsidRPr="003A69B3" w:rsidRDefault="003B167F" w:rsidP="003A69B3">
      <w:pPr>
        <w:pStyle w:val="Heading3"/>
      </w:pPr>
      <w:bookmarkStart w:id="56" w:name="_Toc501022053"/>
      <w:r w:rsidRPr="003A69B3">
        <w:t>Analysis of Efficacy</w:t>
      </w:r>
      <w:bookmarkEnd w:id="56"/>
    </w:p>
    <w:p w:rsidR="00FB4EE7" w:rsidRDefault="00FB4EE7" w:rsidP="00FB4EE7">
      <w:pPr>
        <w:spacing w:line="240" w:lineRule="auto"/>
        <w:jc w:val="both"/>
        <w:rPr>
          <w:color w:val="auto"/>
          <w:lang w:val="en-US"/>
        </w:rPr>
      </w:pPr>
    </w:p>
    <w:p w:rsidR="003B167F" w:rsidRDefault="003B167F" w:rsidP="00FB4EE7">
      <w:pPr>
        <w:spacing w:line="240" w:lineRule="auto"/>
        <w:jc w:val="both"/>
        <w:rPr>
          <w:color w:val="auto"/>
          <w:lang w:val="en-US"/>
        </w:rPr>
      </w:pPr>
      <w:r w:rsidRPr="006353B9">
        <w:rPr>
          <w:color w:val="auto"/>
          <w:lang w:val="en-US"/>
        </w:rPr>
        <w:t>The primary efficacy endpoint is Progression-free survival (PFS), in terms of PFS rate at</w:t>
      </w:r>
      <w:r>
        <w:rPr>
          <w:color w:val="auto"/>
          <w:lang w:val="en-US"/>
        </w:rPr>
        <w:t xml:space="preserve"> 1 year, in each arm. </w:t>
      </w:r>
      <w:r w:rsidRPr="006353B9">
        <w:rPr>
          <w:color w:val="auto"/>
          <w:lang w:val="en-US"/>
        </w:rPr>
        <w:t>For the primary analysis, the PFS has been based on the local radiological data according to Response Evaluation Criteria in Solid Tumors (RECIST) version 1.1.</w:t>
      </w:r>
    </w:p>
    <w:p w:rsidR="00C15865" w:rsidRPr="006353B9" w:rsidRDefault="00C15865" w:rsidP="00C15865">
      <w:pPr>
        <w:spacing w:line="240" w:lineRule="auto"/>
        <w:rPr>
          <w:color w:val="auto"/>
          <w:lang w:val="en-US"/>
        </w:rPr>
      </w:pPr>
    </w:p>
    <w:p w:rsidR="003B167F" w:rsidRPr="006353B9" w:rsidRDefault="003B167F" w:rsidP="00C15865">
      <w:pPr>
        <w:spacing w:line="240" w:lineRule="auto"/>
        <w:jc w:val="both"/>
        <w:rPr>
          <w:color w:val="auto"/>
          <w:lang w:val="en-US"/>
        </w:rPr>
      </w:pPr>
      <w:r w:rsidRPr="006353B9">
        <w:rPr>
          <w:b/>
          <w:color w:val="auto"/>
          <w:lang w:val="en-US"/>
        </w:rPr>
        <w:t>According to Statistical Analysis Plan (SAP) definition</w:t>
      </w:r>
      <w:r w:rsidRPr="006353B9">
        <w:rPr>
          <w:color w:val="auto"/>
          <w:lang w:val="en-US"/>
        </w:rPr>
        <w:t>:</w:t>
      </w:r>
    </w:p>
    <w:p w:rsidR="003B167F" w:rsidRPr="006353B9" w:rsidRDefault="003B167F" w:rsidP="00C15865">
      <w:pPr>
        <w:spacing w:line="240" w:lineRule="auto"/>
        <w:jc w:val="both"/>
        <w:rPr>
          <w:color w:val="auto"/>
          <w:lang w:val="en-US"/>
        </w:rPr>
      </w:pPr>
    </w:p>
    <w:p w:rsidR="003B167F" w:rsidRPr="006353B9" w:rsidRDefault="003B167F" w:rsidP="006B2C4B">
      <w:pPr>
        <w:pStyle w:val="ListParagraph"/>
        <w:numPr>
          <w:ilvl w:val="0"/>
          <w:numId w:val="9"/>
        </w:numPr>
        <w:tabs>
          <w:tab w:val="left" w:pos="360"/>
          <w:tab w:val="left" w:pos="720"/>
        </w:tabs>
        <w:spacing w:line="240" w:lineRule="auto"/>
        <w:jc w:val="both"/>
        <w:rPr>
          <w:color w:val="auto"/>
          <w:lang w:val="en-US"/>
        </w:rPr>
      </w:pPr>
      <w:r w:rsidRPr="006353B9">
        <w:rPr>
          <w:color w:val="auto"/>
          <w:lang w:val="en-US"/>
        </w:rPr>
        <w:t>For patients in the “</w:t>
      </w:r>
      <w:r w:rsidRPr="006353B9">
        <w:rPr>
          <w:b/>
          <w:color w:val="auto"/>
          <w:lang w:val="en-US"/>
        </w:rPr>
        <w:t>experimental</w:t>
      </w:r>
      <w:r w:rsidRPr="006353B9">
        <w:rPr>
          <w:color w:val="auto"/>
          <w:lang w:val="en-US"/>
        </w:rPr>
        <w:t xml:space="preserve">” arm, PFS is defined as the time from the randomization date to objective </w:t>
      </w:r>
      <w:r w:rsidR="00363712" w:rsidRPr="006353B9">
        <w:rPr>
          <w:color w:val="auto"/>
          <w:lang w:val="en-US"/>
        </w:rPr>
        <w:t>tumor</w:t>
      </w:r>
      <w:r w:rsidRPr="006353B9">
        <w:rPr>
          <w:color w:val="auto"/>
          <w:lang w:val="en-US"/>
        </w:rPr>
        <w:t xml:space="preserve"> progression or death due to any cause (whichever occurs first).  Patients with no tumor evaluation performed after the baseline (screening) evaluation, will be censored at the study day 1. For PFS analysis, patients who had not progressed and are still alive at the time of data analysis, will be censored at the date of last </w:t>
      </w:r>
      <w:r w:rsidR="00363712" w:rsidRPr="006353B9">
        <w:rPr>
          <w:color w:val="auto"/>
          <w:lang w:val="en-US"/>
        </w:rPr>
        <w:t>tumor</w:t>
      </w:r>
      <w:r w:rsidRPr="006353B9">
        <w:rPr>
          <w:color w:val="auto"/>
          <w:lang w:val="en-US"/>
        </w:rPr>
        <w:t xml:space="preserve"> assessment. Patients with undocumented clinical progression, change of cancer treatment, will be censored at the last </w:t>
      </w:r>
      <w:r w:rsidR="00363712" w:rsidRPr="006353B9">
        <w:rPr>
          <w:color w:val="auto"/>
          <w:lang w:val="en-US"/>
        </w:rPr>
        <w:t>tumor</w:t>
      </w:r>
      <w:r w:rsidRPr="006353B9">
        <w:rPr>
          <w:color w:val="auto"/>
          <w:lang w:val="en-US"/>
        </w:rPr>
        <w:t xml:space="preserve"> assessment date.</w:t>
      </w:r>
    </w:p>
    <w:p w:rsidR="003B167F" w:rsidRPr="006353B9" w:rsidRDefault="003B167F" w:rsidP="00C15865">
      <w:pPr>
        <w:spacing w:line="240" w:lineRule="auto"/>
        <w:jc w:val="both"/>
        <w:rPr>
          <w:color w:val="auto"/>
          <w:lang w:val="en-US"/>
        </w:rPr>
      </w:pPr>
    </w:p>
    <w:p w:rsidR="003B167F" w:rsidRPr="006353B9" w:rsidRDefault="003B167F" w:rsidP="006B2C4B">
      <w:pPr>
        <w:pStyle w:val="ListParagraph"/>
        <w:numPr>
          <w:ilvl w:val="0"/>
          <w:numId w:val="9"/>
        </w:numPr>
        <w:tabs>
          <w:tab w:val="left" w:pos="360"/>
          <w:tab w:val="left" w:pos="720"/>
        </w:tabs>
        <w:spacing w:line="240" w:lineRule="auto"/>
        <w:jc w:val="both"/>
        <w:rPr>
          <w:color w:val="auto"/>
          <w:lang w:val="en-US"/>
        </w:rPr>
      </w:pPr>
      <w:r w:rsidRPr="006353B9">
        <w:rPr>
          <w:color w:val="auto"/>
          <w:lang w:val="en-US"/>
        </w:rPr>
        <w:t>For patients in the “</w:t>
      </w:r>
      <w:r w:rsidRPr="006353B9">
        <w:rPr>
          <w:b/>
          <w:color w:val="auto"/>
          <w:lang w:val="en-US"/>
        </w:rPr>
        <w:t>Control</w:t>
      </w:r>
      <w:r w:rsidRPr="006353B9">
        <w:rPr>
          <w:color w:val="auto"/>
          <w:lang w:val="en-US"/>
        </w:rPr>
        <w:t xml:space="preserve">” arm, PFS is defined as the time from the randomization date to objective </w:t>
      </w:r>
      <w:r w:rsidR="00363712" w:rsidRPr="006353B9">
        <w:rPr>
          <w:color w:val="auto"/>
          <w:lang w:val="en-US"/>
        </w:rPr>
        <w:t>tumor</w:t>
      </w:r>
      <w:r w:rsidRPr="006353B9">
        <w:rPr>
          <w:color w:val="auto"/>
          <w:lang w:val="en-US"/>
        </w:rPr>
        <w:t xml:space="preserve"> progression after the </w:t>
      </w:r>
      <w:proofErr w:type="spellStart"/>
      <w:r w:rsidRPr="006353B9">
        <w:rPr>
          <w:color w:val="auto"/>
          <w:lang w:val="en-US"/>
        </w:rPr>
        <w:t>everolimus</w:t>
      </w:r>
      <w:proofErr w:type="spellEnd"/>
      <w:r w:rsidRPr="006353B9">
        <w:rPr>
          <w:color w:val="auto"/>
          <w:lang w:val="en-US"/>
        </w:rPr>
        <w:t xml:space="preserve"> treatment start date or death due to any cause (whichever occur</w:t>
      </w:r>
      <w:r>
        <w:rPr>
          <w:color w:val="auto"/>
          <w:lang w:val="en-US"/>
        </w:rPr>
        <w:t>r</w:t>
      </w:r>
      <w:r w:rsidRPr="006353B9">
        <w:rPr>
          <w:color w:val="auto"/>
          <w:lang w:val="en-US"/>
        </w:rPr>
        <w:t xml:space="preserve">ed first).  For patients who progressed during the </w:t>
      </w:r>
      <w:proofErr w:type="spellStart"/>
      <w:r w:rsidRPr="006353B9">
        <w:rPr>
          <w:color w:val="auto"/>
          <w:lang w:val="en-US"/>
        </w:rPr>
        <w:t>sunitinib</w:t>
      </w:r>
      <w:proofErr w:type="spellEnd"/>
      <w:r w:rsidRPr="006353B9">
        <w:rPr>
          <w:color w:val="auto"/>
          <w:lang w:val="en-US"/>
        </w:rPr>
        <w:t xml:space="preserve"> treatment and were not candidates to be treated with </w:t>
      </w:r>
      <w:proofErr w:type="spellStart"/>
      <w:r w:rsidRPr="006353B9">
        <w:rPr>
          <w:color w:val="auto"/>
          <w:lang w:val="en-US"/>
        </w:rPr>
        <w:t>everolimus</w:t>
      </w:r>
      <w:proofErr w:type="spellEnd"/>
      <w:r w:rsidRPr="006353B9">
        <w:rPr>
          <w:color w:val="auto"/>
          <w:lang w:val="en-US"/>
        </w:rPr>
        <w:t xml:space="preserve">, PFS was computed as the time from randomization date to this first progression date. Patients with no tumor evaluation performed after the baseline (screening) evaluation, were censored at the study day 1. For PFS analysis, patients who had not progressed and were still alive at the time of data analysis, were censored at the date of last </w:t>
      </w:r>
      <w:r w:rsidR="00363712" w:rsidRPr="006353B9">
        <w:rPr>
          <w:color w:val="auto"/>
          <w:lang w:val="en-US"/>
        </w:rPr>
        <w:t>tumor</w:t>
      </w:r>
      <w:r w:rsidRPr="006353B9">
        <w:rPr>
          <w:color w:val="auto"/>
          <w:lang w:val="en-US"/>
        </w:rPr>
        <w:t xml:space="preserve"> assessment. Patients with undocumented clinical progression, change of cancer treatment, will be censored at the last </w:t>
      </w:r>
      <w:r w:rsidR="00363712" w:rsidRPr="006353B9">
        <w:rPr>
          <w:color w:val="auto"/>
          <w:lang w:val="en-US"/>
        </w:rPr>
        <w:t>tumor</w:t>
      </w:r>
      <w:r w:rsidRPr="006353B9">
        <w:rPr>
          <w:color w:val="auto"/>
          <w:lang w:val="en-US"/>
        </w:rPr>
        <w:t xml:space="preserve"> assessment date.</w:t>
      </w:r>
    </w:p>
    <w:p w:rsidR="003B167F" w:rsidRPr="006353B9" w:rsidRDefault="003B167F" w:rsidP="00C15865">
      <w:pPr>
        <w:spacing w:line="240" w:lineRule="auto"/>
        <w:jc w:val="both"/>
        <w:rPr>
          <w:color w:val="auto"/>
          <w:lang w:val="en-US"/>
        </w:rPr>
      </w:pPr>
    </w:p>
    <w:p w:rsidR="003B167F" w:rsidRDefault="003B167F" w:rsidP="00C15865">
      <w:pPr>
        <w:spacing w:line="240" w:lineRule="auto"/>
        <w:jc w:val="both"/>
        <w:rPr>
          <w:color w:val="auto"/>
          <w:lang w:val="en-US"/>
        </w:rPr>
      </w:pPr>
      <w:proofErr w:type="gramStart"/>
      <w:r w:rsidRPr="006353B9">
        <w:rPr>
          <w:color w:val="auto"/>
          <w:lang w:val="en-US"/>
        </w:rPr>
        <w:t>In order to</w:t>
      </w:r>
      <w:proofErr w:type="gramEnd"/>
      <w:r w:rsidRPr="006353B9">
        <w:rPr>
          <w:color w:val="auto"/>
          <w:lang w:val="en-US"/>
        </w:rPr>
        <w:t xml:space="preserve"> obtain a proper evaluation of PFS, patients who received other antitumor therapies (chemotherapy, radiation) during the follow-up evaluations will be given particular attention. The patient would be censored at the date of the last tumor evaluation before the new treatment was initiated, even though the patient progressed after the new treatment start date.</w:t>
      </w:r>
    </w:p>
    <w:p w:rsidR="00C15865" w:rsidRPr="006353B9" w:rsidRDefault="00C15865" w:rsidP="00C15865">
      <w:pPr>
        <w:spacing w:line="240" w:lineRule="auto"/>
        <w:jc w:val="both"/>
        <w:rPr>
          <w:color w:val="auto"/>
          <w:lang w:val="en-US"/>
        </w:rPr>
      </w:pPr>
    </w:p>
    <w:p w:rsidR="00FB4EE7" w:rsidRDefault="00FB4EE7" w:rsidP="0045181E">
      <w:pPr>
        <w:pStyle w:val="Caption"/>
      </w:pPr>
      <w:bookmarkStart w:id="57" w:name="_Toc500240906"/>
    </w:p>
    <w:p w:rsidR="00FB4EE7" w:rsidRDefault="00FB4EE7" w:rsidP="0045181E">
      <w:pPr>
        <w:pStyle w:val="Caption"/>
      </w:pPr>
    </w:p>
    <w:p w:rsidR="00FB4EE7" w:rsidRDefault="00FB4EE7" w:rsidP="0045181E">
      <w:pPr>
        <w:pStyle w:val="Caption"/>
      </w:pPr>
    </w:p>
    <w:p w:rsidR="00FB4EE7" w:rsidRDefault="00FB4EE7" w:rsidP="0045181E">
      <w:pPr>
        <w:pStyle w:val="Caption"/>
      </w:pPr>
    </w:p>
    <w:p w:rsidR="002E3009" w:rsidRDefault="002E3009">
      <w:pPr>
        <w:spacing w:after="160" w:line="240" w:lineRule="auto"/>
        <w:jc w:val="both"/>
        <w:rPr>
          <w:rFonts w:eastAsia="Times New Roman"/>
          <w:b/>
          <w:bCs/>
          <w:color w:val="auto"/>
          <w:kern w:val="20"/>
          <w:lang w:val="en-US" w:eastAsia="es-ES"/>
        </w:rPr>
      </w:pPr>
      <w:r>
        <w:br w:type="page"/>
      </w:r>
    </w:p>
    <w:p w:rsidR="008B182F" w:rsidRPr="008B182F" w:rsidRDefault="003B167F" w:rsidP="0045181E">
      <w:pPr>
        <w:pStyle w:val="Caption"/>
      </w:pPr>
      <w:r>
        <w:lastRenderedPageBreak/>
        <w:t>Table 1</w:t>
      </w:r>
      <w:r w:rsidR="00EC010D">
        <w:t>7</w:t>
      </w:r>
      <w:r>
        <w:t xml:space="preserve">. </w:t>
      </w:r>
      <w:r w:rsidRPr="006353B9">
        <w:t>Progression-free survival (PFS)</w:t>
      </w:r>
      <w:bookmarkEnd w:id="57"/>
    </w:p>
    <w:tbl>
      <w:tblPr>
        <w:tblW w:w="0" w:type="auto"/>
        <w:jc w:val="center"/>
        <w:tblLayout w:type="fixed"/>
        <w:tblCellMar>
          <w:left w:w="0" w:type="dxa"/>
          <w:right w:w="0" w:type="dxa"/>
        </w:tblCellMar>
        <w:tblLook w:val="04A0" w:firstRow="1" w:lastRow="0" w:firstColumn="1" w:lastColumn="0" w:noHBand="0" w:noVBand="1"/>
      </w:tblPr>
      <w:tblGrid>
        <w:gridCol w:w="3816"/>
        <w:gridCol w:w="2227"/>
        <w:gridCol w:w="2417"/>
      </w:tblGrid>
      <w:tr w:rsidR="003B167F" w:rsidRPr="006353B9" w:rsidTr="008B182F">
        <w:trPr>
          <w:cantSplit/>
          <w:tblHeader/>
          <w:jc w:val="center"/>
        </w:trPr>
        <w:tc>
          <w:tcPr>
            <w:tcW w:w="3816" w:type="dxa"/>
            <w:tcBorders>
              <w:top w:val="single" w:sz="4" w:space="0" w:color="000080"/>
              <w:left w:val="nil"/>
              <w:bottom w:val="single" w:sz="4" w:space="0" w:color="000080"/>
              <w:right w:val="nil"/>
            </w:tcBorders>
            <w:shd w:val="clear" w:color="auto" w:fill="D9D9D9" w:themeFill="background1" w:themeFillShade="D9"/>
            <w:tcMar>
              <w:top w:w="0" w:type="dxa"/>
              <w:left w:w="67" w:type="dxa"/>
              <w:bottom w:w="0" w:type="dxa"/>
              <w:right w:w="67" w:type="dxa"/>
            </w:tcMar>
            <w:vAlign w:val="bottom"/>
          </w:tcPr>
          <w:p w:rsidR="003B167F" w:rsidRPr="00315F25" w:rsidRDefault="003B167F" w:rsidP="009A2182">
            <w:pPr>
              <w:adjustRightInd w:val="0"/>
              <w:spacing w:before="67" w:after="67" w:line="254" w:lineRule="auto"/>
              <w:jc w:val="both"/>
              <w:rPr>
                <w:b/>
                <w:bCs/>
                <w:color w:val="auto"/>
                <w:lang w:val="en-US"/>
              </w:rPr>
            </w:pPr>
          </w:p>
        </w:tc>
        <w:tc>
          <w:tcPr>
            <w:tcW w:w="2227" w:type="dxa"/>
            <w:tcBorders>
              <w:top w:val="single" w:sz="4" w:space="0" w:color="000080"/>
              <w:left w:val="nil"/>
              <w:bottom w:val="single" w:sz="4" w:space="0" w:color="000080"/>
              <w:right w:val="nil"/>
            </w:tcBorders>
            <w:shd w:val="clear" w:color="auto" w:fill="D9D9D9" w:themeFill="background1" w:themeFillShade="D9"/>
            <w:tcMar>
              <w:top w:w="0" w:type="dxa"/>
              <w:left w:w="67" w:type="dxa"/>
              <w:bottom w:w="0" w:type="dxa"/>
              <w:right w:w="67" w:type="dxa"/>
            </w:tcMar>
            <w:vAlign w:val="bottom"/>
            <w:hideMark/>
          </w:tcPr>
          <w:p w:rsidR="003B167F" w:rsidRPr="006353B9" w:rsidRDefault="003B167F" w:rsidP="009A2182">
            <w:pPr>
              <w:adjustRightInd w:val="0"/>
              <w:spacing w:before="67" w:after="67" w:line="254" w:lineRule="auto"/>
              <w:jc w:val="both"/>
              <w:rPr>
                <w:b/>
                <w:bCs/>
                <w:color w:val="auto"/>
              </w:rPr>
            </w:pPr>
            <w:r w:rsidRPr="006353B9">
              <w:rPr>
                <w:b/>
                <w:bCs/>
                <w:color w:val="auto"/>
              </w:rPr>
              <w:t>Control</w:t>
            </w:r>
          </w:p>
        </w:tc>
        <w:tc>
          <w:tcPr>
            <w:tcW w:w="2417" w:type="dxa"/>
            <w:tcBorders>
              <w:top w:val="single" w:sz="4" w:space="0" w:color="000080"/>
              <w:left w:val="nil"/>
              <w:bottom w:val="single" w:sz="4" w:space="0" w:color="000080"/>
              <w:right w:val="nil"/>
            </w:tcBorders>
            <w:shd w:val="clear" w:color="auto" w:fill="D9D9D9" w:themeFill="background1" w:themeFillShade="D9"/>
            <w:tcMar>
              <w:top w:w="0" w:type="dxa"/>
              <w:left w:w="67" w:type="dxa"/>
              <w:bottom w:w="0" w:type="dxa"/>
              <w:right w:w="67" w:type="dxa"/>
            </w:tcMar>
            <w:vAlign w:val="bottom"/>
            <w:hideMark/>
          </w:tcPr>
          <w:p w:rsidR="003B167F" w:rsidRPr="006353B9" w:rsidRDefault="003B167F" w:rsidP="009A2182">
            <w:pPr>
              <w:adjustRightInd w:val="0"/>
              <w:spacing w:before="67" w:after="67" w:line="254" w:lineRule="auto"/>
              <w:jc w:val="both"/>
              <w:rPr>
                <w:b/>
                <w:bCs/>
                <w:color w:val="auto"/>
              </w:rPr>
            </w:pPr>
            <w:r w:rsidRPr="006353B9">
              <w:rPr>
                <w:b/>
                <w:bCs/>
                <w:color w:val="auto"/>
              </w:rPr>
              <w:t>Experimental</w:t>
            </w:r>
          </w:p>
        </w:tc>
      </w:tr>
      <w:tr w:rsidR="003B167F" w:rsidRPr="006353B9" w:rsidTr="008B182F">
        <w:trPr>
          <w:cantSplit/>
          <w:jc w:val="center"/>
        </w:trPr>
        <w:tc>
          <w:tcPr>
            <w:tcW w:w="3816"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Summary of events</w:t>
            </w:r>
          </w:p>
        </w:tc>
        <w:tc>
          <w:tcPr>
            <w:tcW w:w="2227"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c>
          <w:tcPr>
            <w:tcW w:w="2417" w:type="dxa"/>
            <w:tcBorders>
              <w:top w:val="nil"/>
              <w:left w:val="single" w:sz="4" w:space="0" w:color="FFFFFF"/>
              <w:bottom w:val="single" w:sz="4" w:space="0" w:color="000080"/>
              <w:right w:val="single" w:sz="4" w:space="0" w:color="FFFFFF"/>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No of patients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15</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26</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lang w:val="en-US"/>
              </w:rPr>
            </w:pPr>
            <w:r w:rsidRPr="006353B9">
              <w:rPr>
                <w:color w:val="auto"/>
                <w:lang w:val="en-US"/>
              </w:rPr>
              <w:t xml:space="preserve">   No of patients with event</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7 (46.67%)</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17 (65.38%)</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No of censored patients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8 (53.33%)</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9 (34.62%)</w:t>
            </w:r>
          </w:p>
        </w:tc>
      </w:tr>
      <w:tr w:rsidR="003B167F" w:rsidRPr="006353B9" w:rsidTr="008B182F">
        <w:trPr>
          <w:cantSplit/>
          <w:jc w:val="center"/>
        </w:trPr>
        <w:tc>
          <w:tcPr>
            <w:tcW w:w="3816"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c>
          <w:tcPr>
            <w:tcW w:w="2227"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c>
          <w:tcPr>
            <w:tcW w:w="2417" w:type="dxa"/>
            <w:tcBorders>
              <w:top w:val="nil"/>
              <w:left w:val="single" w:sz="4" w:space="0" w:color="FFFFFF"/>
              <w:bottom w:val="single" w:sz="4" w:space="0" w:color="000080"/>
              <w:right w:val="single" w:sz="4" w:space="0" w:color="FFFFFF"/>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Median (95% CI)</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25.07 (13.47, NA)</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10.09 (5.68, 26.64)</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25th-75th percentile</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13.53 - 31.60</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5.68 - 26.64</w:t>
            </w:r>
          </w:p>
        </w:tc>
      </w:tr>
      <w:tr w:rsidR="003B167F" w:rsidRPr="006353B9" w:rsidTr="008B182F">
        <w:trPr>
          <w:cantSplit/>
          <w:jc w:val="center"/>
        </w:trPr>
        <w:tc>
          <w:tcPr>
            <w:tcW w:w="3816"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Percent Survival (%, 95% CI)</w:t>
            </w:r>
          </w:p>
        </w:tc>
        <w:tc>
          <w:tcPr>
            <w:tcW w:w="2227"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c>
          <w:tcPr>
            <w:tcW w:w="2417" w:type="dxa"/>
            <w:tcBorders>
              <w:top w:val="nil"/>
              <w:left w:val="single" w:sz="4" w:space="0" w:color="FFFFFF"/>
              <w:bottom w:val="single" w:sz="4" w:space="0" w:color="000080"/>
              <w:right w:val="single" w:sz="4" w:space="0" w:color="FFFFFF"/>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0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100.00 (100.00, 100.00)</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100.00 (100.00, 100.00)</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6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100.00 (100.00, 100.00)</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67.69 (45.53, 82.41)</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12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84.62 (51.22, 95.91)</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49.70 (28.42, 67.81)</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18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67.69 (34.92, 86.53)</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33.14 (14.47, 53.20)</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24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54.15 (20.37, 78.94)</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33.14 (14.47, 53.20)</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36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tcPr>
          <w:p w:rsidR="003B167F" w:rsidRPr="006353B9" w:rsidRDefault="003B167F" w:rsidP="00C15865">
            <w:pPr>
              <w:adjustRightInd w:val="0"/>
              <w:spacing w:before="67" w:after="67" w:line="254" w:lineRule="auto"/>
              <w:rPr>
                <w:color w:val="auto"/>
              </w:rPr>
            </w:pP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12.43 (1.07, 38.32)</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42 Monhs</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tcPr>
          <w:p w:rsidR="003B167F" w:rsidRPr="006353B9" w:rsidRDefault="003B167F" w:rsidP="00C15865">
            <w:pPr>
              <w:adjustRightInd w:val="0"/>
              <w:spacing w:before="67" w:after="67" w:line="254" w:lineRule="auto"/>
              <w:rPr>
                <w:color w:val="auto"/>
              </w:rPr>
            </w:pP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C15865">
            <w:pPr>
              <w:adjustRightInd w:val="0"/>
              <w:spacing w:before="67" w:after="67" w:line="254" w:lineRule="auto"/>
              <w:rPr>
                <w:color w:val="auto"/>
              </w:rPr>
            </w:pPr>
            <w:r w:rsidRPr="006353B9">
              <w:rPr>
                <w:color w:val="auto"/>
              </w:rPr>
              <w:t>12.43 (1.07, 38.32)</w:t>
            </w:r>
          </w:p>
        </w:tc>
      </w:tr>
      <w:tr w:rsidR="003B167F" w:rsidRPr="006353B9" w:rsidTr="008B182F">
        <w:trPr>
          <w:cantSplit/>
          <w:jc w:val="center"/>
        </w:trPr>
        <w:tc>
          <w:tcPr>
            <w:tcW w:w="3816"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Kaplan_Meier Model</w:t>
            </w:r>
          </w:p>
        </w:tc>
        <w:tc>
          <w:tcPr>
            <w:tcW w:w="2227"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c>
          <w:tcPr>
            <w:tcW w:w="2417" w:type="dxa"/>
            <w:tcBorders>
              <w:top w:val="nil"/>
              <w:left w:val="single" w:sz="4" w:space="0" w:color="FFFFFF"/>
              <w:bottom w:val="single" w:sz="4" w:space="0" w:color="000080"/>
              <w:right w:val="single" w:sz="4" w:space="0" w:color="FFFFFF"/>
            </w:tcBorders>
            <w:shd w:val="clear" w:color="auto" w:fill="D4D4D4"/>
            <w:tcMar>
              <w:top w:w="0" w:type="dxa"/>
              <w:left w:w="67" w:type="dxa"/>
              <w:bottom w:w="0" w:type="dxa"/>
              <w:right w:w="67" w:type="dxa"/>
            </w:tcMar>
          </w:tcPr>
          <w:p w:rsidR="003B167F" w:rsidRPr="006353B9" w:rsidRDefault="003B167F" w:rsidP="009A2182">
            <w:pPr>
              <w:adjustRightInd w:val="0"/>
              <w:spacing w:before="67" w:after="67" w:line="254" w:lineRule="auto"/>
              <w:jc w:val="both"/>
              <w:rPr>
                <w:b/>
                <w:bCs/>
                <w:color w:val="auto"/>
              </w:rPr>
            </w:pP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P-value (Log-rank)</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tcPr>
          <w:p w:rsidR="003B167F" w:rsidRPr="006353B9" w:rsidRDefault="003B167F" w:rsidP="009A2182">
            <w:pPr>
              <w:adjustRightInd w:val="0"/>
              <w:spacing w:before="67" w:after="67" w:line="254" w:lineRule="auto"/>
              <w:jc w:val="both"/>
              <w:rPr>
                <w:color w:val="auto"/>
              </w:rPr>
            </w:pP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0.1123</w:t>
            </w:r>
          </w:p>
        </w:tc>
      </w:tr>
      <w:tr w:rsidR="003B167F" w:rsidRPr="006353B9" w:rsidTr="008B182F">
        <w:trPr>
          <w:cantSplit/>
          <w:jc w:val="center"/>
        </w:trPr>
        <w:tc>
          <w:tcPr>
            <w:tcW w:w="3816"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Cox Model</w:t>
            </w:r>
          </w:p>
        </w:tc>
        <w:tc>
          <w:tcPr>
            <w:tcW w:w="2227" w:type="dxa"/>
            <w:tcBorders>
              <w:top w:val="nil"/>
              <w:left w:val="single" w:sz="4" w:space="0" w:color="FFFFFF"/>
              <w:bottom w:val="single" w:sz="4" w:space="0" w:color="000080"/>
              <w:right w:val="nil"/>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Hazard ratio (95% CI)</w:t>
            </w:r>
          </w:p>
        </w:tc>
        <w:tc>
          <w:tcPr>
            <w:tcW w:w="2417" w:type="dxa"/>
            <w:tcBorders>
              <w:top w:val="nil"/>
              <w:left w:val="single" w:sz="4" w:space="0" w:color="FFFFFF"/>
              <w:bottom w:val="single" w:sz="4" w:space="0" w:color="000080"/>
              <w:right w:val="single" w:sz="4" w:space="0" w:color="FFFFFF"/>
            </w:tcBorders>
            <w:shd w:val="clear" w:color="auto" w:fill="D4D4D4"/>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b/>
                <w:bCs/>
                <w:color w:val="auto"/>
              </w:rPr>
            </w:pPr>
            <w:r w:rsidRPr="006353B9">
              <w:rPr>
                <w:b/>
                <w:bCs/>
                <w:color w:val="auto"/>
              </w:rPr>
              <w:t>Cox Model P-value</w:t>
            </w:r>
          </w:p>
        </w:tc>
      </w:tr>
      <w:tr w:rsidR="003B167F" w:rsidRPr="006353B9" w:rsidTr="008B182F">
        <w:trPr>
          <w:cantSplit/>
          <w:jc w:val="center"/>
        </w:trPr>
        <w:tc>
          <w:tcPr>
            <w:tcW w:w="3816"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Experimental vs Control</w:t>
            </w:r>
          </w:p>
        </w:tc>
        <w:tc>
          <w:tcPr>
            <w:tcW w:w="222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2.0260 (0.8325, 4.9306)</w:t>
            </w:r>
          </w:p>
        </w:tc>
        <w:tc>
          <w:tcPr>
            <w:tcW w:w="2417" w:type="dxa"/>
            <w:tcBorders>
              <w:top w:val="nil"/>
              <w:left w:val="nil"/>
              <w:bottom w:val="single" w:sz="4" w:space="0" w:color="000080"/>
              <w:right w:val="nil"/>
            </w:tcBorders>
            <w:shd w:val="clear" w:color="auto" w:fill="FFFFFF"/>
            <w:tcMar>
              <w:top w:w="0" w:type="dxa"/>
              <w:left w:w="67" w:type="dxa"/>
              <w:bottom w:w="0" w:type="dxa"/>
              <w:right w:w="67" w:type="dxa"/>
            </w:tcMar>
            <w:hideMark/>
          </w:tcPr>
          <w:p w:rsidR="003B167F" w:rsidRPr="006353B9" w:rsidRDefault="003B167F" w:rsidP="009A2182">
            <w:pPr>
              <w:adjustRightInd w:val="0"/>
              <w:spacing w:before="67" w:after="67" w:line="254" w:lineRule="auto"/>
              <w:jc w:val="both"/>
              <w:rPr>
                <w:color w:val="auto"/>
              </w:rPr>
            </w:pPr>
            <w:r w:rsidRPr="006353B9">
              <w:rPr>
                <w:color w:val="auto"/>
              </w:rPr>
              <w:t xml:space="preserve">  0.1197</w:t>
            </w:r>
          </w:p>
        </w:tc>
      </w:tr>
    </w:tbl>
    <w:p w:rsidR="008B182F" w:rsidRDefault="008B182F" w:rsidP="003B167F">
      <w:pPr>
        <w:jc w:val="both"/>
        <w:rPr>
          <w:b/>
          <w:color w:val="auto"/>
          <w:u w:val="single"/>
          <w:lang w:val="en-US"/>
        </w:rPr>
      </w:pPr>
    </w:p>
    <w:p w:rsidR="003B167F" w:rsidRPr="006353B9" w:rsidRDefault="003B167F" w:rsidP="003B167F">
      <w:pPr>
        <w:jc w:val="both"/>
        <w:rPr>
          <w:color w:val="auto"/>
          <w:lang w:val="en-US"/>
        </w:rPr>
      </w:pPr>
      <w:r w:rsidRPr="006353B9">
        <w:rPr>
          <w:b/>
          <w:color w:val="auto"/>
          <w:u w:val="single"/>
          <w:lang w:val="en-US"/>
        </w:rPr>
        <w:t>NOTES</w:t>
      </w:r>
      <w:r w:rsidRPr="006353B9">
        <w:rPr>
          <w:color w:val="auto"/>
          <w:lang w:val="en-US"/>
        </w:rPr>
        <w:t>:</w:t>
      </w:r>
    </w:p>
    <w:p w:rsidR="003B167F" w:rsidRPr="006353B9" w:rsidRDefault="003B167F" w:rsidP="004245DD">
      <w:pPr>
        <w:pStyle w:val="ListBullet"/>
        <w:jc w:val="both"/>
        <w:rPr>
          <w:lang w:val="en-US"/>
        </w:rPr>
      </w:pPr>
      <w:r w:rsidRPr="006353B9">
        <w:rPr>
          <w:lang w:val="en-US"/>
        </w:rPr>
        <w:t xml:space="preserve">There are 2 patients with </w:t>
      </w:r>
      <w:r w:rsidR="007E481A" w:rsidRPr="006353B9">
        <w:rPr>
          <w:lang w:val="en-US"/>
        </w:rPr>
        <w:t>undocumented</w:t>
      </w:r>
      <w:r w:rsidRPr="006353B9">
        <w:rPr>
          <w:lang w:val="en-US"/>
        </w:rPr>
        <w:t xml:space="preserve"> clinical progression (Patients number 14003,14009). These two patients are censored at the last </w:t>
      </w:r>
      <w:r w:rsidR="007E481A" w:rsidRPr="006353B9">
        <w:rPr>
          <w:lang w:val="en-US"/>
        </w:rPr>
        <w:t>tumor</w:t>
      </w:r>
      <w:r w:rsidRPr="006353B9">
        <w:rPr>
          <w:lang w:val="en-US"/>
        </w:rPr>
        <w:t xml:space="preserve"> assessment date for the PFS analysis.</w:t>
      </w:r>
    </w:p>
    <w:p w:rsidR="003B167F" w:rsidRPr="006353B9" w:rsidRDefault="003B167F" w:rsidP="004245DD">
      <w:pPr>
        <w:pStyle w:val="ListBullet"/>
        <w:jc w:val="both"/>
        <w:rPr>
          <w:lang w:val="en-US"/>
        </w:rPr>
      </w:pPr>
      <w:r w:rsidRPr="006353B9">
        <w:rPr>
          <w:lang w:val="en-US"/>
        </w:rPr>
        <w:t xml:space="preserve">There are 2 patients with </w:t>
      </w:r>
      <w:proofErr w:type="spellStart"/>
      <w:r w:rsidRPr="006353B9">
        <w:rPr>
          <w:lang w:val="en-US"/>
        </w:rPr>
        <w:t>exitus</w:t>
      </w:r>
      <w:proofErr w:type="spellEnd"/>
      <w:r w:rsidRPr="006353B9">
        <w:rPr>
          <w:lang w:val="en-US"/>
        </w:rPr>
        <w:t xml:space="preserve"> (Patients number 3004,12003) after the first dose of other antitumor therapies during the follow-up evaluations. These two patients are censored at the last </w:t>
      </w:r>
      <w:r w:rsidR="007E481A" w:rsidRPr="006353B9">
        <w:rPr>
          <w:lang w:val="en-US"/>
        </w:rPr>
        <w:t>tumor</w:t>
      </w:r>
      <w:r w:rsidRPr="006353B9">
        <w:rPr>
          <w:lang w:val="en-US"/>
        </w:rPr>
        <w:t xml:space="preserve"> assessment date for the PFS analysis.</w:t>
      </w:r>
    </w:p>
    <w:p w:rsidR="003B167F" w:rsidRDefault="003B167F" w:rsidP="004245DD">
      <w:pPr>
        <w:pStyle w:val="ListBullet"/>
        <w:jc w:val="both"/>
        <w:rPr>
          <w:lang w:val="en-US"/>
        </w:rPr>
      </w:pPr>
      <w:r w:rsidRPr="006353B9">
        <w:rPr>
          <w:lang w:val="en-US"/>
        </w:rPr>
        <w:lastRenderedPageBreak/>
        <w:t xml:space="preserve">Seven (7) patients in the Control, progressed with </w:t>
      </w:r>
      <w:proofErr w:type="spellStart"/>
      <w:r w:rsidRPr="006353B9">
        <w:rPr>
          <w:lang w:val="en-US"/>
        </w:rPr>
        <w:t>Sunitinib</w:t>
      </w:r>
      <w:proofErr w:type="spellEnd"/>
      <w:r w:rsidRPr="006353B9">
        <w:rPr>
          <w:lang w:val="en-US"/>
        </w:rPr>
        <w:t xml:space="preserve"> and received </w:t>
      </w:r>
      <w:proofErr w:type="spellStart"/>
      <w:r w:rsidRPr="006353B9">
        <w:rPr>
          <w:lang w:val="en-US"/>
        </w:rPr>
        <w:t>Everolimus</w:t>
      </w:r>
      <w:proofErr w:type="spellEnd"/>
      <w:r w:rsidRPr="006353B9">
        <w:rPr>
          <w:lang w:val="en-US"/>
        </w:rPr>
        <w:t xml:space="preserve">.  Three (3) of those patients did not progress after the start date of the </w:t>
      </w:r>
      <w:proofErr w:type="spellStart"/>
      <w:r w:rsidRPr="006353B9">
        <w:rPr>
          <w:lang w:val="en-US"/>
        </w:rPr>
        <w:t>Everolimus</w:t>
      </w:r>
      <w:proofErr w:type="spellEnd"/>
      <w:r w:rsidRPr="006353B9">
        <w:rPr>
          <w:lang w:val="en-US"/>
        </w:rPr>
        <w:t xml:space="preserve"> treatment. For the PFS analysis those 3 patients are censored at the last </w:t>
      </w:r>
      <w:r w:rsidR="007E481A" w:rsidRPr="006353B9">
        <w:rPr>
          <w:lang w:val="en-US"/>
        </w:rPr>
        <w:t>tumor</w:t>
      </w:r>
      <w:r w:rsidRPr="006353B9">
        <w:rPr>
          <w:lang w:val="en-US"/>
        </w:rPr>
        <w:t xml:space="preserve"> assessment date.</w:t>
      </w:r>
    </w:p>
    <w:p w:rsidR="004245DD" w:rsidRDefault="004245DD" w:rsidP="004245DD">
      <w:pPr>
        <w:pStyle w:val="ListBullet"/>
        <w:numPr>
          <w:ilvl w:val="0"/>
          <w:numId w:val="0"/>
        </w:numPr>
        <w:ind w:left="360"/>
        <w:jc w:val="both"/>
        <w:rPr>
          <w:lang w:val="en-US"/>
        </w:rPr>
      </w:pPr>
    </w:p>
    <w:p w:rsidR="008B182F" w:rsidRPr="008B182F" w:rsidRDefault="008B182F" w:rsidP="004245DD">
      <w:pPr>
        <w:pStyle w:val="ListBullet"/>
        <w:numPr>
          <w:ilvl w:val="0"/>
          <w:numId w:val="0"/>
        </w:numPr>
        <w:jc w:val="both"/>
        <w:rPr>
          <w:lang w:val="en-US"/>
        </w:rPr>
      </w:pPr>
      <w:bookmarkStart w:id="58" w:name="_Toc500240921"/>
      <w:bookmarkStart w:id="59" w:name="_GoBack"/>
      <w:r w:rsidRPr="003D267F">
        <w:rPr>
          <w:lang w:val="en-US"/>
        </w:rPr>
        <w:t xml:space="preserve">Provided the sample size was below than expected as the study was terminated prematurely there was no statistical significance in PFS difference between two arms. However, there was a trend observed favoring the control arm as 2 curves started to </w:t>
      </w:r>
      <w:r>
        <w:rPr>
          <w:lang w:val="en-US"/>
        </w:rPr>
        <w:t xml:space="preserve">become </w:t>
      </w:r>
      <w:r w:rsidRPr="003D267F">
        <w:rPr>
          <w:lang w:val="en-US"/>
        </w:rPr>
        <w:t>dive</w:t>
      </w:r>
      <w:r>
        <w:rPr>
          <w:lang w:val="en-US"/>
        </w:rPr>
        <w:t>rgent</w:t>
      </w:r>
      <w:r w:rsidRPr="003D267F">
        <w:rPr>
          <w:lang w:val="en-US"/>
        </w:rPr>
        <w:t xml:space="preserve"> after 6 months of treatment. </w:t>
      </w:r>
      <w:r w:rsidR="004245DD">
        <w:rPr>
          <w:lang w:val="en-US"/>
        </w:rPr>
        <w:t>2-year</w:t>
      </w:r>
      <w:r>
        <w:rPr>
          <w:lang w:val="en-US"/>
        </w:rPr>
        <w:t xml:space="preserve"> PFS for the control arm was 54,15% and 33,11% for the experimental arm. Nevertheless, it must be </w:t>
      </w:r>
      <w:r w:rsidR="004245DD">
        <w:rPr>
          <w:lang w:val="en-US"/>
        </w:rPr>
        <w:t>considered</w:t>
      </w:r>
      <w:r>
        <w:rPr>
          <w:lang w:val="en-US"/>
        </w:rPr>
        <w:t xml:space="preserve"> the high number of censored patients, which was higher in the control arm (53.3 versus 34.6%). This means that there were many patients developing an aggressive first progressive disease in the control arm that made them unable to receive a second line with </w:t>
      </w:r>
      <w:proofErr w:type="spellStart"/>
      <w:r>
        <w:rPr>
          <w:lang w:val="en-US"/>
        </w:rPr>
        <w:t>everolimus</w:t>
      </w:r>
      <w:proofErr w:type="spellEnd"/>
      <w:r>
        <w:rPr>
          <w:lang w:val="en-US"/>
        </w:rPr>
        <w:t>.</w:t>
      </w:r>
    </w:p>
    <w:bookmarkEnd w:id="59"/>
    <w:p w:rsidR="008B182F" w:rsidRDefault="008B182F" w:rsidP="00AC180A">
      <w:pPr>
        <w:tabs>
          <w:tab w:val="left" w:pos="360"/>
          <w:tab w:val="left" w:pos="720"/>
        </w:tabs>
        <w:spacing w:line="240" w:lineRule="auto"/>
        <w:jc w:val="both"/>
        <w:rPr>
          <w:b/>
          <w:color w:val="auto"/>
          <w:u w:val="single"/>
          <w:lang w:val="en-US"/>
        </w:rPr>
      </w:pPr>
    </w:p>
    <w:p w:rsidR="003B167F" w:rsidRPr="00AC180A" w:rsidRDefault="003B167F" w:rsidP="00AC180A">
      <w:pPr>
        <w:tabs>
          <w:tab w:val="left" w:pos="360"/>
          <w:tab w:val="left" w:pos="720"/>
        </w:tabs>
        <w:spacing w:line="240" w:lineRule="auto"/>
        <w:jc w:val="both"/>
        <w:rPr>
          <w:color w:val="auto"/>
          <w:lang w:val="en-US"/>
        </w:rPr>
      </w:pPr>
      <w:r w:rsidRPr="007E481A">
        <w:rPr>
          <w:b/>
          <w:color w:val="auto"/>
          <w:u w:val="single"/>
          <w:lang w:val="en-US"/>
        </w:rPr>
        <w:t>Progression-free survival (PFS)</w:t>
      </w:r>
      <w:bookmarkEnd w:id="58"/>
    </w:p>
    <w:p w:rsidR="008B182F" w:rsidRPr="008B182F" w:rsidRDefault="003B167F" w:rsidP="008B182F">
      <w:pPr>
        <w:jc w:val="both"/>
        <w:rPr>
          <w:rFonts w:eastAsia="Times New Roman"/>
          <w:b/>
          <w:color w:val="auto"/>
          <w:lang w:val="en-US"/>
        </w:rPr>
      </w:pPr>
      <w:r w:rsidRPr="006353B9">
        <w:rPr>
          <w:noProof/>
          <w:color w:val="auto"/>
        </w:rPr>
        <w:drawing>
          <wp:inline distT="0" distB="0" distL="0" distR="0" wp14:anchorId="36322218" wp14:editId="3C52CAFC">
            <wp:extent cx="5288889" cy="3936390"/>
            <wp:effectExtent l="0" t="0" r="7620" b="698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1918" cy="3938645"/>
                    </a:xfrm>
                    <a:prstGeom prst="rect">
                      <a:avLst/>
                    </a:prstGeom>
                    <a:noFill/>
                    <a:ln>
                      <a:noFill/>
                    </a:ln>
                  </pic:spPr>
                </pic:pic>
              </a:graphicData>
            </a:graphic>
          </wp:inline>
        </w:drawing>
      </w:r>
      <w:r w:rsidRPr="006353B9">
        <w:rPr>
          <w:rFonts w:eastAsia="Times New Roman"/>
          <w:b/>
          <w:color w:val="auto"/>
          <w:lang w:val="en-US"/>
        </w:rPr>
        <w:br w:type="page"/>
      </w:r>
    </w:p>
    <w:p w:rsidR="00397BAA" w:rsidRDefault="003B167F" w:rsidP="00397BAA">
      <w:pPr>
        <w:pStyle w:val="Heading1"/>
      </w:pPr>
      <w:bookmarkStart w:id="60" w:name="_Toc501022054"/>
      <w:r w:rsidRPr="006353B9">
        <w:lastRenderedPageBreak/>
        <w:t>SAFETY EVALUATION</w:t>
      </w:r>
      <w:bookmarkEnd w:id="60"/>
    </w:p>
    <w:p w:rsidR="003B167F" w:rsidRPr="006353B9" w:rsidRDefault="003B167F" w:rsidP="00397BAA">
      <w:pPr>
        <w:autoSpaceDE w:val="0"/>
        <w:autoSpaceDN w:val="0"/>
        <w:adjustRightInd w:val="0"/>
        <w:spacing w:line="240" w:lineRule="auto"/>
        <w:jc w:val="both"/>
        <w:rPr>
          <w:noProof/>
          <w:color w:val="auto"/>
          <w:lang w:val="en-US"/>
        </w:rPr>
      </w:pPr>
      <w:r w:rsidRPr="006353B9">
        <w:rPr>
          <w:b/>
          <w:color w:val="auto"/>
          <w:lang w:val="en-US"/>
        </w:rPr>
        <w:br/>
      </w:r>
      <w:r w:rsidRPr="006353B9">
        <w:rPr>
          <w:noProof/>
          <w:color w:val="auto"/>
          <w:lang w:val="en-US"/>
        </w:rPr>
        <w:t>The assessment of safety was based mainly on the frequency of AEs, on the number of laboratory values that falled outside of pre-deter</w:t>
      </w:r>
      <w:r>
        <w:rPr>
          <w:noProof/>
          <w:color w:val="auto"/>
          <w:lang w:val="en-US"/>
        </w:rPr>
        <w:t xml:space="preserve">mined ranges and on the central </w:t>
      </w:r>
      <w:r w:rsidRPr="006353B9">
        <w:rPr>
          <w:noProof/>
          <w:color w:val="auto"/>
          <w:lang w:val="en-US"/>
        </w:rPr>
        <w:t>radiology assessment of pneumonitis. All safe</w:t>
      </w:r>
      <w:r>
        <w:rPr>
          <w:noProof/>
          <w:color w:val="auto"/>
          <w:lang w:val="en-US"/>
        </w:rPr>
        <w:t xml:space="preserve">ty outputs were used the safety </w:t>
      </w:r>
      <w:r w:rsidRPr="006353B9">
        <w:rPr>
          <w:noProof/>
          <w:color w:val="auto"/>
          <w:lang w:val="en-US"/>
        </w:rPr>
        <w:t xml:space="preserve">population. The safety summary tables include only assessments collected no later than 28 days after study treatment discontinuation. </w:t>
      </w:r>
    </w:p>
    <w:p w:rsidR="003B167F" w:rsidRPr="006353B9" w:rsidRDefault="003B167F" w:rsidP="00397BAA">
      <w:pPr>
        <w:autoSpaceDE w:val="0"/>
        <w:autoSpaceDN w:val="0"/>
        <w:adjustRightInd w:val="0"/>
        <w:spacing w:line="240" w:lineRule="auto"/>
        <w:jc w:val="both"/>
        <w:rPr>
          <w:noProof/>
          <w:color w:val="auto"/>
          <w:lang w:val="en-US"/>
        </w:rPr>
      </w:pPr>
    </w:p>
    <w:p w:rsidR="003B167F" w:rsidRDefault="003B167F" w:rsidP="00397BAA">
      <w:pPr>
        <w:autoSpaceDE w:val="0"/>
        <w:autoSpaceDN w:val="0"/>
        <w:adjustRightInd w:val="0"/>
        <w:spacing w:line="240" w:lineRule="auto"/>
        <w:jc w:val="both"/>
        <w:rPr>
          <w:noProof/>
          <w:color w:val="auto"/>
          <w:lang w:val="en-US"/>
        </w:rPr>
      </w:pPr>
      <w:r w:rsidRPr="006353B9">
        <w:rPr>
          <w:i/>
          <w:noProof/>
          <w:color w:val="auto"/>
          <w:u w:val="single"/>
          <w:lang w:val="en-US"/>
        </w:rPr>
        <w:t>SAEs</w:t>
      </w:r>
      <w:r w:rsidRPr="006353B9">
        <w:rPr>
          <w:noProof/>
          <w:color w:val="auto"/>
          <w:lang w:val="en-US"/>
        </w:rPr>
        <w:t xml:space="preserve"> were summarized by presenting the number and percentage of patients having at least one AE, and having at least one AE in each body system/primary system organ class, and for each preferred term using </w:t>
      </w:r>
      <w:r w:rsidRPr="006353B9">
        <w:rPr>
          <w:rFonts w:eastAsia="Calibri"/>
          <w:noProof/>
          <w:color w:val="auto"/>
          <w:lang w:val="en-US"/>
        </w:rPr>
        <w:t>Medical Dictionary for regulatory activities</w:t>
      </w:r>
      <w:r w:rsidRPr="006353B9">
        <w:rPr>
          <w:noProof/>
          <w:color w:val="auto"/>
          <w:lang w:val="en-US"/>
        </w:rPr>
        <w:t xml:space="preserve"> (MedDRA) coding. A subject with multiple occurrences of an AE was counted only once in the AE category. Separate AE summaries were presented by primary system organ class, preferred term, and maximum CTCAE grade. A patient with multiple CTCAE grades for an AE was summarized under the maximum CTCAE grade recorded for the event. The frequency of CTCAE grade 3 and 4 AEs was summarized separately. </w:t>
      </w:r>
    </w:p>
    <w:p w:rsidR="00397BAA" w:rsidRPr="006353B9" w:rsidRDefault="00397BAA" w:rsidP="00397BAA">
      <w:pPr>
        <w:autoSpaceDE w:val="0"/>
        <w:autoSpaceDN w:val="0"/>
        <w:adjustRightInd w:val="0"/>
        <w:spacing w:line="240" w:lineRule="auto"/>
        <w:jc w:val="both"/>
        <w:rPr>
          <w:noProof/>
          <w:color w:val="auto"/>
          <w:lang w:val="en-US"/>
        </w:rPr>
      </w:pPr>
    </w:p>
    <w:p w:rsidR="003B167F" w:rsidRPr="006353B9" w:rsidRDefault="003B167F" w:rsidP="00397BAA">
      <w:pPr>
        <w:autoSpaceDE w:val="0"/>
        <w:autoSpaceDN w:val="0"/>
        <w:adjustRightInd w:val="0"/>
        <w:spacing w:line="240" w:lineRule="auto"/>
        <w:jc w:val="both"/>
        <w:rPr>
          <w:noProof/>
          <w:color w:val="auto"/>
          <w:lang w:val="en-US"/>
        </w:rPr>
      </w:pPr>
      <w:r w:rsidRPr="006353B9">
        <w:rPr>
          <w:noProof/>
          <w:color w:val="auto"/>
          <w:lang w:val="en-US"/>
        </w:rPr>
        <w:t xml:space="preserve">In addition, the incidence of </w:t>
      </w:r>
      <w:r w:rsidRPr="006353B9">
        <w:rPr>
          <w:i/>
          <w:noProof/>
          <w:color w:val="auto"/>
          <w:u w:val="single"/>
          <w:lang w:val="en-US"/>
        </w:rPr>
        <w:t>pneumonitis AEs</w:t>
      </w:r>
      <w:r w:rsidRPr="006353B9">
        <w:rPr>
          <w:noProof/>
          <w:color w:val="auto"/>
          <w:lang w:val="en-US"/>
        </w:rPr>
        <w:t xml:space="preserve"> was summarized by preferred term for each treatment group. Treatment arms were compared with respect to the number (%) of patients with evidence of radiological lung changes from baseline as detected on Chest CT Scans or MRIs.</w:t>
      </w:r>
    </w:p>
    <w:p w:rsidR="003B167F" w:rsidRPr="006353B9" w:rsidRDefault="003B167F" w:rsidP="00397BAA">
      <w:pPr>
        <w:autoSpaceDE w:val="0"/>
        <w:autoSpaceDN w:val="0"/>
        <w:adjustRightInd w:val="0"/>
        <w:spacing w:line="240" w:lineRule="auto"/>
        <w:jc w:val="both"/>
        <w:rPr>
          <w:noProof/>
          <w:color w:val="auto"/>
          <w:lang w:val="en-US"/>
        </w:rPr>
      </w:pPr>
    </w:p>
    <w:p w:rsidR="003B167F" w:rsidRPr="006353B9" w:rsidRDefault="003B167F" w:rsidP="00397BAA">
      <w:pPr>
        <w:autoSpaceDE w:val="0"/>
        <w:autoSpaceDN w:val="0"/>
        <w:adjustRightInd w:val="0"/>
        <w:spacing w:line="240" w:lineRule="auto"/>
        <w:jc w:val="both"/>
        <w:rPr>
          <w:noProof/>
          <w:color w:val="auto"/>
          <w:lang w:val="en-US"/>
        </w:rPr>
      </w:pPr>
      <w:r w:rsidRPr="006353B9">
        <w:rPr>
          <w:i/>
          <w:noProof/>
          <w:color w:val="auto"/>
          <w:u w:val="single"/>
          <w:lang w:val="en-US"/>
        </w:rPr>
        <w:t>Laboratory data</w:t>
      </w:r>
      <w:r w:rsidRPr="006353B9">
        <w:rPr>
          <w:noProof/>
          <w:color w:val="auto"/>
          <w:lang w:val="en-US"/>
        </w:rPr>
        <w:t xml:space="preserve"> were summarized by presenting shift tables using CTCAE grades (screening to most extreme post-screening value), by presenting summary statistics of raw data and change from screening values (means, medians, standard deviations) and by the flagging of</w:t>
      </w:r>
      <w:r>
        <w:rPr>
          <w:noProof/>
          <w:color w:val="auto"/>
          <w:lang w:val="en-US"/>
        </w:rPr>
        <w:t xml:space="preserve"> CTCAE grades in data listings.</w:t>
      </w:r>
    </w:p>
    <w:p w:rsidR="003B167F" w:rsidRPr="006353B9" w:rsidRDefault="003B167F" w:rsidP="00397BAA">
      <w:pPr>
        <w:pStyle w:val="Normal1"/>
        <w:spacing w:line="240" w:lineRule="auto"/>
        <w:jc w:val="both"/>
        <w:rPr>
          <w:b/>
          <w:color w:val="auto"/>
          <w:lang w:val="en-US"/>
        </w:rPr>
      </w:pPr>
    </w:p>
    <w:p w:rsidR="003B167F" w:rsidRPr="00397BAA" w:rsidRDefault="003B167F" w:rsidP="00397BAA">
      <w:pPr>
        <w:pStyle w:val="Heading2"/>
      </w:pPr>
      <w:bookmarkStart w:id="61" w:name="_Toc501022055"/>
      <w:r w:rsidRPr="00397BAA">
        <w:t>Adverse Events</w:t>
      </w:r>
      <w:bookmarkEnd w:id="61"/>
    </w:p>
    <w:p w:rsidR="003B167F" w:rsidRDefault="003B167F" w:rsidP="00397BAA">
      <w:pPr>
        <w:spacing w:line="240" w:lineRule="auto"/>
        <w:jc w:val="both"/>
        <w:rPr>
          <w:color w:val="auto"/>
          <w:lang w:val="en-US"/>
        </w:rPr>
      </w:pPr>
      <w:r w:rsidRPr="00A14310">
        <w:rPr>
          <w:color w:val="auto"/>
          <w:lang w:val="en-US"/>
        </w:rPr>
        <w:t>For the statistical tables, adverse events have been coded according to the Medical Dictionary of Regulatory Activities (MedDRA 19.1) system. Their intensity has been coded by (NCI-CTCAE) v4.0 toxicity criteria.</w:t>
      </w:r>
    </w:p>
    <w:p w:rsidR="00397BAA" w:rsidRPr="00A14310" w:rsidRDefault="00397BAA" w:rsidP="00397BAA">
      <w:pPr>
        <w:spacing w:line="240" w:lineRule="auto"/>
        <w:jc w:val="both"/>
        <w:rPr>
          <w:color w:val="auto"/>
          <w:lang w:val="en-US"/>
        </w:rPr>
      </w:pPr>
    </w:p>
    <w:p w:rsidR="003B167F" w:rsidRDefault="003B167F" w:rsidP="00397BAA">
      <w:pPr>
        <w:autoSpaceDE w:val="0"/>
        <w:autoSpaceDN w:val="0"/>
        <w:spacing w:line="240" w:lineRule="auto"/>
        <w:jc w:val="both"/>
        <w:rPr>
          <w:color w:val="auto"/>
          <w:lang w:val="en-US"/>
        </w:rPr>
      </w:pPr>
      <w:r w:rsidRPr="00A14310">
        <w:rPr>
          <w:color w:val="auto"/>
          <w:lang w:val="en-US"/>
        </w:rPr>
        <w:t xml:space="preserve">An adverse event (AE) is any untoward medical event that occurs in a patient who has received the study investigational </w:t>
      </w:r>
      <w:r w:rsidR="002E3009" w:rsidRPr="00A14310">
        <w:rPr>
          <w:color w:val="auto"/>
          <w:lang w:val="en-US"/>
        </w:rPr>
        <w:t>drug and</w:t>
      </w:r>
      <w:r w:rsidRPr="00A14310">
        <w:rPr>
          <w:color w:val="auto"/>
          <w:lang w:val="en-US"/>
        </w:rPr>
        <w:t xml:space="preserve"> does not necessarily have a causal relationship with this treatment. </w:t>
      </w:r>
    </w:p>
    <w:p w:rsidR="00397BAA" w:rsidRPr="00A14310" w:rsidRDefault="00397BAA" w:rsidP="00397BAA">
      <w:pPr>
        <w:autoSpaceDE w:val="0"/>
        <w:autoSpaceDN w:val="0"/>
        <w:spacing w:line="240" w:lineRule="auto"/>
        <w:jc w:val="both"/>
        <w:rPr>
          <w:color w:val="auto"/>
          <w:lang w:val="en-US"/>
        </w:rPr>
      </w:pPr>
    </w:p>
    <w:p w:rsidR="00397BAA" w:rsidRDefault="003B167F" w:rsidP="00397BAA">
      <w:pPr>
        <w:autoSpaceDE w:val="0"/>
        <w:autoSpaceDN w:val="0"/>
        <w:spacing w:line="240" w:lineRule="auto"/>
        <w:jc w:val="both"/>
        <w:rPr>
          <w:color w:val="auto"/>
          <w:lang w:val="en-US"/>
        </w:rPr>
      </w:pPr>
      <w:r w:rsidRPr="00A14310">
        <w:rPr>
          <w:color w:val="auto"/>
          <w:lang w:val="en-US"/>
        </w:rPr>
        <w:t>The frequency of patients experiencing any AE by System Organ Class (SOC) and preferred term have been summarized using counts and percentages.</w:t>
      </w:r>
    </w:p>
    <w:p w:rsidR="003B167F" w:rsidRPr="00A14310" w:rsidRDefault="003B167F" w:rsidP="00397BAA">
      <w:pPr>
        <w:autoSpaceDE w:val="0"/>
        <w:autoSpaceDN w:val="0"/>
        <w:spacing w:line="240" w:lineRule="auto"/>
        <w:jc w:val="both"/>
        <w:rPr>
          <w:color w:val="auto"/>
          <w:lang w:val="en-US"/>
        </w:rPr>
      </w:pPr>
      <w:r w:rsidRPr="00A14310">
        <w:rPr>
          <w:color w:val="auto"/>
          <w:lang w:val="en-US"/>
        </w:rPr>
        <w:t xml:space="preserve"> </w:t>
      </w:r>
    </w:p>
    <w:p w:rsidR="003B167F" w:rsidRPr="00A14310" w:rsidRDefault="003B167F" w:rsidP="00397BAA">
      <w:pPr>
        <w:autoSpaceDE w:val="0"/>
        <w:autoSpaceDN w:val="0"/>
        <w:spacing w:line="240" w:lineRule="auto"/>
        <w:jc w:val="both"/>
        <w:rPr>
          <w:color w:val="auto"/>
          <w:lang w:val="en-US"/>
        </w:rPr>
      </w:pPr>
      <w:r w:rsidRPr="00A14310">
        <w:rPr>
          <w:color w:val="auto"/>
          <w:lang w:val="en-US"/>
        </w:rPr>
        <w:t xml:space="preserve">A patient with multiple CTCAE grades for an AE have been summarized under the maximum CTCAE grade recorded for the event. So that, for any given MedDRA preferred term, a patient has been contributed only a single count to the incidence, even if the patient had multiple occurrences over multiple courses of treatment. </w:t>
      </w:r>
    </w:p>
    <w:p w:rsidR="00397BAA" w:rsidRDefault="00397BAA">
      <w:pPr>
        <w:spacing w:after="160" w:line="240" w:lineRule="auto"/>
        <w:jc w:val="both"/>
        <w:rPr>
          <w:rFonts w:eastAsia="Times New Roman"/>
          <w:color w:val="auto"/>
          <w:lang w:val="en-US"/>
        </w:rPr>
      </w:pPr>
      <w:r>
        <w:rPr>
          <w:rFonts w:eastAsia="Times New Roman"/>
          <w:color w:val="auto"/>
          <w:lang w:val="en-US"/>
        </w:rPr>
        <w:br w:type="page"/>
      </w:r>
    </w:p>
    <w:p w:rsidR="003B167F" w:rsidRPr="006353B9" w:rsidRDefault="003B167F" w:rsidP="00397BAA">
      <w:pPr>
        <w:pStyle w:val="Heading3"/>
      </w:pPr>
      <w:bookmarkStart w:id="62" w:name="_Toc501022056"/>
      <w:proofErr w:type="gramStart"/>
      <w:r w:rsidRPr="006353B9">
        <w:lastRenderedPageBreak/>
        <w:t>Brief Summary</w:t>
      </w:r>
      <w:proofErr w:type="gramEnd"/>
      <w:r w:rsidRPr="006353B9">
        <w:t xml:space="preserve"> of Adverse Events</w:t>
      </w:r>
      <w:bookmarkEnd w:id="62"/>
    </w:p>
    <w:p w:rsidR="003B167F" w:rsidRPr="0045181E" w:rsidRDefault="003B167F" w:rsidP="0045181E">
      <w:pPr>
        <w:pStyle w:val="Caption"/>
      </w:pPr>
      <w:r>
        <w:br/>
      </w:r>
      <w:r w:rsidRPr="0045181E">
        <w:t>Table 1</w:t>
      </w:r>
      <w:r w:rsidR="00EC010D">
        <w:t>8</w:t>
      </w:r>
      <w:r w:rsidRPr="0045181E">
        <w:t>. Summary of AEs by treatment arm</w:t>
      </w:r>
    </w:p>
    <w:tbl>
      <w:tblPr>
        <w:tblW w:w="5000" w:type="pct"/>
        <w:jc w:val="center"/>
        <w:tblLayout w:type="fixed"/>
        <w:tblCellMar>
          <w:left w:w="0" w:type="dxa"/>
          <w:right w:w="0" w:type="dxa"/>
        </w:tblCellMar>
        <w:tblLook w:val="0000" w:firstRow="0" w:lastRow="0" w:firstColumn="0" w:lastColumn="0" w:noHBand="0" w:noVBand="0"/>
      </w:tblPr>
      <w:tblGrid>
        <w:gridCol w:w="3118"/>
        <w:gridCol w:w="709"/>
        <w:gridCol w:w="1276"/>
        <w:gridCol w:w="1276"/>
        <w:gridCol w:w="1276"/>
        <w:gridCol w:w="965"/>
      </w:tblGrid>
      <w:tr w:rsidR="003B167F" w:rsidRPr="006353B9" w:rsidTr="00397BAA">
        <w:trPr>
          <w:cantSplit/>
          <w:tblHeader/>
          <w:jc w:val="center"/>
        </w:trPr>
        <w:tc>
          <w:tcPr>
            <w:tcW w:w="2220" w:type="pct"/>
            <w:gridSpan w:val="2"/>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397BAA">
            <w:pPr>
              <w:adjustRightInd w:val="0"/>
              <w:spacing w:line="240" w:lineRule="auto"/>
              <w:jc w:val="both"/>
              <w:rPr>
                <w:b/>
                <w:bCs/>
                <w:color w:val="auto"/>
                <w:lang w:val="en-US"/>
              </w:rPr>
            </w:pPr>
          </w:p>
        </w:tc>
        <w:tc>
          <w:tcPr>
            <w:tcW w:w="740"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397BAA">
            <w:pPr>
              <w:adjustRightInd w:val="0"/>
              <w:spacing w:line="240" w:lineRule="auto"/>
              <w:jc w:val="both"/>
              <w:rPr>
                <w:b/>
                <w:bCs/>
                <w:color w:val="auto"/>
                <w:lang w:val="en-US"/>
              </w:rPr>
            </w:pPr>
            <w:r w:rsidRPr="006353B9">
              <w:rPr>
                <w:b/>
                <w:bCs/>
                <w:color w:val="auto"/>
                <w:lang w:val="en-US"/>
              </w:rPr>
              <w:t xml:space="preserve">Control arm </w:t>
            </w:r>
            <w:r w:rsidRPr="006353B9">
              <w:rPr>
                <w:b/>
                <w:bCs/>
                <w:color w:val="auto"/>
                <w:lang w:val="en-US"/>
              </w:rPr>
              <w:br/>
              <w:t>(N=15)</w:t>
            </w:r>
          </w:p>
        </w:tc>
        <w:tc>
          <w:tcPr>
            <w:tcW w:w="740"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397BAA">
            <w:pPr>
              <w:adjustRightInd w:val="0"/>
              <w:spacing w:line="240" w:lineRule="auto"/>
              <w:jc w:val="both"/>
              <w:rPr>
                <w:b/>
                <w:bCs/>
                <w:color w:val="auto"/>
                <w:lang w:val="en-US"/>
              </w:rPr>
            </w:pPr>
            <w:r w:rsidRPr="006353B9">
              <w:rPr>
                <w:b/>
                <w:bCs/>
                <w:color w:val="auto"/>
                <w:lang w:val="en-US"/>
              </w:rPr>
              <w:t xml:space="preserve">Experimental arm </w:t>
            </w:r>
            <w:r w:rsidRPr="006353B9">
              <w:rPr>
                <w:b/>
                <w:bCs/>
                <w:color w:val="auto"/>
                <w:lang w:val="en-US"/>
              </w:rPr>
              <w:br/>
              <w:t>(N=26)</w:t>
            </w:r>
          </w:p>
        </w:tc>
        <w:tc>
          <w:tcPr>
            <w:tcW w:w="740"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397BAA">
            <w:pPr>
              <w:adjustRightInd w:val="0"/>
              <w:spacing w:line="240" w:lineRule="auto"/>
              <w:jc w:val="both"/>
              <w:rPr>
                <w:b/>
                <w:bCs/>
                <w:color w:val="auto"/>
              </w:rPr>
            </w:pPr>
            <w:r w:rsidRPr="006353B9">
              <w:rPr>
                <w:b/>
                <w:bCs/>
                <w:color w:val="auto"/>
              </w:rPr>
              <w:t>Total</w:t>
            </w:r>
            <w:r w:rsidRPr="006353B9">
              <w:rPr>
                <w:b/>
                <w:bCs/>
                <w:color w:val="auto"/>
              </w:rPr>
              <w:br/>
              <w:t>(N=41)</w:t>
            </w:r>
          </w:p>
        </w:tc>
        <w:tc>
          <w:tcPr>
            <w:tcW w:w="560" w:type="pct"/>
            <w:tcBorders>
              <w:top w:val="single" w:sz="4" w:space="0" w:color="000080"/>
              <w:left w:val="nil"/>
              <w:bottom w:val="single" w:sz="4" w:space="0" w:color="000080"/>
              <w:right w:val="nil"/>
            </w:tcBorders>
            <w:shd w:val="clear" w:color="auto" w:fill="D9D9D9" w:themeFill="background1" w:themeFillShade="D9"/>
            <w:tcMar>
              <w:left w:w="67" w:type="dxa"/>
              <w:right w:w="67" w:type="dxa"/>
            </w:tcMar>
            <w:vAlign w:val="bottom"/>
          </w:tcPr>
          <w:p w:rsidR="003B167F" w:rsidRPr="006353B9" w:rsidRDefault="003B167F" w:rsidP="00397BAA">
            <w:pPr>
              <w:adjustRightInd w:val="0"/>
              <w:spacing w:line="240" w:lineRule="auto"/>
              <w:jc w:val="both"/>
              <w:rPr>
                <w:b/>
                <w:bCs/>
                <w:color w:val="auto"/>
              </w:rPr>
            </w:pPr>
            <w:r w:rsidRPr="006353B9">
              <w:rPr>
                <w:b/>
                <w:bCs/>
                <w:color w:val="auto"/>
              </w:rPr>
              <w:t>P-Value</w:t>
            </w:r>
          </w:p>
        </w:tc>
      </w:tr>
      <w:tr w:rsidR="003B167F" w:rsidRPr="006353B9" w:rsidTr="00397BAA">
        <w:trPr>
          <w:cantSplit/>
          <w:jc w:val="center"/>
        </w:trPr>
        <w:tc>
          <w:tcPr>
            <w:tcW w:w="1809"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r w:rsidRPr="006353B9">
              <w:rPr>
                <w:b/>
                <w:bCs/>
                <w:color w:val="auto"/>
              </w:rPr>
              <w:t>Summary AEs by patient</w:t>
            </w:r>
          </w:p>
        </w:tc>
        <w:tc>
          <w:tcPr>
            <w:tcW w:w="411"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p>
        </w:tc>
        <w:tc>
          <w:tcPr>
            <w:tcW w:w="740"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p>
        </w:tc>
        <w:tc>
          <w:tcPr>
            <w:tcW w:w="740"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p>
        </w:tc>
        <w:tc>
          <w:tcPr>
            <w:tcW w:w="740" w:type="pct"/>
            <w:tcBorders>
              <w:top w:val="nil"/>
              <w:left w:val="single" w:sz="4" w:space="0" w:color="FFFFFF"/>
              <w:bottom w:val="single" w:sz="4" w:space="0" w:color="000080"/>
              <w:right w:val="nil"/>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p>
        </w:tc>
        <w:tc>
          <w:tcPr>
            <w:tcW w:w="560" w:type="pct"/>
            <w:tcBorders>
              <w:top w:val="nil"/>
              <w:left w:val="single" w:sz="4" w:space="0" w:color="FFFFFF"/>
              <w:bottom w:val="single" w:sz="4" w:space="0" w:color="000080"/>
              <w:right w:val="single" w:sz="4" w:space="0" w:color="FFFFFF"/>
            </w:tcBorders>
            <w:shd w:val="clear" w:color="auto" w:fill="D4D4D4"/>
            <w:tcMar>
              <w:left w:w="67" w:type="dxa"/>
              <w:right w:w="67" w:type="dxa"/>
            </w:tcMar>
          </w:tcPr>
          <w:p w:rsidR="003B167F" w:rsidRPr="006353B9" w:rsidRDefault="003B167F" w:rsidP="00397BAA">
            <w:pPr>
              <w:adjustRightInd w:val="0"/>
              <w:spacing w:line="240" w:lineRule="auto"/>
              <w:jc w:val="both"/>
              <w:rPr>
                <w:b/>
                <w:bCs/>
                <w:color w:val="auto"/>
              </w:rPr>
            </w:pP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AE</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15 (100.00)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26 (100.00)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41 (100.00)</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NA</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SAE</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5 (33.33)</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4 (15.38)</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9 (21.95)</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Fisher: 0.2476</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grade 3/4 AE</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11 (73.33)</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13 (50.00)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24 (58.54)</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Chi-Square: 0.1441</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AE that the investigator considers treatment-related</w:t>
            </w:r>
            <w:r w:rsidR="002E3009">
              <w:rPr>
                <w:color w:val="auto"/>
                <w:lang w:val="en-US"/>
              </w:rPr>
              <w:t xml:space="preserve"> </w:t>
            </w:r>
            <w:r w:rsidRPr="006353B9">
              <w:rPr>
                <w:color w:val="auto"/>
                <w:lang w:val="en-US"/>
              </w:rPr>
              <w:t>(SUNITINIB)</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15 (100.00)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26 (100.00)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41 (100.00)</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NA</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grade 3/4 AE that the investigator considers treatment-related</w:t>
            </w:r>
            <w:r w:rsidR="002E3009">
              <w:rPr>
                <w:color w:val="auto"/>
                <w:lang w:val="en-US"/>
              </w:rPr>
              <w:t xml:space="preserve"> </w:t>
            </w:r>
            <w:r w:rsidRPr="006353B9">
              <w:rPr>
                <w:color w:val="auto"/>
                <w:lang w:val="en-US"/>
              </w:rPr>
              <w:t>(SUNITINIB)</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9 (60.00)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9 (34.62)</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18 (43.90)</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Chi-Square: 0.1147</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AE that the investigator considers treatment-related</w:t>
            </w:r>
            <w:r w:rsidR="002E3009">
              <w:rPr>
                <w:color w:val="auto"/>
                <w:lang w:val="en-US"/>
              </w:rPr>
              <w:t xml:space="preserve"> </w:t>
            </w:r>
            <w:r w:rsidRPr="006353B9">
              <w:rPr>
                <w:color w:val="auto"/>
                <w:lang w:val="en-US"/>
              </w:rPr>
              <w:t>(EVEROLIMUS)</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6 (40.00)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20 (76.92)</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26 (63.41)</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Chi-Square: 0.0181</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have presented at least one grade 3/4 AE that the investigator considers treatment-related</w:t>
            </w:r>
            <w:r w:rsidR="002E3009">
              <w:rPr>
                <w:color w:val="auto"/>
                <w:lang w:val="en-US"/>
              </w:rPr>
              <w:t xml:space="preserve"> </w:t>
            </w:r>
            <w:r w:rsidRPr="006353B9">
              <w:rPr>
                <w:color w:val="auto"/>
                <w:lang w:val="en-US"/>
              </w:rPr>
              <w:t>(EVEROLIMUS)</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3 (20.00)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8 (30.77)</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11 (26.83)</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Fisher: 0.7158</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discontinued due to AE</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3 (20.00)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3 (11.54)</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6 (14.63)</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Fisher: 0.6509</w:t>
            </w:r>
          </w:p>
        </w:tc>
      </w:tr>
      <w:tr w:rsidR="003B167F" w:rsidRPr="006353B9" w:rsidTr="00397BAA">
        <w:trPr>
          <w:cantSplit/>
          <w:jc w:val="center"/>
        </w:trPr>
        <w:tc>
          <w:tcPr>
            <w:tcW w:w="1809"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lang w:val="en-US"/>
              </w:rPr>
            </w:pPr>
            <w:r w:rsidRPr="006353B9">
              <w:rPr>
                <w:color w:val="auto"/>
                <w:lang w:val="en-US"/>
              </w:rPr>
              <w:t>Patients who outcome is Death</w:t>
            </w:r>
          </w:p>
        </w:tc>
        <w:tc>
          <w:tcPr>
            <w:tcW w:w="411"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 (%)</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0 (0.00)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0 (0.00)</w:t>
            </w:r>
          </w:p>
        </w:tc>
        <w:tc>
          <w:tcPr>
            <w:tcW w:w="74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0 (0.00)</w:t>
            </w:r>
          </w:p>
        </w:tc>
        <w:tc>
          <w:tcPr>
            <w:tcW w:w="560" w:type="pct"/>
            <w:tcBorders>
              <w:top w:val="nil"/>
              <w:left w:val="nil"/>
              <w:bottom w:val="single" w:sz="4" w:space="0" w:color="000080"/>
              <w:right w:val="nil"/>
            </w:tcBorders>
            <w:shd w:val="clear" w:color="auto" w:fill="FFFFFF"/>
            <w:tcMar>
              <w:left w:w="67" w:type="dxa"/>
              <w:right w:w="67" w:type="dxa"/>
            </w:tcMar>
          </w:tcPr>
          <w:p w:rsidR="003B167F" w:rsidRPr="006353B9" w:rsidRDefault="003B167F" w:rsidP="00397BAA">
            <w:pPr>
              <w:adjustRightInd w:val="0"/>
              <w:spacing w:line="240" w:lineRule="auto"/>
              <w:jc w:val="both"/>
              <w:rPr>
                <w:color w:val="auto"/>
              </w:rPr>
            </w:pPr>
            <w:r w:rsidRPr="006353B9">
              <w:rPr>
                <w:color w:val="auto"/>
              </w:rPr>
              <w:t>NA</w:t>
            </w:r>
          </w:p>
        </w:tc>
      </w:tr>
    </w:tbl>
    <w:p w:rsidR="003B167F" w:rsidRDefault="003B167F" w:rsidP="00397BAA">
      <w:pPr>
        <w:spacing w:line="240" w:lineRule="auto"/>
        <w:jc w:val="both"/>
        <w:rPr>
          <w:rFonts w:eastAsia="Times New Roman"/>
          <w:color w:val="auto"/>
          <w:lang w:val="en-US"/>
        </w:rPr>
      </w:pPr>
      <w:r>
        <w:rPr>
          <w:rFonts w:eastAsia="Times New Roman"/>
          <w:color w:val="auto"/>
          <w:lang w:val="en-US"/>
        </w:rPr>
        <w:t>For each of 41 subjects was registered at least one adverse event. Grade 3 or 4 AE were registered for 24 subjects (58,54%) (11 cases (74,33%) at the control arm and 13 cases (50%) at the experimental arm).</w:t>
      </w:r>
    </w:p>
    <w:p w:rsidR="003B167F" w:rsidRPr="006353B9" w:rsidRDefault="003B167F" w:rsidP="00397BAA">
      <w:pPr>
        <w:spacing w:line="240" w:lineRule="auto"/>
        <w:jc w:val="both"/>
        <w:rPr>
          <w:rFonts w:eastAsia="Times New Roman"/>
          <w:color w:val="auto"/>
          <w:lang w:val="en-US"/>
        </w:rPr>
      </w:pPr>
      <w:r>
        <w:rPr>
          <w:rFonts w:eastAsia="Times New Roman"/>
          <w:color w:val="auto"/>
          <w:lang w:val="en-US"/>
        </w:rPr>
        <w:t xml:space="preserve">Nine subjects (21,95%) developed an SAE (five in the control arm and four for the experimental arm). </w:t>
      </w:r>
    </w:p>
    <w:p w:rsidR="00397BAA" w:rsidRDefault="00397BAA" w:rsidP="00397BAA">
      <w:pPr>
        <w:pStyle w:val="Heading3"/>
      </w:pPr>
      <w:bookmarkStart w:id="63" w:name="_Toc501022057"/>
      <w:r>
        <w:t>Display of Adverse Events</w:t>
      </w:r>
      <w:bookmarkEnd w:id="63"/>
    </w:p>
    <w:p w:rsidR="003B167F" w:rsidRPr="00FB4EE7" w:rsidRDefault="003B167F" w:rsidP="0045181E">
      <w:pPr>
        <w:pStyle w:val="Caption"/>
      </w:pPr>
      <w:bookmarkStart w:id="64" w:name="_Toc500240908"/>
      <w:r w:rsidRPr="0045181E">
        <w:rPr>
          <w:b w:val="0"/>
        </w:rPr>
        <w:t>Maximum toxicity AEs per patient</w:t>
      </w:r>
      <w:bookmarkEnd w:id="64"/>
      <w:r w:rsidRPr="0045181E">
        <w:rPr>
          <w:b w:val="0"/>
        </w:rPr>
        <w:t xml:space="preserve"> could be found at section 8.9.3 of Final statistical report, Table 14</w:t>
      </w:r>
      <w:r w:rsidR="00FB4EE7">
        <w:t>.</w:t>
      </w:r>
    </w:p>
    <w:p w:rsidR="003B167F" w:rsidRPr="006353B9" w:rsidRDefault="003B167F" w:rsidP="00397BAA">
      <w:pPr>
        <w:spacing w:line="240" w:lineRule="auto"/>
        <w:ind w:left="720"/>
        <w:jc w:val="both"/>
        <w:rPr>
          <w:rFonts w:eastAsia="Times New Roman"/>
          <w:color w:val="auto"/>
          <w:lang w:val="en-US"/>
        </w:rPr>
      </w:pPr>
    </w:p>
    <w:p w:rsidR="003B167F" w:rsidRPr="006353B9" w:rsidRDefault="003B167F" w:rsidP="00397BAA">
      <w:pPr>
        <w:spacing w:line="240" w:lineRule="auto"/>
        <w:jc w:val="both"/>
        <w:rPr>
          <w:rFonts w:eastAsia="Times New Roman"/>
          <w:color w:val="auto"/>
          <w:lang w:val="en-US"/>
        </w:rPr>
      </w:pPr>
    </w:p>
    <w:p w:rsidR="000D0F5B" w:rsidRPr="000D0F5B" w:rsidRDefault="003B167F" w:rsidP="000D0F5B">
      <w:pPr>
        <w:pStyle w:val="Heading2"/>
        <w:spacing w:line="240" w:lineRule="auto"/>
      </w:pPr>
      <w:bookmarkStart w:id="65" w:name="_Toc501022058"/>
      <w:r w:rsidRPr="006353B9">
        <w:lastRenderedPageBreak/>
        <w:t>Deaths, Other SA</w:t>
      </w:r>
      <w:r w:rsidR="00E642D8">
        <w:t>E</w:t>
      </w:r>
      <w:r w:rsidRPr="006353B9">
        <w:t>s, and Other Significant Adverse Events</w:t>
      </w:r>
      <w:bookmarkEnd w:id="65"/>
    </w:p>
    <w:p w:rsidR="003B167F" w:rsidRPr="006353B9" w:rsidRDefault="003B167F" w:rsidP="000D0F5B">
      <w:pPr>
        <w:pStyle w:val="Heading3"/>
      </w:pPr>
      <w:bookmarkStart w:id="66" w:name="_Toc501022059"/>
      <w:r w:rsidRPr="006353B9">
        <w:t>Deaths</w:t>
      </w:r>
      <w:bookmarkEnd w:id="66"/>
    </w:p>
    <w:p w:rsidR="003B167F" w:rsidRPr="00FB4EE7" w:rsidRDefault="003B167F" w:rsidP="00FB4EE7">
      <w:pPr>
        <w:pStyle w:val="Listing"/>
      </w:pPr>
      <w:r w:rsidRPr="006353B9">
        <w:br/>
      </w:r>
      <w:bookmarkStart w:id="67" w:name="_Toc500240919"/>
      <w:bookmarkStart w:id="68" w:name="_Hlk500418533"/>
      <w:r w:rsidRPr="00FB4EE7">
        <w:t>Listing End of Study Reasons: Death</w:t>
      </w:r>
      <w:bookmarkEnd w:id="67"/>
    </w:p>
    <w:tbl>
      <w:tblPr>
        <w:tblW w:w="5000" w:type="pct"/>
        <w:jc w:val="center"/>
        <w:tblLayout w:type="fixed"/>
        <w:tblCellMar>
          <w:left w:w="0" w:type="dxa"/>
          <w:right w:w="0" w:type="dxa"/>
        </w:tblCellMar>
        <w:tblLook w:val="0000" w:firstRow="0" w:lastRow="0" w:firstColumn="0" w:lastColumn="0" w:noHBand="0" w:noVBand="0"/>
      </w:tblPr>
      <w:tblGrid>
        <w:gridCol w:w="1074"/>
        <w:gridCol w:w="1142"/>
        <w:gridCol w:w="1608"/>
        <w:gridCol w:w="1135"/>
        <w:gridCol w:w="992"/>
        <w:gridCol w:w="1247"/>
        <w:gridCol w:w="1412"/>
      </w:tblGrid>
      <w:tr w:rsidR="003B167F" w:rsidRPr="006353B9" w:rsidTr="00397BAA">
        <w:trPr>
          <w:cantSplit/>
          <w:tblHeader/>
          <w:jc w:val="center"/>
        </w:trPr>
        <w:tc>
          <w:tcPr>
            <w:tcW w:w="62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Site</w:t>
            </w:r>
          </w:p>
        </w:tc>
        <w:tc>
          <w:tcPr>
            <w:tcW w:w="663"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Patient</w:t>
            </w:r>
          </w:p>
        </w:tc>
        <w:tc>
          <w:tcPr>
            <w:tcW w:w="93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 xml:space="preserve">Randomization Arm </w:t>
            </w:r>
          </w:p>
        </w:tc>
        <w:tc>
          <w:tcPr>
            <w:tcW w:w="659"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End of study date</w:t>
            </w:r>
          </w:p>
        </w:tc>
        <w:tc>
          <w:tcPr>
            <w:tcW w:w="576"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End of Study Reason</w:t>
            </w:r>
          </w:p>
        </w:tc>
        <w:tc>
          <w:tcPr>
            <w:tcW w:w="724" w:type="pct"/>
            <w:tcBorders>
              <w:top w:val="single" w:sz="4" w:space="0" w:color="000080"/>
              <w:left w:val="single" w:sz="4" w:space="0" w:color="FFFFFF"/>
              <w:bottom w:val="single" w:sz="4" w:space="0" w:color="000080"/>
              <w:right w:val="nil"/>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Date of death</w:t>
            </w:r>
          </w:p>
        </w:tc>
        <w:tc>
          <w:tcPr>
            <w:tcW w:w="821" w:type="pct"/>
            <w:tcBorders>
              <w:top w:val="single" w:sz="4" w:space="0" w:color="000080"/>
              <w:left w:val="single" w:sz="4" w:space="0" w:color="FFFFFF"/>
              <w:bottom w:val="single" w:sz="4" w:space="0" w:color="000080"/>
              <w:right w:val="single" w:sz="4" w:space="0" w:color="FFFFFF"/>
            </w:tcBorders>
            <w:shd w:val="clear" w:color="auto" w:fill="D4D4D4"/>
            <w:tcMar>
              <w:left w:w="67" w:type="dxa"/>
              <w:right w:w="67" w:type="dxa"/>
            </w:tcMar>
            <w:vAlign w:val="bottom"/>
          </w:tcPr>
          <w:p w:rsidR="003B167F" w:rsidRPr="00397BAA" w:rsidRDefault="003B167F" w:rsidP="00397BAA">
            <w:pPr>
              <w:adjustRightInd w:val="0"/>
              <w:spacing w:line="240" w:lineRule="auto"/>
              <w:rPr>
                <w:rFonts w:asciiTheme="minorHAnsi" w:hAnsiTheme="minorHAnsi" w:cstheme="minorHAnsi"/>
                <w:b/>
                <w:bCs/>
                <w:color w:val="auto"/>
                <w:sz w:val="20"/>
                <w:szCs w:val="20"/>
              </w:rPr>
            </w:pPr>
            <w:r w:rsidRPr="00397BAA">
              <w:rPr>
                <w:rFonts w:asciiTheme="minorHAnsi" w:hAnsiTheme="minorHAnsi" w:cstheme="minorHAnsi"/>
                <w:b/>
                <w:bCs/>
                <w:color w:val="auto"/>
                <w:sz w:val="20"/>
                <w:szCs w:val="20"/>
              </w:rPr>
              <w:t>Death Reason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Hospital del Mar</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1001</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04/07/2013</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04/07/2013</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s-ES"/>
              </w:rPr>
            </w:pPr>
            <w:r w:rsidRPr="00397BAA">
              <w:rPr>
                <w:rFonts w:asciiTheme="minorHAnsi" w:hAnsiTheme="minorHAnsi" w:cstheme="minorHAnsi"/>
                <w:color w:val="auto"/>
                <w:sz w:val="20"/>
                <w:szCs w:val="20"/>
                <w:lang w:val="es-ES"/>
              </w:rPr>
              <w:t>Hospital Virgen de la Victoria</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17005</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05/10/2015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05/10/2015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Hospital Clinico San Carlos</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5002</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23/06/2015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23/06/2015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Progression Diseasse</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Hospital Central de Asturias</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3001</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09/05/2015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09/05/2015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bookmarkEnd w:id="68"/>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3002</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07/03/2015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07/03/2015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3003</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01/04/2015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01/04/2015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3004</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25/01/2017</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25/01/2017</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3005</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18/07/2014</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18/07/2014</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Hospital Marques de Valdecilla</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6001</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01/10/2015</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01/10/2015</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Progressive Disease</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s-ES"/>
              </w:rPr>
            </w:pPr>
            <w:r w:rsidRPr="00397BAA">
              <w:rPr>
                <w:rFonts w:asciiTheme="minorHAnsi" w:hAnsiTheme="minorHAnsi" w:cstheme="minorHAnsi"/>
                <w:color w:val="auto"/>
                <w:sz w:val="20"/>
                <w:szCs w:val="20"/>
                <w:lang w:val="es-ES"/>
              </w:rPr>
              <w:t>Hospital General Universitario de Valencia</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20001</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14/02/2016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14/02/2016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20002</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12/11/2016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12/11/2016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Progresion Disease</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Bordeaux University</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12002</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17/03/2016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17/03/2016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Under Study Progression</w:t>
            </w:r>
          </w:p>
        </w:tc>
      </w:tr>
      <w:tr w:rsidR="003B167F" w:rsidRPr="00583C40"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12003</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14/11/2016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14/11/2016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Disease Progression</w:t>
            </w:r>
          </w:p>
        </w:tc>
      </w:tr>
      <w:tr w:rsidR="003B167F" w:rsidRPr="00AC180A"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12004</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21/04/2016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21/04/2016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Progression </w:t>
            </w:r>
            <w:r w:rsidR="004245DD" w:rsidRPr="00397BAA">
              <w:rPr>
                <w:rFonts w:asciiTheme="minorHAnsi" w:hAnsiTheme="minorHAnsi" w:cstheme="minorHAnsi"/>
                <w:color w:val="auto"/>
                <w:sz w:val="20"/>
                <w:szCs w:val="20"/>
                <w:lang w:val="en-US"/>
              </w:rPr>
              <w:t>of</w:t>
            </w:r>
            <w:r w:rsidRPr="00397BAA">
              <w:rPr>
                <w:rFonts w:asciiTheme="minorHAnsi" w:hAnsiTheme="minorHAnsi" w:cstheme="minorHAnsi"/>
                <w:color w:val="auto"/>
                <w:sz w:val="20"/>
                <w:szCs w:val="20"/>
                <w:lang w:val="en-US"/>
              </w:rPr>
              <w:t xml:space="preserve"> Disease Under Study</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12005</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Experimental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18/10/2016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18/10/2016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Renal Cell Carcinoma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12013</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02/10/2016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02/10/2016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Renal Cell Carcinoma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Alexandra General Hospital of Athens</w:t>
            </w: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14001</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 xml:space="preserve">Control arm </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26/09/2016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26/09/2016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Disease Progression</w:t>
            </w:r>
          </w:p>
        </w:tc>
      </w:tr>
      <w:tr w:rsidR="003B167F" w:rsidRPr="006353B9" w:rsidTr="00397BAA">
        <w:trPr>
          <w:cantSplit/>
          <w:jc w:val="center"/>
        </w:trPr>
        <w:tc>
          <w:tcPr>
            <w:tcW w:w="6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p>
        </w:tc>
        <w:tc>
          <w:tcPr>
            <w:tcW w:w="663"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14008</w:t>
            </w:r>
          </w:p>
        </w:tc>
        <w:tc>
          <w:tcPr>
            <w:tcW w:w="93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lang w:val="en-US"/>
              </w:rPr>
              <w:t>Experimental arm</w:t>
            </w:r>
          </w:p>
        </w:tc>
        <w:tc>
          <w:tcPr>
            <w:tcW w:w="659"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10/02/2016</w:t>
            </w:r>
          </w:p>
        </w:tc>
        <w:tc>
          <w:tcPr>
            <w:tcW w:w="576"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Death</w:t>
            </w:r>
          </w:p>
        </w:tc>
        <w:tc>
          <w:tcPr>
            <w:tcW w:w="724"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rPr>
            </w:pPr>
            <w:r w:rsidRPr="00397BAA">
              <w:rPr>
                <w:rFonts w:asciiTheme="minorHAnsi" w:hAnsiTheme="minorHAnsi" w:cstheme="minorHAnsi"/>
                <w:color w:val="auto"/>
                <w:sz w:val="20"/>
                <w:szCs w:val="20"/>
              </w:rPr>
              <w:t>10/02/2016</w:t>
            </w:r>
          </w:p>
        </w:tc>
        <w:tc>
          <w:tcPr>
            <w:tcW w:w="821" w:type="pct"/>
            <w:tcBorders>
              <w:top w:val="nil"/>
              <w:left w:val="nil"/>
              <w:bottom w:val="single" w:sz="4" w:space="0" w:color="000080"/>
              <w:right w:val="nil"/>
            </w:tcBorders>
            <w:shd w:val="clear" w:color="auto" w:fill="FFFFFF"/>
            <w:tcMar>
              <w:left w:w="67" w:type="dxa"/>
              <w:right w:w="67" w:type="dxa"/>
            </w:tcMar>
          </w:tcPr>
          <w:p w:rsidR="003B167F" w:rsidRPr="00397BAA" w:rsidRDefault="003B167F" w:rsidP="00397BAA">
            <w:pPr>
              <w:adjustRightInd w:val="0"/>
              <w:spacing w:line="240" w:lineRule="auto"/>
              <w:rPr>
                <w:rFonts w:asciiTheme="minorHAnsi" w:hAnsiTheme="minorHAnsi" w:cstheme="minorHAnsi"/>
                <w:color w:val="auto"/>
                <w:sz w:val="20"/>
                <w:szCs w:val="20"/>
                <w:lang w:val="en-US"/>
              </w:rPr>
            </w:pPr>
            <w:r w:rsidRPr="00397BAA">
              <w:rPr>
                <w:rFonts w:asciiTheme="minorHAnsi" w:hAnsiTheme="minorHAnsi" w:cstheme="minorHAnsi"/>
                <w:color w:val="auto"/>
                <w:sz w:val="20"/>
                <w:szCs w:val="20"/>
              </w:rPr>
              <w:t>Disease</w:t>
            </w:r>
            <w:r w:rsidRPr="00397BAA">
              <w:rPr>
                <w:rFonts w:asciiTheme="minorHAnsi" w:hAnsiTheme="minorHAnsi" w:cstheme="minorHAnsi"/>
                <w:color w:val="auto"/>
                <w:sz w:val="20"/>
                <w:szCs w:val="20"/>
                <w:lang w:val="en-US"/>
              </w:rPr>
              <w:t xml:space="preserve"> </w:t>
            </w:r>
            <w:r w:rsidRPr="00397BAA">
              <w:rPr>
                <w:rFonts w:asciiTheme="minorHAnsi" w:hAnsiTheme="minorHAnsi" w:cstheme="minorHAnsi"/>
                <w:color w:val="auto"/>
                <w:sz w:val="20"/>
                <w:szCs w:val="20"/>
              </w:rPr>
              <w:t>Progression</w:t>
            </w:r>
          </w:p>
        </w:tc>
      </w:tr>
    </w:tbl>
    <w:p w:rsidR="003B167F" w:rsidRDefault="003B167F" w:rsidP="00397BAA">
      <w:pPr>
        <w:spacing w:line="240" w:lineRule="auto"/>
        <w:jc w:val="both"/>
        <w:rPr>
          <w:color w:val="auto"/>
          <w:lang w:val="en-US"/>
        </w:rPr>
      </w:pPr>
      <w:r>
        <w:rPr>
          <w:color w:val="auto"/>
          <w:lang w:val="en-US"/>
        </w:rPr>
        <w:t>Deaths were reported in 18 cases, six for the control arm and 12 for the experimental arm with the disease progression being the leading cause of death in both arms.</w:t>
      </w:r>
    </w:p>
    <w:p w:rsidR="003B167F" w:rsidRPr="006353B9" w:rsidRDefault="003B167F" w:rsidP="00397BAA">
      <w:pPr>
        <w:tabs>
          <w:tab w:val="left" w:pos="2880"/>
        </w:tabs>
        <w:spacing w:line="240" w:lineRule="auto"/>
        <w:ind w:left="2880"/>
        <w:jc w:val="both"/>
        <w:rPr>
          <w:rFonts w:eastAsia="Times New Roman"/>
          <w:color w:val="auto"/>
          <w:lang w:val="en-US"/>
        </w:rPr>
      </w:pPr>
    </w:p>
    <w:p w:rsidR="00397BAA" w:rsidRPr="00397BAA" w:rsidRDefault="003B167F" w:rsidP="00397BAA">
      <w:pPr>
        <w:tabs>
          <w:tab w:val="left" w:pos="2880"/>
        </w:tabs>
        <w:spacing w:line="240" w:lineRule="auto"/>
        <w:jc w:val="both"/>
        <w:rPr>
          <w:rFonts w:eastAsia="Times New Roman"/>
          <w:b/>
          <w:color w:val="auto"/>
          <w:u w:val="single"/>
          <w:lang w:val="en-US"/>
        </w:rPr>
      </w:pPr>
      <w:r w:rsidRPr="00397BAA">
        <w:rPr>
          <w:rFonts w:eastAsia="Times New Roman"/>
          <w:b/>
          <w:color w:val="auto"/>
          <w:u w:val="single"/>
          <w:lang w:val="en-US"/>
        </w:rPr>
        <w:t>Other Serious Adverse Events</w:t>
      </w:r>
    </w:p>
    <w:p w:rsidR="003B167F" w:rsidRPr="006353B9" w:rsidRDefault="003B167F" w:rsidP="00397BAA">
      <w:pPr>
        <w:tabs>
          <w:tab w:val="left" w:pos="2880"/>
        </w:tabs>
        <w:spacing w:line="240" w:lineRule="auto"/>
        <w:jc w:val="both"/>
        <w:rPr>
          <w:rFonts w:eastAsia="Times New Roman"/>
          <w:color w:val="auto"/>
          <w:lang w:val="en-US"/>
        </w:rPr>
      </w:pPr>
      <w:r w:rsidRPr="006353B9">
        <w:rPr>
          <w:rFonts w:eastAsia="Times New Roman"/>
          <w:color w:val="auto"/>
          <w:lang w:val="en-US"/>
        </w:rPr>
        <w:br/>
        <w:t xml:space="preserve">SAEs could be </w:t>
      </w:r>
      <w:r w:rsidRPr="006353B9">
        <w:rPr>
          <w:color w:val="auto"/>
          <w:lang w:val="en-US"/>
        </w:rPr>
        <w:t>found at section 8.9.5 of Final statistical report, Table 15. Individual patients SAEs could</w:t>
      </w:r>
      <w:r w:rsidRPr="006353B9">
        <w:rPr>
          <w:rFonts w:eastAsia="Times New Roman"/>
          <w:color w:val="auto"/>
          <w:lang w:val="en-US"/>
        </w:rPr>
        <w:t xml:space="preserve"> be </w:t>
      </w:r>
      <w:r w:rsidRPr="006353B9">
        <w:rPr>
          <w:color w:val="auto"/>
          <w:lang w:val="en-US"/>
        </w:rPr>
        <w:t>found at section 8.9.5 of Final statistical report, Listing 5</w:t>
      </w:r>
      <w:r w:rsidR="00FB4EE7">
        <w:rPr>
          <w:color w:val="auto"/>
          <w:lang w:val="en-US"/>
        </w:rPr>
        <w:t>.</w:t>
      </w:r>
    </w:p>
    <w:p w:rsidR="003B167F" w:rsidRPr="006353B9" w:rsidRDefault="003B167F" w:rsidP="00397BAA">
      <w:pPr>
        <w:spacing w:line="240" w:lineRule="auto"/>
        <w:ind w:left="720" w:right="600"/>
        <w:jc w:val="both"/>
        <w:rPr>
          <w:rFonts w:eastAsia="Times New Roman"/>
          <w:color w:val="auto"/>
          <w:lang w:val="en-US"/>
        </w:rPr>
      </w:pPr>
    </w:p>
    <w:p w:rsidR="003B167F" w:rsidRPr="004C1A05" w:rsidRDefault="003B167F" w:rsidP="00397BAA">
      <w:pPr>
        <w:spacing w:line="240" w:lineRule="auto"/>
        <w:ind w:right="600"/>
        <w:jc w:val="both"/>
        <w:rPr>
          <w:rFonts w:eastAsia="Times New Roman"/>
          <w:color w:val="auto"/>
          <w:lang w:val="en-US"/>
        </w:rPr>
        <w:sectPr w:rsidR="003B167F" w:rsidRPr="004C1A05" w:rsidSect="007C7E25">
          <w:headerReference w:type="default" r:id="rId13"/>
          <w:pgSz w:w="12240" w:h="15840"/>
          <w:pgMar w:top="2269" w:right="1460" w:bottom="1440" w:left="2160" w:header="426" w:footer="0" w:gutter="0"/>
          <w:cols w:space="0" w:equalWidth="0">
            <w:col w:w="8620"/>
          </w:cols>
          <w:docGrid w:linePitch="360"/>
        </w:sectPr>
      </w:pPr>
    </w:p>
    <w:p w:rsidR="003B167F" w:rsidRPr="006353B9" w:rsidRDefault="003B167F" w:rsidP="00397BAA">
      <w:pPr>
        <w:tabs>
          <w:tab w:val="left" w:pos="1440"/>
        </w:tabs>
        <w:spacing w:line="240" w:lineRule="auto"/>
        <w:jc w:val="both"/>
        <w:rPr>
          <w:rFonts w:eastAsia="Times New Roman"/>
          <w:color w:val="auto"/>
          <w:lang w:val="en-US"/>
        </w:rPr>
      </w:pPr>
    </w:p>
    <w:p w:rsidR="003B167F" w:rsidRPr="006353B9" w:rsidRDefault="003B167F" w:rsidP="00397BAA">
      <w:pPr>
        <w:pStyle w:val="Heading1"/>
        <w:spacing w:before="0" w:after="0"/>
      </w:pPr>
      <w:bookmarkStart w:id="70" w:name="_Toc501022060"/>
      <w:r w:rsidRPr="006353B9">
        <w:t>DISCUSSION AND OVERALL CONCLUSIONS</w:t>
      </w:r>
      <w:bookmarkEnd w:id="70"/>
      <w:r w:rsidRPr="006353B9">
        <w:br/>
      </w:r>
    </w:p>
    <w:p w:rsidR="003B167F" w:rsidRPr="00FB4EE7" w:rsidRDefault="003B167F" w:rsidP="00397BAA">
      <w:pPr>
        <w:spacing w:line="240" w:lineRule="auto"/>
        <w:jc w:val="both"/>
        <w:rPr>
          <w:rFonts w:asciiTheme="minorHAnsi" w:hAnsiTheme="minorHAnsi" w:cstheme="minorHAnsi"/>
          <w:color w:val="auto"/>
          <w:lang w:val="en-US"/>
        </w:rPr>
      </w:pPr>
      <w:r w:rsidRPr="00FB4EE7">
        <w:rPr>
          <w:rFonts w:asciiTheme="minorHAnsi" w:hAnsiTheme="minorHAnsi" w:cstheme="minorHAnsi"/>
          <w:color w:val="auto"/>
          <w:lang w:val="en-US"/>
        </w:rPr>
        <w:t>In the context of an Investigators’ Initiated Trial with already marketed drugs approved for RCC treatment, the Sponsor of the study decided to prematurely close the referenced study, due to the following main reasons:</w:t>
      </w:r>
    </w:p>
    <w:p w:rsidR="003B167F" w:rsidRPr="00FB4EE7" w:rsidRDefault="003B167F" w:rsidP="00397BAA">
      <w:pPr>
        <w:spacing w:line="240" w:lineRule="auto"/>
        <w:jc w:val="both"/>
        <w:rPr>
          <w:rFonts w:asciiTheme="minorHAnsi" w:hAnsiTheme="minorHAnsi" w:cstheme="minorHAnsi"/>
          <w:color w:val="auto"/>
          <w:lang w:val="en-US"/>
        </w:rPr>
      </w:pPr>
    </w:p>
    <w:p w:rsidR="003B167F" w:rsidRPr="0045181E" w:rsidRDefault="003B167F" w:rsidP="0045181E">
      <w:pPr>
        <w:pStyle w:val="ListParagraph"/>
        <w:numPr>
          <w:ilvl w:val="0"/>
          <w:numId w:val="18"/>
        </w:numPr>
        <w:spacing w:line="240" w:lineRule="auto"/>
        <w:jc w:val="both"/>
        <w:rPr>
          <w:rFonts w:asciiTheme="minorHAnsi" w:hAnsiTheme="minorHAnsi" w:cstheme="minorHAnsi"/>
          <w:iCs/>
          <w:color w:val="auto"/>
          <w:lang w:val="en-US"/>
        </w:rPr>
      </w:pPr>
      <w:r w:rsidRPr="0045181E">
        <w:rPr>
          <w:rFonts w:asciiTheme="minorHAnsi" w:hAnsiTheme="minorHAnsi" w:cstheme="minorHAnsi"/>
          <w:iCs/>
          <w:color w:val="auto"/>
          <w:lang w:val="en-US"/>
        </w:rPr>
        <w:t xml:space="preserve">Significant changes in the treatment paradigm of advanced Renal Cells Carcinoma since study initiation, mainly: the results from the EVERSUN study, published in ASCO 2014, the availability of new therapies in clear cells RCC, such as commercial pazopanib and the presence of </w:t>
      </w:r>
      <w:proofErr w:type="spellStart"/>
      <w:r w:rsidRPr="0045181E">
        <w:rPr>
          <w:rFonts w:asciiTheme="minorHAnsi" w:hAnsiTheme="minorHAnsi" w:cstheme="minorHAnsi"/>
          <w:iCs/>
          <w:color w:val="auto"/>
          <w:lang w:val="en-US"/>
        </w:rPr>
        <w:t>nivolumab</w:t>
      </w:r>
      <w:proofErr w:type="spellEnd"/>
      <w:r w:rsidRPr="0045181E">
        <w:rPr>
          <w:rFonts w:asciiTheme="minorHAnsi" w:hAnsiTheme="minorHAnsi" w:cstheme="minorHAnsi"/>
          <w:iCs/>
          <w:color w:val="auto"/>
          <w:lang w:val="en-US"/>
        </w:rPr>
        <w:t xml:space="preserve"> competitive clinical trials. </w:t>
      </w:r>
    </w:p>
    <w:p w:rsidR="0045181E" w:rsidRDefault="0045181E" w:rsidP="0045181E">
      <w:pPr>
        <w:spacing w:line="240" w:lineRule="auto"/>
        <w:jc w:val="both"/>
        <w:rPr>
          <w:rFonts w:asciiTheme="minorHAnsi" w:hAnsiTheme="minorHAnsi" w:cstheme="minorHAnsi"/>
          <w:iCs/>
          <w:color w:val="auto"/>
          <w:lang w:val="en-US"/>
        </w:rPr>
      </w:pPr>
    </w:p>
    <w:p w:rsidR="003B167F" w:rsidRPr="0045181E" w:rsidRDefault="003B167F" w:rsidP="0045181E">
      <w:pPr>
        <w:pStyle w:val="ListParagraph"/>
        <w:numPr>
          <w:ilvl w:val="0"/>
          <w:numId w:val="18"/>
        </w:numPr>
        <w:spacing w:line="240" w:lineRule="auto"/>
        <w:jc w:val="both"/>
        <w:rPr>
          <w:rFonts w:asciiTheme="minorHAnsi" w:hAnsiTheme="minorHAnsi" w:cstheme="minorHAnsi"/>
          <w:iCs/>
          <w:color w:val="auto"/>
          <w:lang w:val="en-US"/>
        </w:rPr>
      </w:pPr>
      <w:r w:rsidRPr="0045181E">
        <w:rPr>
          <w:rFonts w:asciiTheme="minorHAnsi" w:hAnsiTheme="minorHAnsi" w:cstheme="minorHAnsi"/>
          <w:iCs/>
          <w:color w:val="auto"/>
          <w:lang w:val="en-US"/>
        </w:rPr>
        <w:t xml:space="preserve">Many of the measures implemented to increase enrolment and offset the low enrolment rate were unsuccessful, and the enrolment rate was kept decreasing as shown below in the attached graph: only 5 patients enrolled in the previous Full Year, and only 1 per quarter in the last 9 months (please see graph below, enrolment per quarter since study initiation). </w:t>
      </w:r>
    </w:p>
    <w:p w:rsidR="003B167F" w:rsidRPr="00FB4EE7" w:rsidRDefault="003B167F" w:rsidP="003B167F">
      <w:pPr>
        <w:spacing w:line="360" w:lineRule="auto"/>
        <w:ind w:left="720"/>
        <w:jc w:val="both"/>
        <w:rPr>
          <w:rFonts w:asciiTheme="minorHAnsi" w:hAnsiTheme="minorHAnsi" w:cstheme="minorHAnsi"/>
          <w:iCs/>
          <w:color w:val="auto"/>
          <w:lang w:val="en-US"/>
        </w:rPr>
      </w:pPr>
    </w:p>
    <w:p w:rsidR="003B167F" w:rsidRPr="00FB4EE7" w:rsidRDefault="003B167F" w:rsidP="003B167F">
      <w:pPr>
        <w:pStyle w:val="ListParagraph"/>
        <w:ind w:left="780"/>
        <w:jc w:val="both"/>
        <w:rPr>
          <w:rFonts w:asciiTheme="minorHAnsi" w:eastAsiaTheme="minorHAnsi" w:hAnsiTheme="minorHAnsi" w:cstheme="minorHAnsi"/>
          <w:iCs/>
          <w:color w:val="auto"/>
        </w:rPr>
      </w:pPr>
      <w:r w:rsidRPr="00FB4EE7">
        <w:rPr>
          <w:rFonts w:asciiTheme="minorHAnsi" w:hAnsiTheme="minorHAnsi" w:cstheme="minorHAnsi"/>
          <w:noProof/>
          <w:color w:val="auto"/>
        </w:rPr>
        <w:drawing>
          <wp:inline distT="0" distB="0" distL="0" distR="0" wp14:anchorId="4F41FE56" wp14:editId="31C70C73">
            <wp:extent cx="4465955" cy="1743710"/>
            <wp:effectExtent l="0" t="0" r="0" b="8890"/>
            <wp:docPr id="5" name="Picture 5" descr="cid:image003.png@01D36468.3AF382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36468.3AF382D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465955" cy="1743710"/>
                    </a:xfrm>
                    <a:prstGeom prst="rect">
                      <a:avLst/>
                    </a:prstGeom>
                    <a:noFill/>
                    <a:ln>
                      <a:noFill/>
                    </a:ln>
                  </pic:spPr>
                </pic:pic>
              </a:graphicData>
            </a:graphic>
          </wp:inline>
        </w:drawing>
      </w:r>
    </w:p>
    <w:p w:rsidR="0045181E" w:rsidRDefault="0045181E" w:rsidP="0045181E">
      <w:pPr>
        <w:spacing w:line="240" w:lineRule="auto"/>
        <w:jc w:val="both"/>
        <w:rPr>
          <w:rFonts w:asciiTheme="minorHAnsi" w:hAnsiTheme="minorHAnsi" w:cstheme="minorHAnsi"/>
          <w:color w:val="auto"/>
          <w:lang w:val="en-US"/>
        </w:rPr>
      </w:pPr>
    </w:p>
    <w:p w:rsidR="003B167F" w:rsidRPr="0045181E" w:rsidRDefault="003B167F" w:rsidP="0045181E">
      <w:pPr>
        <w:pStyle w:val="ListParagraph"/>
        <w:numPr>
          <w:ilvl w:val="0"/>
          <w:numId w:val="18"/>
        </w:numPr>
        <w:spacing w:line="240" w:lineRule="auto"/>
        <w:jc w:val="both"/>
        <w:rPr>
          <w:rFonts w:asciiTheme="minorHAnsi" w:hAnsiTheme="minorHAnsi" w:cstheme="minorHAnsi"/>
          <w:iCs/>
          <w:color w:val="auto"/>
          <w:lang w:val="en-US"/>
        </w:rPr>
      </w:pPr>
      <w:r w:rsidRPr="0045181E">
        <w:rPr>
          <w:rFonts w:asciiTheme="minorHAnsi" w:hAnsiTheme="minorHAnsi" w:cstheme="minorHAnsi"/>
          <w:iCs/>
          <w:color w:val="auto"/>
          <w:lang w:val="en-US"/>
        </w:rPr>
        <w:t>The study concept was no longer interesting for the participating investigators, who rather prefer to manage patients according to newer standard of care practice and treatment paradigms, or include the patients in the ongoing trials with new treatment concepts.</w:t>
      </w:r>
    </w:p>
    <w:p w:rsidR="0045181E" w:rsidRDefault="0045181E" w:rsidP="0045181E">
      <w:pPr>
        <w:spacing w:line="240" w:lineRule="auto"/>
        <w:jc w:val="both"/>
        <w:rPr>
          <w:rFonts w:asciiTheme="minorHAnsi" w:hAnsiTheme="minorHAnsi" w:cstheme="minorHAnsi"/>
          <w:iCs/>
          <w:color w:val="auto"/>
          <w:lang w:val="en-US"/>
        </w:rPr>
      </w:pPr>
    </w:p>
    <w:p w:rsidR="003B167F" w:rsidRPr="0045181E" w:rsidRDefault="003B167F" w:rsidP="0045181E">
      <w:pPr>
        <w:pStyle w:val="ListParagraph"/>
        <w:numPr>
          <w:ilvl w:val="0"/>
          <w:numId w:val="18"/>
        </w:numPr>
        <w:spacing w:line="240" w:lineRule="auto"/>
        <w:jc w:val="both"/>
        <w:rPr>
          <w:rFonts w:asciiTheme="minorHAnsi" w:hAnsiTheme="minorHAnsi" w:cstheme="minorHAnsi"/>
          <w:iCs/>
          <w:color w:val="auto"/>
          <w:lang w:val="en-US"/>
        </w:rPr>
      </w:pPr>
      <w:r w:rsidRPr="0045181E">
        <w:rPr>
          <w:rFonts w:asciiTheme="minorHAnsi" w:hAnsiTheme="minorHAnsi" w:cstheme="minorHAnsi"/>
          <w:iCs/>
          <w:color w:val="auto"/>
          <w:lang w:val="en-US"/>
        </w:rPr>
        <w:t xml:space="preserve">This delay in recruitment drastically increased the costs of the study, due to a staggering enrolment (only 41 subjects were enrolled in the study while the study protocol mandated 115 clinical trial participants). </w:t>
      </w:r>
    </w:p>
    <w:p w:rsidR="003B167F" w:rsidRDefault="003B167F" w:rsidP="003B167F">
      <w:pPr>
        <w:rPr>
          <w:iCs/>
          <w:color w:val="auto"/>
          <w:lang w:val="en-US"/>
        </w:rPr>
      </w:pPr>
      <w:r>
        <w:rPr>
          <w:iCs/>
          <w:color w:val="auto"/>
          <w:lang w:val="en-US"/>
        </w:rPr>
        <w:br w:type="page"/>
      </w:r>
    </w:p>
    <w:p w:rsidR="003B167F" w:rsidRDefault="003B167F" w:rsidP="00397BAA">
      <w:pPr>
        <w:pStyle w:val="Heading1"/>
      </w:pPr>
      <w:bookmarkStart w:id="71" w:name="_Toc501022061"/>
      <w:r w:rsidRPr="00795CBF">
        <w:lastRenderedPageBreak/>
        <w:t>LIST OF TABLES</w:t>
      </w:r>
      <w:bookmarkEnd w:id="71"/>
    </w:p>
    <w:p w:rsidR="003B167F" w:rsidRDefault="003B167F" w:rsidP="003B167F">
      <w:pPr>
        <w:rPr>
          <w:b/>
          <w:iCs/>
          <w:color w:val="auto"/>
          <w:lang w:val="en-US"/>
        </w:rPr>
      </w:pPr>
    </w:p>
    <w:p w:rsidR="003B167F" w:rsidRPr="0045181E" w:rsidRDefault="003B167F" w:rsidP="003B167F">
      <w:pPr>
        <w:spacing w:line="240" w:lineRule="auto"/>
        <w:rPr>
          <w:rFonts w:eastAsia="Times New Roman"/>
          <w:color w:val="auto"/>
          <w:lang w:val="en-US"/>
        </w:rPr>
      </w:pPr>
      <w:r w:rsidRPr="0045181E">
        <w:rPr>
          <w:noProof/>
          <w:color w:val="auto"/>
          <w:lang w:val="en-US"/>
        </w:rPr>
        <w:t>Table 1: Guidelines for everolimus dose reduction in case of toxicity</w:t>
      </w:r>
      <w:r w:rsidRPr="0045181E">
        <w:rPr>
          <w:noProof/>
          <w:color w:val="auto"/>
          <w:lang w:val="en-US"/>
        </w:rPr>
        <w:br/>
      </w:r>
      <w:r w:rsidRPr="0045181E">
        <w:rPr>
          <w:rFonts w:eastAsia="Times New Roman"/>
          <w:color w:val="auto"/>
          <w:lang w:val="en-US"/>
        </w:rPr>
        <w:t>Table 2. Study sample size</w:t>
      </w:r>
    </w:p>
    <w:p w:rsidR="003B167F" w:rsidRPr="0045181E" w:rsidRDefault="003B167F" w:rsidP="003B167F">
      <w:pPr>
        <w:spacing w:line="240" w:lineRule="auto"/>
        <w:rPr>
          <w:lang w:val="en-US"/>
        </w:rPr>
      </w:pPr>
      <w:r w:rsidRPr="0045181E">
        <w:rPr>
          <w:lang w:val="en-US"/>
        </w:rPr>
        <w:t>Table 3. Distribution of patients by sites</w:t>
      </w:r>
    </w:p>
    <w:p w:rsidR="003B167F" w:rsidRPr="0045181E" w:rsidRDefault="003B167F" w:rsidP="0045181E">
      <w:pPr>
        <w:pStyle w:val="Caption"/>
        <w:rPr>
          <w:b w:val="0"/>
        </w:rPr>
      </w:pPr>
      <w:r w:rsidRPr="0045181E">
        <w:rPr>
          <w:b w:val="0"/>
        </w:rPr>
        <w:t>Table 4. End of Study Reason by treatment arm</w:t>
      </w:r>
    </w:p>
    <w:p w:rsidR="003B167F" w:rsidRPr="0045181E" w:rsidRDefault="003B167F" w:rsidP="003B167F">
      <w:pPr>
        <w:rPr>
          <w:lang w:val="en-US"/>
        </w:rPr>
      </w:pPr>
      <w:r w:rsidRPr="0045181E">
        <w:rPr>
          <w:color w:val="auto"/>
          <w:lang w:val="en-US"/>
        </w:rPr>
        <w:t>Table 5. Reasons for treatment discontinuation</w:t>
      </w:r>
    </w:p>
    <w:p w:rsidR="003B167F" w:rsidRPr="0045181E" w:rsidRDefault="003B167F" w:rsidP="003B167F">
      <w:pPr>
        <w:jc w:val="both"/>
        <w:rPr>
          <w:color w:val="auto"/>
          <w:lang w:val="en-US"/>
        </w:rPr>
      </w:pPr>
      <w:r w:rsidRPr="0045181E">
        <w:rPr>
          <w:color w:val="auto"/>
          <w:lang w:val="en-US"/>
        </w:rPr>
        <w:t>Table 6. Premature Withdrawal by treatment arm</w:t>
      </w:r>
    </w:p>
    <w:p w:rsidR="003B167F" w:rsidRPr="0045181E" w:rsidRDefault="003B167F" w:rsidP="003B167F">
      <w:pPr>
        <w:jc w:val="both"/>
        <w:rPr>
          <w:rFonts w:eastAsia="Times New Roman"/>
          <w:color w:val="auto"/>
          <w:kern w:val="20"/>
          <w:lang w:val="en-US" w:eastAsia="es-ES"/>
        </w:rPr>
      </w:pPr>
      <w:r w:rsidRPr="0045181E">
        <w:rPr>
          <w:rFonts w:eastAsia="Times New Roman"/>
          <w:color w:val="auto"/>
          <w:kern w:val="20"/>
          <w:lang w:val="en-US" w:eastAsia="es-ES"/>
        </w:rPr>
        <w:t>Table 7. Inclusion and exclusion criteria violation</w:t>
      </w:r>
    </w:p>
    <w:p w:rsidR="003B167F" w:rsidRPr="0045181E" w:rsidRDefault="003B167F" w:rsidP="003B167F">
      <w:pPr>
        <w:jc w:val="both"/>
        <w:rPr>
          <w:color w:val="auto"/>
          <w:lang w:val="en-US"/>
        </w:rPr>
      </w:pPr>
      <w:r w:rsidRPr="0045181E">
        <w:rPr>
          <w:color w:val="auto"/>
          <w:lang w:val="en-US"/>
        </w:rPr>
        <w:t>Table 8. Demographics by treatment arm distribution</w:t>
      </w:r>
    </w:p>
    <w:p w:rsidR="003B167F" w:rsidRPr="0045181E" w:rsidRDefault="003B167F" w:rsidP="0045181E">
      <w:pPr>
        <w:pStyle w:val="Caption"/>
        <w:rPr>
          <w:b w:val="0"/>
        </w:rPr>
      </w:pPr>
      <w:r w:rsidRPr="0045181E">
        <w:rPr>
          <w:b w:val="0"/>
        </w:rPr>
        <w:t>Table 9. Body Metrics by treatment arm</w:t>
      </w:r>
    </w:p>
    <w:p w:rsidR="003B167F" w:rsidRPr="0045181E" w:rsidRDefault="003B167F" w:rsidP="0045181E">
      <w:pPr>
        <w:pStyle w:val="Caption"/>
        <w:rPr>
          <w:b w:val="0"/>
        </w:rPr>
      </w:pPr>
      <w:r w:rsidRPr="0045181E">
        <w:rPr>
          <w:b w:val="0"/>
        </w:rPr>
        <w:t>Table 10. Vital Signs by treatment arm</w:t>
      </w:r>
    </w:p>
    <w:p w:rsidR="003B167F" w:rsidRPr="0045181E" w:rsidRDefault="003B167F" w:rsidP="0045181E">
      <w:pPr>
        <w:pStyle w:val="Caption"/>
        <w:rPr>
          <w:b w:val="0"/>
        </w:rPr>
      </w:pPr>
      <w:r w:rsidRPr="0045181E">
        <w:rPr>
          <w:b w:val="0"/>
        </w:rPr>
        <w:t>Table 11. Neurological Exam by treatment arm</w:t>
      </w:r>
    </w:p>
    <w:p w:rsidR="003B167F" w:rsidRPr="0045181E" w:rsidRDefault="003B167F" w:rsidP="0045181E">
      <w:pPr>
        <w:pStyle w:val="Caption"/>
        <w:rPr>
          <w:b w:val="0"/>
        </w:rPr>
      </w:pPr>
      <w:r w:rsidRPr="0045181E">
        <w:rPr>
          <w:b w:val="0"/>
        </w:rPr>
        <w:t>Table 12. Electrocardiogram by treatment arm</w:t>
      </w:r>
    </w:p>
    <w:p w:rsidR="003B167F" w:rsidRPr="0045181E" w:rsidRDefault="003B167F" w:rsidP="0045181E">
      <w:pPr>
        <w:pStyle w:val="Caption"/>
        <w:rPr>
          <w:b w:val="0"/>
        </w:rPr>
      </w:pPr>
      <w:r w:rsidRPr="0045181E">
        <w:rPr>
          <w:b w:val="0"/>
        </w:rPr>
        <w:t>Table 13. ECOG Scale by treatment arm</w:t>
      </w:r>
    </w:p>
    <w:p w:rsidR="003B167F" w:rsidRPr="0045181E" w:rsidRDefault="003B167F" w:rsidP="0045181E">
      <w:pPr>
        <w:pStyle w:val="Caption"/>
        <w:rPr>
          <w:b w:val="0"/>
        </w:rPr>
      </w:pPr>
      <w:r w:rsidRPr="0045181E">
        <w:rPr>
          <w:b w:val="0"/>
        </w:rPr>
        <w:t>Table 14. MSKCC Prognostic Risk Score by treatment arm</w:t>
      </w:r>
    </w:p>
    <w:p w:rsidR="003B167F" w:rsidRDefault="003B167F" w:rsidP="0045181E">
      <w:pPr>
        <w:pStyle w:val="Caption"/>
        <w:rPr>
          <w:b w:val="0"/>
        </w:rPr>
      </w:pPr>
      <w:r w:rsidRPr="0045181E">
        <w:rPr>
          <w:b w:val="0"/>
        </w:rPr>
        <w:t>Table 15. Pregnancy Test by treatment arm</w:t>
      </w:r>
    </w:p>
    <w:p w:rsidR="00EC010D" w:rsidRPr="00EC010D" w:rsidRDefault="00EC010D" w:rsidP="00EC010D">
      <w:pPr>
        <w:rPr>
          <w:lang w:val="en-US" w:eastAsia="es-ES"/>
        </w:rPr>
      </w:pPr>
      <w:r>
        <w:rPr>
          <w:lang w:val="en-US" w:eastAsia="es-ES"/>
        </w:rPr>
        <w:t xml:space="preserve">Table 16. </w:t>
      </w:r>
      <w:r w:rsidRPr="00EC010D">
        <w:rPr>
          <w:lang w:val="en-US" w:eastAsia="es-ES"/>
        </w:rPr>
        <w:t>Serum hemoglobin and platelets by treatment arm</w:t>
      </w:r>
    </w:p>
    <w:p w:rsidR="003B167F" w:rsidRPr="0045181E" w:rsidRDefault="003B167F" w:rsidP="0045181E">
      <w:pPr>
        <w:pStyle w:val="Caption"/>
        <w:rPr>
          <w:b w:val="0"/>
        </w:rPr>
      </w:pPr>
      <w:r w:rsidRPr="0045181E">
        <w:rPr>
          <w:b w:val="0"/>
        </w:rPr>
        <w:t>Table 1</w:t>
      </w:r>
      <w:r w:rsidR="00EC010D">
        <w:rPr>
          <w:b w:val="0"/>
        </w:rPr>
        <w:t>7</w:t>
      </w:r>
      <w:r w:rsidRPr="0045181E">
        <w:rPr>
          <w:b w:val="0"/>
        </w:rPr>
        <w:t>. Progression-free survival (PFS)</w:t>
      </w:r>
    </w:p>
    <w:p w:rsidR="003B167F" w:rsidRPr="0045181E" w:rsidRDefault="003B167F" w:rsidP="003B167F">
      <w:pPr>
        <w:rPr>
          <w:lang w:val="en-US"/>
        </w:rPr>
      </w:pPr>
      <w:r w:rsidRPr="0045181E">
        <w:rPr>
          <w:lang w:val="en-US"/>
        </w:rPr>
        <w:t>Table 1</w:t>
      </w:r>
      <w:r w:rsidR="00EC010D">
        <w:rPr>
          <w:lang w:val="en-US"/>
        </w:rPr>
        <w:t>8</w:t>
      </w:r>
      <w:r w:rsidRPr="0045181E">
        <w:rPr>
          <w:lang w:val="en-US"/>
        </w:rPr>
        <w:t>. Summary of AEs by treatment arm</w:t>
      </w:r>
    </w:p>
    <w:p w:rsidR="000823D8" w:rsidRPr="006D5AF2" w:rsidRDefault="000823D8" w:rsidP="003B167F">
      <w:pPr>
        <w:rPr>
          <w:lang w:val="en-US" w:eastAsia="es-ES"/>
        </w:rPr>
      </w:pPr>
    </w:p>
    <w:sectPr w:rsidR="000823D8" w:rsidRPr="006D5AF2" w:rsidSect="00C81893">
      <w:headerReference w:type="default" r:id="rId16"/>
      <w:footerReference w:type="default" r:id="rId17"/>
      <w:headerReference w:type="first" r:id="rId18"/>
      <w:footerReference w:type="first" r:id="rId19"/>
      <w:pgSz w:w="11906" w:h="16838" w:code="9"/>
      <w:pgMar w:top="1440" w:right="1080" w:bottom="1440" w:left="1080" w:header="86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BCC" w:rsidRDefault="00FF7BCC" w:rsidP="00275F63">
      <w:r>
        <w:separator/>
      </w:r>
    </w:p>
  </w:endnote>
  <w:endnote w:type="continuationSeparator" w:id="0">
    <w:p w:rsidR="00FF7BCC" w:rsidRDefault="00FF7BCC" w:rsidP="0027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BCC" w:rsidRDefault="00FF7BCC">
    <w:pPr>
      <w:pStyle w:val="Footer"/>
    </w:pPr>
  </w:p>
  <w:p w:rsidR="00FF7BCC" w:rsidRDefault="00FF7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7672601"/>
      <w:docPartObj>
        <w:docPartGallery w:val="Page Numbers (Bottom of Page)"/>
        <w:docPartUnique/>
      </w:docPartObj>
    </w:sdtPr>
    <w:sdtEndPr>
      <w:rPr>
        <w:rStyle w:val="PageNumber"/>
      </w:rPr>
    </w:sdtEndPr>
    <w:sdtContent>
      <w:sdt>
        <w:sdtPr>
          <w:rPr>
            <w:rStyle w:val="PageNumber"/>
          </w:rPr>
          <w:id w:val="1025830343"/>
          <w:docPartObj>
            <w:docPartGallery w:val="Page Numbers (Top of Page)"/>
            <w:docPartUnique/>
          </w:docPartObj>
        </w:sdtPr>
        <w:sdtEndPr>
          <w:rPr>
            <w:rStyle w:val="PageNumber"/>
          </w:rPr>
        </w:sdtEndPr>
        <w:sdtContent>
          <w:p w:rsidR="00FF7BCC" w:rsidRPr="00EC7B2C" w:rsidRDefault="00FF7BCC">
            <w:pPr>
              <w:pStyle w:val="Footer"/>
              <w:rPr>
                <w:rStyle w:val="PageNumber"/>
              </w:rPr>
            </w:pPr>
            <w:r w:rsidRPr="0086284D">
              <w:t xml:space="preserve">Page </w:t>
            </w:r>
            <w:r w:rsidRPr="0086284D">
              <w:fldChar w:fldCharType="begin"/>
            </w:r>
            <w:r w:rsidRPr="0086284D">
              <w:instrText xml:space="preserve"> PAGE </w:instrText>
            </w:r>
            <w:r w:rsidRPr="0086284D">
              <w:fldChar w:fldCharType="separate"/>
            </w:r>
            <w:r>
              <w:rPr>
                <w:noProof/>
              </w:rPr>
              <w:t>1</w:t>
            </w:r>
            <w:r w:rsidRPr="0086284D">
              <w:fldChar w:fldCharType="end"/>
            </w:r>
            <w:r w:rsidRPr="0086284D">
              <w:t xml:space="preserve"> of </w:t>
            </w:r>
            <w:r>
              <w:fldChar w:fldCharType="begin"/>
            </w:r>
            <w:r>
              <w:instrText xml:space="preserve"> NUMPAGES  </w:instrText>
            </w:r>
            <w:r>
              <w:fldChar w:fldCharType="separate"/>
            </w:r>
            <w:r>
              <w:rPr>
                <w:noProof/>
              </w:rPr>
              <w:t>10</w:t>
            </w:r>
            <w:r>
              <w:rPr>
                <w:noProof/>
              </w:rPr>
              <w:fldChar w:fldCharType="end"/>
            </w:r>
          </w:p>
        </w:sdtContent>
      </w:sdt>
    </w:sdtContent>
  </w:sdt>
  <w:p w:rsidR="00FF7BCC" w:rsidRPr="00EC7B2C" w:rsidRDefault="00FF7BCC" w:rsidP="00EC7B2C">
    <w:pPr>
      <w:pStyle w:val="Footer"/>
      <w:jc w:val="both"/>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BCC" w:rsidRDefault="00FF7BCC" w:rsidP="00275F63">
      <w:r>
        <w:separator/>
      </w:r>
    </w:p>
  </w:footnote>
  <w:footnote w:type="continuationSeparator" w:id="0">
    <w:p w:rsidR="00FF7BCC" w:rsidRDefault="00FF7BCC" w:rsidP="00275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BCC" w:rsidRDefault="00FF7BCC" w:rsidP="009A2182">
    <w:pPr>
      <w:pStyle w:val="Header"/>
    </w:pPr>
    <w:bookmarkStart w:id="69" w:name="_Hlk501009734"/>
  </w:p>
  <w:tbl>
    <w:tblPr>
      <w:tblW w:w="4991" w:type="pct"/>
      <w:tblBorders>
        <w:bottom w:val="single" w:sz="12" w:space="0" w:color="auto"/>
      </w:tblBorders>
      <w:tblCellMar>
        <w:top w:w="14" w:type="dxa"/>
        <w:left w:w="0" w:type="dxa"/>
        <w:bottom w:w="14" w:type="dxa"/>
        <w:right w:w="0" w:type="dxa"/>
      </w:tblCellMar>
      <w:tblLook w:val="01E0" w:firstRow="1" w:lastRow="1" w:firstColumn="1" w:lastColumn="1" w:noHBand="0" w:noVBand="0"/>
    </w:tblPr>
    <w:tblGrid>
      <w:gridCol w:w="5064"/>
      <w:gridCol w:w="3540"/>
    </w:tblGrid>
    <w:tr w:rsidR="00FF7BCC" w:rsidTr="009A2182">
      <w:tc>
        <w:tcPr>
          <w:tcW w:w="5064" w:type="dxa"/>
        </w:tcPr>
        <w:p w:rsidR="00FF7BCC" w:rsidRPr="00541836" w:rsidRDefault="00FF7BCC" w:rsidP="009A2182">
          <w:pPr>
            <w:pStyle w:val="Default"/>
            <w:rPr>
              <w:sz w:val="22"/>
              <w:szCs w:val="22"/>
            </w:rPr>
          </w:pPr>
          <w:r w:rsidRPr="00541836">
            <w:rPr>
              <w:sz w:val="22"/>
              <w:szCs w:val="22"/>
            </w:rPr>
            <w:t>Protocol number CRAD001LIC34T</w:t>
          </w:r>
        </w:p>
      </w:tc>
      <w:tc>
        <w:tcPr>
          <w:tcW w:w="3540" w:type="dxa"/>
        </w:tcPr>
        <w:p w:rsidR="00FF7BCC" w:rsidRDefault="00FF7BCC" w:rsidP="009A2182">
          <w:pPr>
            <w:pStyle w:val="Header"/>
          </w:pPr>
        </w:p>
      </w:tc>
    </w:tr>
    <w:tr w:rsidR="00FF7BCC" w:rsidTr="009A2182">
      <w:tc>
        <w:tcPr>
          <w:tcW w:w="5064" w:type="dxa"/>
        </w:tcPr>
        <w:p w:rsidR="00FF7BCC" w:rsidRPr="008A51A3" w:rsidRDefault="00FF7BCC" w:rsidP="009A2182">
          <w:pPr>
            <w:pStyle w:val="Header"/>
            <w:rPr>
              <w:lang w:val="en-US"/>
            </w:rPr>
          </w:pPr>
        </w:p>
      </w:tc>
      <w:tc>
        <w:tcPr>
          <w:tcW w:w="3540" w:type="dxa"/>
        </w:tcPr>
        <w:p w:rsidR="00FF7BCC" w:rsidRDefault="00FF7BCC" w:rsidP="009A2182">
          <w:pPr>
            <w:pStyle w:val="Header"/>
          </w:pPr>
          <w:r>
            <w:t xml:space="preserve">Page </w:t>
          </w:r>
          <w:r>
            <w:fldChar w:fldCharType="begin"/>
          </w:r>
          <w:r>
            <w:instrText xml:space="preserve"> PAGE </w:instrText>
          </w:r>
          <w:r>
            <w:fldChar w:fldCharType="separate"/>
          </w:r>
          <w:r w:rsidR="000E00CA">
            <w:rPr>
              <w:noProof/>
            </w:rPr>
            <w:t>46</w:t>
          </w:r>
          <w:r>
            <w:fldChar w:fldCharType="end"/>
          </w:r>
          <w:r>
            <w:t xml:space="preserve"> of </w:t>
          </w:r>
          <w:r>
            <w:fldChar w:fldCharType="begin"/>
          </w:r>
          <w:r>
            <w:instrText xml:space="preserve"> NUMPAGES </w:instrText>
          </w:r>
          <w:r>
            <w:fldChar w:fldCharType="separate"/>
          </w:r>
          <w:r w:rsidR="000E00CA">
            <w:rPr>
              <w:noProof/>
            </w:rPr>
            <w:t>52</w:t>
          </w:r>
          <w:r>
            <w:rPr>
              <w:noProof/>
            </w:rPr>
            <w:fldChar w:fldCharType="end"/>
          </w:r>
        </w:p>
      </w:tc>
    </w:tr>
    <w:tr w:rsidR="00FF7BCC" w:rsidRPr="003B6D3D" w:rsidTr="009A2182">
      <w:tc>
        <w:tcPr>
          <w:tcW w:w="5064" w:type="dxa"/>
        </w:tcPr>
        <w:p w:rsidR="00FF7BCC" w:rsidRPr="00C65397" w:rsidRDefault="00FF7BCC" w:rsidP="009A2182">
          <w:pPr>
            <w:pStyle w:val="Normal1"/>
            <w:widowControl w:val="0"/>
            <w:spacing w:line="240" w:lineRule="auto"/>
            <w:rPr>
              <w:lang w:val="en-US"/>
            </w:rPr>
          </w:pPr>
          <w:r w:rsidRPr="00C65397">
            <w:rPr>
              <w:lang w:val="en-US"/>
            </w:rPr>
            <w:t>APRO (Spanish Oncology Research group)</w:t>
          </w:r>
        </w:p>
        <w:p w:rsidR="00FF7BCC" w:rsidRDefault="00FF7BCC" w:rsidP="009A2182">
          <w:pPr>
            <w:pStyle w:val="Header"/>
            <w:rPr>
              <w:lang w:val="en-GB"/>
            </w:rPr>
          </w:pPr>
          <w:r w:rsidRPr="008A51A3">
            <w:rPr>
              <w:lang w:val="en-US"/>
            </w:rPr>
            <w:t>Clinical Study Report</w:t>
          </w:r>
          <w:r w:rsidDel="00B06146">
            <w:rPr>
              <w:lang w:val="en-GB"/>
            </w:rPr>
            <w:t xml:space="preserve"> </w:t>
          </w:r>
          <w:r>
            <w:rPr>
              <w:lang w:val="en-GB"/>
            </w:rPr>
            <w:t>ver. 1.0 Final</w:t>
          </w:r>
        </w:p>
        <w:p w:rsidR="00FF7BCC" w:rsidRPr="008A51A3" w:rsidRDefault="00FF7BCC" w:rsidP="009A2182">
          <w:pPr>
            <w:pStyle w:val="Header"/>
            <w:rPr>
              <w:lang w:val="en-US"/>
            </w:rPr>
          </w:pPr>
          <w:r w:rsidRPr="008A51A3">
            <w:rPr>
              <w:lang w:val="en-US"/>
            </w:rPr>
            <w:t>Confidential and Proprietary</w:t>
          </w:r>
        </w:p>
      </w:tc>
      <w:tc>
        <w:tcPr>
          <w:tcW w:w="3540" w:type="dxa"/>
        </w:tcPr>
        <w:p w:rsidR="00FF7BCC" w:rsidRPr="003B6D3D" w:rsidRDefault="00FF7BCC" w:rsidP="009A2182">
          <w:pPr>
            <w:pStyle w:val="Header"/>
            <w:rPr>
              <w:highlight w:val="yellow"/>
            </w:rPr>
          </w:pPr>
          <w:r w:rsidRPr="005C6AB8">
            <w:t>Date (</w:t>
          </w:r>
          <w:r>
            <w:rPr>
              <w:lang w:val="en-US"/>
            </w:rPr>
            <w:t>12-Feb-2018</w:t>
          </w:r>
          <w:r w:rsidRPr="005C6AB8">
            <w:t>)</w:t>
          </w:r>
        </w:p>
      </w:tc>
    </w:tr>
    <w:bookmarkEnd w:id="69"/>
  </w:tbl>
  <w:p w:rsidR="00FF7BCC" w:rsidRDefault="00FF7BCC" w:rsidP="009A21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991" w:type="pct"/>
      <w:tblBorders>
        <w:bottom w:val="single" w:sz="12" w:space="0" w:color="auto"/>
      </w:tblBorders>
      <w:tblCellMar>
        <w:top w:w="14" w:type="dxa"/>
        <w:left w:w="0" w:type="dxa"/>
        <w:bottom w:w="14" w:type="dxa"/>
        <w:right w:w="0" w:type="dxa"/>
      </w:tblCellMar>
      <w:tblLook w:val="01E0" w:firstRow="1" w:lastRow="1" w:firstColumn="1" w:lastColumn="1" w:noHBand="0" w:noVBand="0"/>
    </w:tblPr>
    <w:tblGrid>
      <w:gridCol w:w="5726"/>
      <w:gridCol w:w="4002"/>
    </w:tblGrid>
    <w:tr w:rsidR="00FF7BCC" w:rsidTr="003B167F">
      <w:tc>
        <w:tcPr>
          <w:tcW w:w="5726" w:type="dxa"/>
        </w:tcPr>
        <w:p w:rsidR="00FF7BCC" w:rsidRDefault="00FF7BCC" w:rsidP="003B167F">
          <w:pPr>
            <w:pStyle w:val="Default"/>
          </w:pPr>
          <w:r w:rsidRPr="00292C6D">
            <w:t>Protocol</w:t>
          </w:r>
          <w:r>
            <w:t xml:space="preserve"> number</w:t>
          </w:r>
          <w:r w:rsidRPr="00292C6D">
            <w:t xml:space="preserve"> </w:t>
          </w:r>
          <w:r>
            <w:rPr>
              <w:sz w:val="20"/>
              <w:szCs w:val="20"/>
            </w:rPr>
            <w:t>CRAD001LIC34T</w:t>
          </w:r>
        </w:p>
      </w:tc>
      <w:tc>
        <w:tcPr>
          <w:tcW w:w="4002" w:type="dxa"/>
        </w:tcPr>
        <w:p w:rsidR="00FF7BCC" w:rsidRDefault="00FF7BCC" w:rsidP="009A2182">
          <w:pPr>
            <w:pStyle w:val="Header"/>
          </w:pPr>
        </w:p>
      </w:tc>
    </w:tr>
    <w:tr w:rsidR="00FF7BCC" w:rsidTr="003B167F">
      <w:tc>
        <w:tcPr>
          <w:tcW w:w="5726" w:type="dxa"/>
        </w:tcPr>
        <w:p w:rsidR="00FF7BCC" w:rsidRPr="008A51A3" w:rsidRDefault="00FF7BCC" w:rsidP="009A2182">
          <w:pPr>
            <w:pStyle w:val="Header"/>
            <w:rPr>
              <w:lang w:val="en-US"/>
            </w:rPr>
          </w:pPr>
        </w:p>
      </w:tc>
      <w:tc>
        <w:tcPr>
          <w:tcW w:w="4002" w:type="dxa"/>
        </w:tcPr>
        <w:p w:rsidR="00FF7BCC" w:rsidRDefault="00FF7BCC" w:rsidP="009A2182">
          <w:pPr>
            <w:pStyle w:val="Header"/>
          </w:pPr>
          <w:r>
            <w:t xml:space="preserve">Page </w:t>
          </w:r>
          <w:r>
            <w:fldChar w:fldCharType="begin"/>
          </w:r>
          <w:r>
            <w:instrText xml:space="preserve"> PAGE </w:instrText>
          </w:r>
          <w:r>
            <w:fldChar w:fldCharType="separate"/>
          </w:r>
          <w:r w:rsidR="000E00CA">
            <w:rPr>
              <w:noProof/>
            </w:rPr>
            <w:t>52</w:t>
          </w:r>
          <w:r>
            <w:fldChar w:fldCharType="end"/>
          </w:r>
          <w:r>
            <w:t xml:space="preserve"> of </w:t>
          </w:r>
          <w:r>
            <w:fldChar w:fldCharType="begin"/>
          </w:r>
          <w:r>
            <w:instrText xml:space="preserve"> NUMPAGES </w:instrText>
          </w:r>
          <w:r>
            <w:fldChar w:fldCharType="separate"/>
          </w:r>
          <w:r w:rsidR="000E00CA">
            <w:rPr>
              <w:noProof/>
            </w:rPr>
            <w:t>52</w:t>
          </w:r>
          <w:r>
            <w:rPr>
              <w:noProof/>
            </w:rPr>
            <w:fldChar w:fldCharType="end"/>
          </w:r>
        </w:p>
      </w:tc>
    </w:tr>
    <w:tr w:rsidR="00FF7BCC" w:rsidRPr="003B6D3D" w:rsidTr="003B167F">
      <w:tc>
        <w:tcPr>
          <w:tcW w:w="5726" w:type="dxa"/>
        </w:tcPr>
        <w:p w:rsidR="00FF7BCC" w:rsidRPr="00C65397" w:rsidRDefault="00FF7BCC" w:rsidP="003B167F">
          <w:pPr>
            <w:pStyle w:val="Normal1"/>
            <w:widowControl w:val="0"/>
            <w:spacing w:line="240" w:lineRule="auto"/>
            <w:rPr>
              <w:lang w:val="en-US"/>
            </w:rPr>
          </w:pPr>
          <w:r w:rsidRPr="00C65397">
            <w:rPr>
              <w:lang w:val="en-US"/>
            </w:rPr>
            <w:t>APRO (Spanish Oncology Research group)</w:t>
          </w:r>
        </w:p>
        <w:p w:rsidR="002E3009" w:rsidRDefault="002E3009" w:rsidP="002E3009">
          <w:pPr>
            <w:pStyle w:val="Header"/>
            <w:rPr>
              <w:lang w:val="en-GB"/>
            </w:rPr>
          </w:pPr>
          <w:r w:rsidRPr="008A51A3">
            <w:rPr>
              <w:lang w:val="en-US"/>
            </w:rPr>
            <w:t>Clinical Study Report</w:t>
          </w:r>
          <w:r w:rsidDel="00B06146">
            <w:rPr>
              <w:lang w:val="en-GB"/>
            </w:rPr>
            <w:t xml:space="preserve"> </w:t>
          </w:r>
          <w:r>
            <w:rPr>
              <w:lang w:val="en-GB"/>
            </w:rPr>
            <w:t>ver. 1.0 Final</w:t>
          </w:r>
        </w:p>
        <w:p w:rsidR="00FF7BCC" w:rsidRPr="008A51A3" w:rsidRDefault="00FF7BCC" w:rsidP="009A2182">
          <w:pPr>
            <w:pStyle w:val="Header"/>
            <w:rPr>
              <w:lang w:val="en-US"/>
            </w:rPr>
          </w:pPr>
          <w:r w:rsidRPr="008A51A3">
            <w:rPr>
              <w:lang w:val="en-US"/>
            </w:rPr>
            <w:t>Confidential and Proprietary</w:t>
          </w:r>
        </w:p>
      </w:tc>
      <w:tc>
        <w:tcPr>
          <w:tcW w:w="4002" w:type="dxa"/>
        </w:tcPr>
        <w:p w:rsidR="00FF7BCC" w:rsidRPr="003B6D3D" w:rsidRDefault="002E3009" w:rsidP="009A2182">
          <w:pPr>
            <w:pStyle w:val="Header"/>
            <w:rPr>
              <w:highlight w:val="yellow"/>
            </w:rPr>
          </w:pPr>
          <w:r w:rsidRPr="005C6AB8">
            <w:t>Date (</w:t>
          </w:r>
          <w:r>
            <w:rPr>
              <w:lang w:val="en-US"/>
            </w:rPr>
            <w:t>12-Feb-2018</w:t>
          </w:r>
          <w:r w:rsidRPr="005C6AB8">
            <w:t>)</w:t>
          </w:r>
        </w:p>
      </w:tc>
    </w:tr>
  </w:tbl>
  <w:p w:rsidR="00FF7BCC" w:rsidRDefault="00FF7BCC" w:rsidP="009A21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BCC" w:rsidRPr="000E56FF" w:rsidRDefault="00FF7BCC" w:rsidP="009A2182">
    <w:pPr>
      <w:pStyle w:val="Header"/>
    </w:pPr>
    <w:r>
      <w:rPr>
        <w:noProof/>
      </w:rPr>
      <w:drawing>
        <wp:anchor distT="0" distB="0" distL="114300" distR="114300" simplePos="0" relativeHeight="251658240" behindDoc="0" locked="0" layoutInCell="1" allowOverlap="1">
          <wp:simplePos x="0" y="0"/>
          <wp:positionH relativeFrom="column">
            <wp:posOffset>4808137</wp:posOffset>
          </wp:positionH>
          <wp:positionV relativeFrom="page">
            <wp:posOffset>417195</wp:posOffset>
          </wp:positionV>
          <wp:extent cx="1337310" cy="2673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5" name="logo.png"/>
                  <pic:cNvPicPr/>
                </pic:nvPicPr>
                <pic:blipFill>
                  <a:blip r:embed="rId1">
                    <a:extLst>
                      <a:ext uri="{28A0092B-C50C-407E-A947-70E740481C1C}">
                        <a14:useLocalDpi xmlns:a14="http://schemas.microsoft.com/office/drawing/2010/main" val="0"/>
                      </a:ext>
                    </a:extLst>
                  </a:blip>
                  <a:stretch>
                    <a:fillRect/>
                  </a:stretch>
                </pic:blipFill>
                <pic:spPr>
                  <a:xfrm>
                    <a:off x="0" y="0"/>
                    <a:ext cx="1337310" cy="267335"/>
                  </a:xfrm>
                  <a:prstGeom prst="rect">
                    <a:avLst/>
                  </a:prstGeom>
                </pic:spPr>
              </pic:pic>
            </a:graphicData>
          </a:graphic>
        </wp:anchor>
      </w:drawing>
    </w:r>
  </w:p>
  <w:p w:rsidR="00FF7BCC" w:rsidRDefault="00FF7BCC" w:rsidP="009A2182">
    <w:pPr>
      <w:pStyle w:val="Header"/>
    </w:pPr>
  </w:p>
  <w:p w:rsidR="00FF7BCC" w:rsidRDefault="00FF7BCC" w:rsidP="00275F63">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FA4FF14"/>
    <w:lvl w:ilvl="0">
      <w:start w:val="1"/>
      <w:numFmt w:val="bullet"/>
      <w:pStyle w:val="ListBullet4"/>
      <w:lvlText w:val=""/>
      <w:lvlJc w:val="left"/>
      <w:pPr>
        <w:ind w:left="1440" w:hanging="360"/>
      </w:pPr>
      <w:rPr>
        <w:rFonts w:ascii="Wingdings" w:hAnsi="Wingdings" w:hint="default"/>
        <w:color w:val="0070B9" w:themeColor="accent5"/>
      </w:rPr>
    </w:lvl>
  </w:abstractNum>
  <w:abstractNum w:abstractNumId="1" w15:restartNumberingAfterBreak="0">
    <w:nsid w:val="FFFFFF82"/>
    <w:multiLevelType w:val="singleLevel"/>
    <w:tmpl w:val="A4C47F94"/>
    <w:lvl w:ilvl="0">
      <w:start w:val="1"/>
      <w:numFmt w:val="bullet"/>
      <w:pStyle w:val="ListBullet3"/>
      <w:lvlText w:val=""/>
      <w:lvlJc w:val="left"/>
      <w:pPr>
        <w:ind w:left="1224" w:hanging="360"/>
      </w:pPr>
      <w:rPr>
        <w:rFonts w:ascii="Wingdings" w:hAnsi="Wingdings" w:hint="default"/>
        <w:color w:val="0070B9" w:themeColor="accent5"/>
      </w:rPr>
    </w:lvl>
  </w:abstractNum>
  <w:abstractNum w:abstractNumId="2" w15:restartNumberingAfterBreak="0">
    <w:nsid w:val="FFFFFF83"/>
    <w:multiLevelType w:val="singleLevel"/>
    <w:tmpl w:val="C86440E2"/>
    <w:lvl w:ilvl="0">
      <w:start w:val="1"/>
      <w:numFmt w:val="bullet"/>
      <w:pStyle w:val="ListBullet2"/>
      <w:lvlText w:val="o"/>
      <w:lvlJc w:val="left"/>
      <w:pPr>
        <w:ind w:left="720" w:hanging="360"/>
      </w:pPr>
      <w:rPr>
        <w:rFonts w:ascii="Courier New" w:hAnsi="Courier New" w:hint="default"/>
        <w:color w:val="0070B9" w:themeColor="accent5"/>
      </w:rPr>
    </w:lvl>
  </w:abstractNum>
  <w:abstractNum w:abstractNumId="3" w15:restartNumberingAfterBreak="0">
    <w:nsid w:val="FFFFFF88"/>
    <w:multiLevelType w:val="singleLevel"/>
    <w:tmpl w:val="3F1C91F0"/>
    <w:lvl w:ilvl="0">
      <w:start w:val="1"/>
      <w:numFmt w:val="decimal"/>
      <w:pStyle w:val="ListNumber"/>
      <w:lvlText w:val="%1."/>
      <w:lvlJc w:val="left"/>
      <w:pPr>
        <w:tabs>
          <w:tab w:val="num" w:pos="360"/>
        </w:tabs>
        <w:ind w:left="360" w:hanging="360"/>
      </w:pPr>
      <w:rPr>
        <w:rFonts w:asciiTheme="minorHAnsi" w:hAnsiTheme="minorHAnsi" w:hint="default"/>
        <w:b/>
        <w:i w:val="0"/>
        <w:color w:val="0070B9" w:themeColor="accent5"/>
      </w:rPr>
    </w:lvl>
  </w:abstractNum>
  <w:abstractNum w:abstractNumId="4" w15:restartNumberingAfterBreak="0">
    <w:nsid w:val="FFFFFF89"/>
    <w:multiLevelType w:val="singleLevel"/>
    <w:tmpl w:val="B69C1386"/>
    <w:lvl w:ilvl="0">
      <w:start w:val="1"/>
      <w:numFmt w:val="bullet"/>
      <w:pStyle w:val="ListBullet"/>
      <w:lvlText w:val=""/>
      <w:lvlJc w:val="left"/>
      <w:pPr>
        <w:ind w:left="360" w:hanging="360"/>
      </w:pPr>
      <w:rPr>
        <w:rFonts w:ascii="Symbol" w:hAnsi="Symbol" w:hint="default"/>
        <w:color w:val="0070B9" w:themeColor="accent5"/>
        <w:w w:val="100"/>
        <w:sz w:val="24"/>
        <w:szCs w:val="24"/>
      </w:rPr>
    </w:lvl>
  </w:abstractNum>
  <w:abstractNum w:abstractNumId="5" w15:restartNumberingAfterBreak="0">
    <w:nsid w:val="12660732"/>
    <w:multiLevelType w:val="hybridMultilevel"/>
    <w:tmpl w:val="B0C4E1EC"/>
    <w:lvl w:ilvl="0" w:tplc="993E5D50">
      <w:start w:val="1"/>
      <w:numFmt w:val="upperLetter"/>
      <w:pStyle w:val="LetterHeading"/>
      <w:lvlText w:val="%1."/>
      <w:lvlJc w:val="left"/>
      <w:pPr>
        <w:ind w:left="720" w:hanging="360"/>
      </w:pPr>
      <w:rPr>
        <w:rFonts w:ascii="Arial" w:hAnsi="Arial" w:hint="default"/>
        <w:b/>
        <w:i w:val="0"/>
        <w:color w:val="002E59" w:themeColor="accent2"/>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9B0E18"/>
    <w:multiLevelType w:val="hybridMultilevel"/>
    <w:tmpl w:val="72C8FFCE"/>
    <w:lvl w:ilvl="0" w:tplc="10DC22A4">
      <w:start w:val="1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533D1"/>
    <w:multiLevelType w:val="hybridMultilevel"/>
    <w:tmpl w:val="75DE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4D6EC0"/>
    <w:multiLevelType w:val="hybridMultilevel"/>
    <w:tmpl w:val="06BE12B8"/>
    <w:lvl w:ilvl="0" w:tplc="04090003">
      <w:start w:val="1"/>
      <w:numFmt w:val="bullet"/>
      <w:lvlText w:val="o"/>
      <w:lvlJc w:val="left"/>
      <w:pPr>
        <w:ind w:left="198" w:hanging="360"/>
      </w:pPr>
      <w:rPr>
        <w:rFonts w:ascii="Courier New" w:hAnsi="Courier New" w:cs="Courier New" w:hint="default"/>
      </w:rPr>
    </w:lvl>
    <w:lvl w:ilvl="1" w:tplc="04090003" w:tentative="1">
      <w:start w:val="1"/>
      <w:numFmt w:val="bullet"/>
      <w:lvlText w:val="o"/>
      <w:lvlJc w:val="left"/>
      <w:pPr>
        <w:ind w:left="918" w:hanging="360"/>
      </w:pPr>
      <w:rPr>
        <w:rFonts w:ascii="Courier New" w:hAnsi="Courier New" w:cs="Courier New" w:hint="default"/>
      </w:rPr>
    </w:lvl>
    <w:lvl w:ilvl="2" w:tplc="04090005" w:tentative="1">
      <w:start w:val="1"/>
      <w:numFmt w:val="bullet"/>
      <w:lvlText w:val=""/>
      <w:lvlJc w:val="left"/>
      <w:pPr>
        <w:ind w:left="1638" w:hanging="360"/>
      </w:pPr>
      <w:rPr>
        <w:rFonts w:ascii="Wingdings" w:hAnsi="Wingdings" w:hint="default"/>
      </w:rPr>
    </w:lvl>
    <w:lvl w:ilvl="3" w:tplc="04090001" w:tentative="1">
      <w:start w:val="1"/>
      <w:numFmt w:val="bullet"/>
      <w:lvlText w:val=""/>
      <w:lvlJc w:val="left"/>
      <w:pPr>
        <w:ind w:left="2358" w:hanging="360"/>
      </w:pPr>
      <w:rPr>
        <w:rFonts w:ascii="Symbol" w:hAnsi="Symbol" w:hint="default"/>
      </w:rPr>
    </w:lvl>
    <w:lvl w:ilvl="4" w:tplc="04090003" w:tentative="1">
      <w:start w:val="1"/>
      <w:numFmt w:val="bullet"/>
      <w:lvlText w:val="o"/>
      <w:lvlJc w:val="left"/>
      <w:pPr>
        <w:ind w:left="3078" w:hanging="360"/>
      </w:pPr>
      <w:rPr>
        <w:rFonts w:ascii="Courier New" w:hAnsi="Courier New" w:cs="Courier New" w:hint="default"/>
      </w:rPr>
    </w:lvl>
    <w:lvl w:ilvl="5" w:tplc="04090005" w:tentative="1">
      <w:start w:val="1"/>
      <w:numFmt w:val="bullet"/>
      <w:lvlText w:val=""/>
      <w:lvlJc w:val="left"/>
      <w:pPr>
        <w:ind w:left="3798" w:hanging="360"/>
      </w:pPr>
      <w:rPr>
        <w:rFonts w:ascii="Wingdings" w:hAnsi="Wingdings" w:hint="default"/>
      </w:rPr>
    </w:lvl>
    <w:lvl w:ilvl="6" w:tplc="04090001" w:tentative="1">
      <w:start w:val="1"/>
      <w:numFmt w:val="bullet"/>
      <w:lvlText w:val=""/>
      <w:lvlJc w:val="left"/>
      <w:pPr>
        <w:ind w:left="4518" w:hanging="360"/>
      </w:pPr>
      <w:rPr>
        <w:rFonts w:ascii="Symbol" w:hAnsi="Symbol" w:hint="default"/>
      </w:rPr>
    </w:lvl>
    <w:lvl w:ilvl="7" w:tplc="04090003" w:tentative="1">
      <w:start w:val="1"/>
      <w:numFmt w:val="bullet"/>
      <w:lvlText w:val="o"/>
      <w:lvlJc w:val="left"/>
      <w:pPr>
        <w:ind w:left="5238" w:hanging="360"/>
      </w:pPr>
      <w:rPr>
        <w:rFonts w:ascii="Courier New" w:hAnsi="Courier New" w:cs="Courier New" w:hint="default"/>
      </w:rPr>
    </w:lvl>
    <w:lvl w:ilvl="8" w:tplc="04090005" w:tentative="1">
      <w:start w:val="1"/>
      <w:numFmt w:val="bullet"/>
      <w:lvlText w:val=""/>
      <w:lvlJc w:val="left"/>
      <w:pPr>
        <w:ind w:left="5958" w:hanging="360"/>
      </w:pPr>
      <w:rPr>
        <w:rFonts w:ascii="Wingdings" w:hAnsi="Wingdings" w:hint="default"/>
      </w:rPr>
    </w:lvl>
  </w:abstractNum>
  <w:abstractNum w:abstractNumId="9" w15:restartNumberingAfterBreak="0">
    <w:nsid w:val="42FB5C97"/>
    <w:multiLevelType w:val="hybridMultilevel"/>
    <w:tmpl w:val="955EC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61334F"/>
    <w:multiLevelType w:val="hybridMultilevel"/>
    <w:tmpl w:val="50CE73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297233"/>
    <w:multiLevelType w:val="hybridMultilevel"/>
    <w:tmpl w:val="9BB4E5B0"/>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2" w15:restartNumberingAfterBreak="0">
    <w:nsid w:val="68A71325"/>
    <w:multiLevelType w:val="hybridMultilevel"/>
    <w:tmpl w:val="57A83CDC"/>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 w15:restartNumberingAfterBreak="0">
    <w:nsid w:val="6B6850CF"/>
    <w:multiLevelType w:val="hybridMultilevel"/>
    <w:tmpl w:val="0C86D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5D7E1A"/>
    <w:multiLevelType w:val="hybridMultilevel"/>
    <w:tmpl w:val="4402528E"/>
    <w:lvl w:ilvl="0" w:tplc="9A9247BC">
      <w:start w:val="1"/>
      <w:numFmt w:val="decimal"/>
      <w:lvlText w:val="%1."/>
      <w:lvlJc w:val="left"/>
      <w:pPr>
        <w:ind w:left="720" w:hanging="360"/>
      </w:pPr>
      <w:rPr>
        <w:rFonts w:ascii="Calibri" w:eastAsia="Times New Roman"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5434F5C"/>
    <w:multiLevelType w:val="multilevel"/>
    <w:tmpl w:val="B11E5B54"/>
    <w:lvl w:ilvl="0">
      <w:start w:val="1"/>
      <w:numFmt w:val="decimal"/>
      <w:pStyle w:val="Heading1"/>
      <w:lvlText w:val="%1."/>
      <w:lvlJc w:val="left"/>
      <w:pPr>
        <w:ind w:left="0" w:firstLine="0"/>
      </w:pPr>
      <w:rPr>
        <w:rFonts w:hint="default"/>
      </w:rPr>
    </w:lvl>
    <w:lvl w:ilvl="1">
      <w:start w:val="1"/>
      <w:numFmt w:val="decimal"/>
      <w:pStyle w:val="Heading2"/>
      <w:lvlText w:val="%1.%2"/>
      <w:lvlJc w:val="left"/>
      <w:pPr>
        <w:ind w:left="0" w:firstLine="0"/>
      </w:pPr>
      <w:rPr>
        <w:rFonts w:hint="default"/>
        <w:b/>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54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16" w15:restartNumberingAfterBreak="0">
    <w:nsid w:val="78F10052"/>
    <w:multiLevelType w:val="hybridMultilevel"/>
    <w:tmpl w:val="06B6C588"/>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0"/>
  </w:num>
  <w:num w:numId="6">
    <w:abstractNumId w:val="3"/>
  </w:num>
  <w:num w:numId="7">
    <w:abstractNumId w:val="15"/>
  </w:num>
  <w:num w:numId="8">
    <w:abstractNumId w:val="14"/>
    <w:lvlOverride w:ilvl="0">
      <w:startOverride w:val="1"/>
    </w:lvlOverride>
    <w:lvlOverride w:ilvl="1"/>
    <w:lvlOverride w:ilvl="2"/>
    <w:lvlOverride w:ilvl="3"/>
    <w:lvlOverride w:ilvl="4"/>
    <w:lvlOverride w:ilvl="5"/>
    <w:lvlOverride w:ilvl="6"/>
    <w:lvlOverride w:ilvl="7"/>
    <w:lvlOverride w:ilvl="8"/>
  </w:num>
  <w:num w:numId="9">
    <w:abstractNumId w:val="6"/>
  </w:num>
  <w:num w:numId="10">
    <w:abstractNumId w:val="9"/>
  </w:num>
  <w:num w:numId="11">
    <w:abstractNumId w:val="7"/>
  </w:num>
  <w:num w:numId="12">
    <w:abstractNumId w:val="8"/>
  </w:num>
  <w:num w:numId="13">
    <w:abstractNumId w:val="16"/>
  </w:num>
  <w:num w:numId="14">
    <w:abstractNumId w:val="12"/>
  </w:num>
  <w:num w:numId="15">
    <w:abstractNumId w:val="11"/>
  </w:num>
  <w:num w:numId="16">
    <w:abstractNumId w:val="10"/>
  </w:num>
  <w:num w:numId="17">
    <w:abstractNumId w:val="4"/>
  </w:num>
  <w:num w:numId="1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stylePaneSortMethod w:val="0004"/>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67F"/>
    <w:rsid w:val="00002F5D"/>
    <w:rsid w:val="00004967"/>
    <w:rsid w:val="00004E2E"/>
    <w:rsid w:val="000064F4"/>
    <w:rsid w:val="0000652C"/>
    <w:rsid w:val="00007B66"/>
    <w:rsid w:val="00011301"/>
    <w:rsid w:val="0001304A"/>
    <w:rsid w:val="0001365B"/>
    <w:rsid w:val="00013840"/>
    <w:rsid w:val="00014D67"/>
    <w:rsid w:val="00015C3A"/>
    <w:rsid w:val="00017DC7"/>
    <w:rsid w:val="000212DC"/>
    <w:rsid w:val="0002222D"/>
    <w:rsid w:val="000246F3"/>
    <w:rsid w:val="00031F46"/>
    <w:rsid w:val="00032047"/>
    <w:rsid w:val="00032835"/>
    <w:rsid w:val="000357A8"/>
    <w:rsid w:val="000411C8"/>
    <w:rsid w:val="00044C12"/>
    <w:rsid w:val="000456D8"/>
    <w:rsid w:val="00045BE5"/>
    <w:rsid w:val="00046F70"/>
    <w:rsid w:val="0004744B"/>
    <w:rsid w:val="00056674"/>
    <w:rsid w:val="000574DE"/>
    <w:rsid w:val="00062D09"/>
    <w:rsid w:val="00063275"/>
    <w:rsid w:val="0007377F"/>
    <w:rsid w:val="0007649C"/>
    <w:rsid w:val="000823D8"/>
    <w:rsid w:val="000848B7"/>
    <w:rsid w:val="00086E12"/>
    <w:rsid w:val="00092D5C"/>
    <w:rsid w:val="000946EE"/>
    <w:rsid w:val="00094BBC"/>
    <w:rsid w:val="000954BD"/>
    <w:rsid w:val="000A3171"/>
    <w:rsid w:val="000A748A"/>
    <w:rsid w:val="000B0840"/>
    <w:rsid w:val="000B5800"/>
    <w:rsid w:val="000D0F5B"/>
    <w:rsid w:val="000D6514"/>
    <w:rsid w:val="000D6EAF"/>
    <w:rsid w:val="000E00CA"/>
    <w:rsid w:val="000E143E"/>
    <w:rsid w:val="000E3B6B"/>
    <w:rsid w:val="000E54F0"/>
    <w:rsid w:val="000E56FF"/>
    <w:rsid w:val="000E5852"/>
    <w:rsid w:val="000F1C66"/>
    <w:rsid w:val="000F37F6"/>
    <w:rsid w:val="000F3A17"/>
    <w:rsid w:val="000F4A4D"/>
    <w:rsid w:val="000F5732"/>
    <w:rsid w:val="000F7C66"/>
    <w:rsid w:val="001029B6"/>
    <w:rsid w:val="00110542"/>
    <w:rsid w:val="00110DDD"/>
    <w:rsid w:val="00113DC3"/>
    <w:rsid w:val="00121513"/>
    <w:rsid w:val="001260A9"/>
    <w:rsid w:val="00126292"/>
    <w:rsid w:val="00136E18"/>
    <w:rsid w:val="00137A35"/>
    <w:rsid w:val="001405AC"/>
    <w:rsid w:val="00140E4D"/>
    <w:rsid w:val="00143FE0"/>
    <w:rsid w:val="0014498A"/>
    <w:rsid w:val="00156252"/>
    <w:rsid w:val="001615ED"/>
    <w:rsid w:val="00162655"/>
    <w:rsid w:val="00163677"/>
    <w:rsid w:val="00164F34"/>
    <w:rsid w:val="00166638"/>
    <w:rsid w:val="001849B5"/>
    <w:rsid w:val="00184FB1"/>
    <w:rsid w:val="001900A4"/>
    <w:rsid w:val="001A0E89"/>
    <w:rsid w:val="001A246D"/>
    <w:rsid w:val="001A2508"/>
    <w:rsid w:val="001A4DF3"/>
    <w:rsid w:val="001A4EDF"/>
    <w:rsid w:val="001B1878"/>
    <w:rsid w:val="001B385B"/>
    <w:rsid w:val="001C3E8B"/>
    <w:rsid w:val="001C52ED"/>
    <w:rsid w:val="001C68DB"/>
    <w:rsid w:val="001E1C60"/>
    <w:rsid w:val="001E456B"/>
    <w:rsid w:val="001E5D07"/>
    <w:rsid w:val="001E5FBC"/>
    <w:rsid w:val="001F05F6"/>
    <w:rsid w:val="001F45B4"/>
    <w:rsid w:val="001F5929"/>
    <w:rsid w:val="001F5DAC"/>
    <w:rsid w:val="00201813"/>
    <w:rsid w:val="00201821"/>
    <w:rsid w:val="00203C4F"/>
    <w:rsid w:val="00205B47"/>
    <w:rsid w:val="00215E5C"/>
    <w:rsid w:val="002169AF"/>
    <w:rsid w:val="00217E75"/>
    <w:rsid w:val="00221863"/>
    <w:rsid w:val="00223340"/>
    <w:rsid w:val="0022339F"/>
    <w:rsid w:val="00225ED6"/>
    <w:rsid w:val="002317AA"/>
    <w:rsid w:val="00235BA0"/>
    <w:rsid w:val="00237DC4"/>
    <w:rsid w:val="00240561"/>
    <w:rsid w:val="002405FB"/>
    <w:rsid w:val="00240EA7"/>
    <w:rsid w:val="0024237D"/>
    <w:rsid w:val="002441B7"/>
    <w:rsid w:val="0026654F"/>
    <w:rsid w:val="00266EDD"/>
    <w:rsid w:val="00267A5F"/>
    <w:rsid w:val="002702CC"/>
    <w:rsid w:val="00272C08"/>
    <w:rsid w:val="00275F63"/>
    <w:rsid w:val="0027618A"/>
    <w:rsid w:val="00276A4A"/>
    <w:rsid w:val="00276FE9"/>
    <w:rsid w:val="002904EC"/>
    <w:rsid w:val="00290834"/>
    <w:rsid w:val="00290B6E"/>
    <w:rsid w:val="002932F3"/>
    <w:rsid w:val="0029334C"/>
    <w:rsid w:val="00293B5A"/>
    <w:rsid w:val="00295441"/>
    <w:rsid w:val="00297DD1"/>
    <w:rsid w:val="002A0CC9"/>
    <w:rsid w:val="002A472C"/>
    <w:rsid w:val="002A4CCC"/>
    <w:rsid w:val="002B1A9E"/>
    <w:rsid w:val="002B3CF4"/>
    <w:rsid w:val="002B5E50"/>
    <w:rsid w:val="002B5E7C"/>
    <w:rsid w:val="002C0DDD"/>
    <w:rsid w:val="002C6C38"/>
    <w:rsid w:val="002C6EAB"/>
    <w:rsid w:val="002D203F"/>
    <w:rsid w:val="002D2302"/>
    <w:rsid w:val="002D2DA5"/>
    <w:rsid w:val="002D4FCD"/>
    <w:rsid w:val="002D721C"/>
    <w:rsid w:val="002D7CC3"/>
    <w:rsid w:val="002E3009"/>
    <w:rsid w:val="002E765E"/>
    <w:rsid w:val="002F105E"/>
    <w:rsid w:val="002F19DD"/>
    <w:rsid w:val="002F2F95"/>
    <w:rsid w:val="002F7DD5"/>
    <w:rsid w:val="0030081F"/>
    <w:rsid w:val="00302691"/>
    <w:rsid w:val="00302693"/>
    <w:rsid w:val="00302E01"/>
    <w:rsid w:val="0030433D"/>
    <w:rsid w:val="003078A8"/>
    <w:rsid w:val="00310F8D"/>
    <w:rsid w:val="00312E1F"/>
    <w:rsid w:val="003231E7"/>
    <w:rsid w:val="0032422F"/>
    <w:rsid w:val="0032503C"/>
    <w:rsid w:val="003309EA"/>
    <w:rsid w:val="003354F1"/>
    <w:rsid w:val="00335948"/>
    <w:rsid w:val="00340877"/>
    <w:rsid w:val="00341819"/>
    <w:rsid w:val="00347D67"/>
    <w:rsid w:val="003511B7"/>
    <w:rsid w:val="003560C0"/>
    <w:rsid w:val="003571D1"/>
    <w:rsid w:val="00360D1E"/>
    <w:rsid w:val="00361394"/>
    <w:rsid w:val="00363712"/>
    <w:rsid w:val="003653FA"/>
    <w:rsid w:val="00367FDE"/>
    <w:rsid w:val="003724A0"/>
    <w:rsid w:val="00373309"/>
    <w:rsid w:val="00376330"/>
    <w:rsid w:val="00381674"/>
    <w:rsid w:val="00382F92"/>
    <w:rsid w:val="003838B2"/>
    <w:rsid w:val="003873BC"/>
    <w:rsid w:val="003914A2"/>
    <w:rsid w:val="00395E82"/>
    <w:rsid w:val="00397BAA"/>
    <w:rsid w:val="003A4E1A"/>
    <w:rsid w:val="003A69B3"/>
    <w:rsid w:val="003B0B5D"/>
    <w:rsid w:val="003B1128"/>
    <w:rsid w:val="003B13F8"/>
    <w:rsid w:val="003B167F"/>
    <w:rsid w:val="003B6851"/>
    <w:rsid w:val="003B7E2A"/>
    <w:rsid w:val="003C0EAF"/>
    <w:rsid w:val="003D08A4"/>
    <w:rsid w:val="003D5232"/>
    <w:rsid w:val="003E4306"/>
    <w:rsid w:val="003F0561"/>
    <w:rsid w:val="003F1061"/>
    <w:rsid w:val="003F13BF"/>
    <w:rsid w:val="003F2590"/>
    <w:rsid w:val="003F3877"/>
    <w:rsid w:val="003F5335"/>
    <w:rsid w:val="00400E3A"/>
    <w:rsid w:val="004116FA"/>
    <w:rsid w:val="0041185C"/>
    <w:rsid w:val="00412843"/>
    <w:rsid w:val="00413BA6"/>
    <w:rsid w:val="00416881"/>
    <w:rsid w:val="00416B37"/>
    <w:rsid w:val="00420913"/>
    <w:rsid w:val="00422DB4"/>
    <w:rsid w:val="004245DD"/>
    <w:rsid w:val="00431496"/>
    <w:rsid w:val="00431B67"/>
    <w:rsid w:val="00433555"/>
    <w:rsid w:val="00440898"/>
    <w:rsid w:val="0044583F"/>
    <w:rsid w:val="00447847"/>
    <w:rsid w:val="00447AFF"/>
    <w:rsid w:val="00450BA1"/>
    <w:rsid w:val="0045181E"/>
    <w:rsid w:val="00461642"/>
    <w:rsid w:val="004632BB"/>
    <w:rsid w:val="00471569"/>
    <w:rsid w:val="0047240C"/>
    <w:rsid w:val="00472AD8"/>
    <w:rsid w:val="004736A7"/>
    <w:rsid w:val="00474B58"/>
    <w:rsid w:val="0048229C"/>
    <w:rsid w:val="00482BFE"/>
    <w:rsid w:val="00482CA9"/>
    <w:rsid w:val="0048645F"/>
    <w:rsid w:val="00487777"/>
    <w:rsid w:val="004913D5"/>
    <w:rsid w:val="004979BE"/>
    <w:rsid w:val="004A3E24"/>
    <w:rsid w:val="004B0907"/>
    <w:rsid w:val="004B15AA"/>
    <w:rsid w:val="004B3307"/>
    <w:rsid w:val="004B385D"/>
    <w:rsid w:val="004C2AD9"/>
    <w:rsid w:val="004C3C72"/>
    <w:rsid w:val="004C47A8"/>
    <w:rsid w:val="004C4835"/>
    <w:rsid w:val="004D34B1"/>
    <w:rsid w:val="004D7467"/>
    <w:rsid w:val="004E05E0"/>
    <w:rsid w:val="004E246D"/>
    <w:rsid w:val="004E2632"/>
    <w:rsid w:val="004E68D2"/>
    <w:rsid w:val="004F1802"/>
    <w:rsid w:val="004F3B01"/>
    <w:rsid w:val="0050157B"/>
    <w:rsid w:val="005049FF"/>
    <w:rsid w:val="0050731D"/>
    <w:rsid w:val="00515F85"/>
    <w:rsid w:val="005171DB"/>
    <w:rsid w:val="005175C3"/>
    <w:rsid w:val="005259E3"/>
    <w:rsid w:val="00525FFC"/>
    <w:rsid w:val="005265E1"/>
    <w:rsid w:val="00530947"/>
    <w:rsid w:val="00534591"/>
    <w:rsid w:val="00534C46"/>
    <w:rsid w:val="00536B4D"/>
    <w:rsid w:val="00537825"/>
    <w:rsid w:val="00541836"/>
    <w:rsid w:val="0054259D"/>
    <w:rsid w:val="0054393D"/>
    <w:rsid w:val="005522A9"/>
    <w:rsid w:val="00552E63"/>
    <w:rsid w:val="00561AB5"/>
    <w:rsid w:val="00571B51"/>
    <w:rsid w:val="005727EB"/>
    <w:rsid w:val="005750F4"/>
    <w:rsid w:val="00575F2A"/>
    <w:rsid w:val="005778A0"/>
    <w:rsid w:val="005843B5"/>
    <w:rsid w:val="0059283A"/>
    <w:rsid w:val="005A0FAE"/>
    <w:rsid w:val="005A2A50"/>
    <w:rsid w:val="005A5B90"/>
    <w:rsid w:val="005A6E06"/>
    <w:rsid w:val="005A7793"/>
    <w:rsid w:val="005B0C98"/>
    <w:rsid w:val="005B4B11"/>
    <w:rsid w:val="005B7C96"/>
    <w:rsid w:val="005C3008"/>
    <w:rsid w:val="005C381F"/>
    <w:rsid w:val="005D1502"/>
    <w:rsid w:val="005E14FE"/>
    <w:rsid w:val="005E5A6D"/>
    <w:rsid w:val="005E5D7A"/>
    <w:rsid w:val="005E6C35"/>
    <w:rsid w:val="005F1C2C"/>
    <w:rsid w:val="005F252D"/>
    <w:rsid w:val="005F7112"/>
    <w:rsid w:val="00602314"/>
    <w:rsid w:val="00602F19"/>
    <w:rsid w:val="00603018"/>
    <w:rsid w:val="006078E1"/>
    <w:rsid w:val="006112F7"/>
    <w:rsid w:val="0061303E"/>
    <w:rsid w:val="00613E0D"/>
    <w:rsid w:val="006252DA"/>
    <w:rsid w:val="00631A78"/>
    <w:rsid w:val="006320C7"/>
    <w:rsid w:val="00634F0B"/>
    <w:rsid w:val="006374D6"/>
    <w:rsid w:val="00640FF5"/>
    <w:rsid w:val="006424A9"/>
    <w:rsid w:val="00642BD6"/>
    <w:rsid w:val="00642C15"/>
    <w:rsid w:val="006434C1"/>
    <w:rsid w:val="006442AF"/>
    <w:rsid w:val="00646553"/>
    <w:rsid w:val="00651074"/>
    <w:rsid w:val="006513EF"/>
    <w:rsid w:val="0065436C"/>
    <w:rsid w:val="00654A9D"/>
    <w:rsid w:val="0065598A"/>
    <w:rsid w:val="0065704F"/>
    <w:rsid w:val="006719A6"/>
    <w:rsid w:val="00671D78"/>
    <w:rsid w:val="006743C6"/>
    <w:rsid w:val="00675695"/>
    <w:rsid w:val="0067597C"/>
    <w:rsid w:val="006823C6"/>
    <w:rsid w:val="00683997"/>
    <w:rsid w:val="00686A1A"/>
    <w:rsid w:val="0069068D"/>
    <w:rsid w:val="00696BDF"/>
    <w:rsid w:val="006A32AE"/>
    <w:rsid w:val="006A53A9"/>
    <w:rsid w:val="006A6E57"/>
    <w:rsid w:val="006B2C4B"/>
    <w:rsid w:val="006B7AC4"/>
    <w:rsid w:val="006D7451"/>
    <w:rsid w:val="006E03DC"/>
    <w:rsid w:val="006E51A8"/>
    <w:rsid w:val="006E7B40"/>
    <w:rsid w:val="006F448E"/>
    <w:rsid w:val="006F758A"/>
    <w:rsid w:val="00700E28"/>
    <w:rsid w:val="00701232"/>
    <w:rsid w:val="0070174D"/>
    <w:rsid w:val="00703DF9"/>
    <w:rsid w:val="007044A4"/>
    <w:rsid w:val="00704C39"/>
    <w:rsid w:val="007057DB"/>
    <w:rsid w:val="00711A00"/>
    <w:rsid w:val="00712143"/>
    <w:rsid w:val="007136E3"/>
    <w:rsid w:val="007167FA"/>
    <w:rsid w:val="00721889"/>
    <w:rsid w:val="00723708"/>
    <w:rsid w:val="00723AC6"/>
    <w:rsid w:val="00724DAD"/>
    <w:rsid w:val="00726BDC"/>
    <w:rsid w:val="00727F5A"/>
    <w:rsid w:val="00733B6B"/>
    <w:rsid w:val="00734F67"/>
    <w:rsid w:val="0073543C"/>
    <w:rsid w:val="00736B7F"/>
    <w:rsid w:val="00741FB8"/>
    <w:rsid w:val="00753ABA"/>
    <w:rsid w:val="007570FF"/>
    <w:rsid w:val="00760F4A"/>
    <w:rsid w:val="00761F52"/>
    <w:rsid w:val="00766B1A"/>
    <w:rsid w:val="00775B5D"/>
    <w:rsid w:val="00775D5C"/>
    <w:rsid w:val="0077687C"/>
    <w:rsid w:val="00776DF6"/>
    <w:rsid w:val="007774C5"/>
    <w:rsid w:val="007800EA"/>
    <w:rsid w:val="0078148D"/>
    <w:rsid w:val="0078571B"/>
    <w:rsid w:val="00786F86"/>
    <w:rsid w:val="00790A61"/>
    <w:rsid w:val="0079109D"/>
    <w:rsid w:val="007911A0"/>
    <w:rsid w:val="0079390B"/>
    <w:rsid w:val="007959B5"/>
    <w:rsid w:val="007A3E4A"/>
    <w:rsid w:val="007A617E"/>
    <w:rsid w:val="007A6D27"/>
    <w:rsid w:val="007B788A"/>
    <w:rsid w:val="007B7AAE"/>
    <w:rsid w:val="007B7C76"/>
    <w:rsid w:val="007C3823"/>
    <w:rsid w:val="007C423E"/>
    <w:rsid w:val="007C6969"/>
    <w:rsid w:val="007C7E25"/>
    <w:rsid w:val="007E0CC0"/>
    <w:rsid w:val="007E395C"/>
    <w:rsid w:val="007E481A"/>
    <w:rsid w:val="007E6060"/>
    <w:rsid w:val="007E6D1C"/>
    <w:rsid w:val="007F14C0"/>
    <w:rsid w:val="007F5984"/>
    <w:rsid w:val="007F6A66"/>
    <w:rsid w:val="007F74FE"/>
    <w:rsid w:val="00801A9E"/>
    <w:rsid w:val="00801E4F"/>
    <w:rsid w:val="008061C7"/>
    <w:rsid w:val="00806881"/>
    <w:rsid w:val="0081715F"/>
    <w:rsid w:val="00823D5F"/>
    <w:rsid w:val="008256F2"/>
    <w:rsid w:val="00826A7F"/>
    <w:rsid w:val="008277F0"/>
    <w:rsid w:val="00831E8C"/>
    <w:rsid w:val="008355E5"/>
    <w:rsid w:val="00843063"/>
    <w:rsid w:val="0084349B"/>
    <w:rsid w:val="00843F9D"/>
    <w:rsid w:val="00846269"/>
    <w:rsid w:val="00847600"/>
    <w:rsid w:val="00850BF7"/>
    <w:rsid w:val="00854CBF"/>
    <w:rsid w:val="008568C9"/>
    <w:rsid w:val="00856A9E"/>
    <w:rsid w:val="00857837"/>
    <w:rsid w:val="0086002D"/>
    <w:rsid w:val="0086284D"/>
    <w:rsid w:val="0086399B"/>
    <w:rsid w:val="00863DEC"/>
    <w:rsid w:val="00864C61"/>
    <w:rsid w:val="00866909"/>
    <w:rsid w:val="008719D3"/>
    <w:rsid w:val="008757F3"/>
    <w:rsid w:val="00881710"/>
    <w:rsid w:val="00894D50"/>
    <w:rsid w:val="00894F16"/>
    <w:rsid w:val="00896760"/>
    <w:rsid w:val="008A19D5"/>
    <w:rsid w:val="008A559C"/>
    <w:rsid w:val="008B182F"/>
    <w:rsid w:val="008C4BE7"/>
    <w:rsid w:val="008C608A"/>
    <w:rsid w:val="008D4B44"/>
    <w:rsid w:val="008E00BA"/>
    <w:rsid w:val="008E7987"/>
    <w:rsid w:val="008F1456"/>
    <w:rsid w:val="008F181E"/>
    <w:rsid w:val="00901846"/>
    <w:rsid w:val="009024FE"/>
    <w:rsid w:val="009069D2"/>
    <w:rsid w:val="00913F95"/>
    <w:rsid w:val="00914F91"/>
    <w:rsid w:val="00917B03"/>
    <w:rsid w:val="00920072"/>
    <w:rsid w:val="009224BD"/>
    <w:rsid w:val="009246A4"/>
    <w:rsid w:val="00924886"/>
    <w:rsid w:val="009250F0"/>
    <w:rsid w:val="009307AD"/>
    <w:rsid w:val="00942BA6"/>
    <w:rsid w:val="00943355"/>
    <w:rsid w:val="009468D6"/>
    <w:rsid w:val="00950467"/>
    <w:rsid w:val="00953C7A"/>
    <w:rsid w:val="00957FD8"/>
    <w:rsid w:val="00966AB6"/>
    <w:rsid w:val="00971693"/>
    <w:rsid w:val="00974031"/>
    <w:rsid w:val="00974DE9"/>
    <w:rsid w:val="00974EFE"/>
    <w:rsid w:val="00981AFB"/>
    <w:rsid w:val="00984E11"/>
    <w:rsid w:val="00985271"/>
    <w:rsid w:val="0099622E"/>
    <w:rsid w:val="009A2182"/>
    <w:rsid w:val="009A5877"/>
    <w:rsid w:val="009B2B36"/>
    <w:rsid w:val="009B4FFA"/>
    <w:rsid w:val="009C66FD"/>
    <w:rsid w:val="009C699D"/>
    <w:rsid w:val="009D32EB"/>
    <w:rsid w:val="009E1EF0"/>
    <w:rsid w:val="009E2AE5"/>
    <w:rsid w:val="009E4C88"/>
    <w:rsid w:val="009F11B6"/>
    <w:rsid w:val="009F30FC"/>
    <w:rsid w:val="00A01288"/>
    <w:rsid w:val="00A14032"/>
    <w:rsid w:val="00A232A2"/>
    <w:rsid w:val="00A31FB3"/>
    <w:rsid w:val="00A32D80"/>
    <w:rsid w:val="00A32DA2"/>
    <w:rsid w:val="00A3472F"/>
    <w:rsid w:val="00A359BE"/>
    <w:rsid w:val="00A419D3"/>
    <w:rsid w:val="00A432C8"/>
    <w:rsid w:val="00A45434"/>
    <w:rsid w:val="00A50829"/>
    <w:rsid w:val="00A51AEC"/>
    <w:rsid w:val="00A51C2A"/>
    <w:rsid w:val="00A53A28"/>
    <w:rsid w:val="00A571E6"/>
    <w:rsid w:val="00A62D98"/>
    <w:rsid w:val="00A661ED"/>
    <w:rsid w:val="00A702FF"/>
    <w:rsid w:val="00A70CB0"/>
    <w:rsid w:val="00A71A76"/>
    <w:rsid w:val="00A76FC3"/>
    <w:rsid w:val="00A80BC9"/>
    <w:rsid w:val="00A8236C"/>
    <w:rsid w:val="00A8326F"/>
    <w:rsid w:val="00A86238"/>
    <w:rsid w:val="00A94E9A"/>
    <w:rsid w:val="00A958E5"/>
    <w:rsid w:val="00A965C2"/>
    <w:rsid w:val="00AA4C59"/>
    <w:rsid w:val="00AA4F59"/>
    <w:rsid w:val="00AA7D29"/>
    <w:rsid w:val="00AB365A"/>
    <w:rsid w:val="00AB3C86"/>
    <w:rsid w:val="00AB61A1"/>
    <w:rsid w:val="00AB6663"/>
    <w:rsid w:val="00AC1335"/>
    <w:rsid w:val="00AC180A"/>
    <w:rsid w:val="00AC44F6"/>
    <w:rsid w:val="00AC488A"/>
    <w:rsid w:val="00AC52E7"/>
    <w:rsid w:val="00AC5303"/>
    <w:rsid w:val="00AC5E06"/>
    <w:rsid w:val="00AD1FBC"/>
    <w:rsid w:val="00AD28D3"/>
    <w:rsid w:val="00AD60A4"/>
    <w:rsid w:val="00AE198A"/>
    <w:rsid w:val="00AE2322"/>
    <w:rsid w:val="00AF62F4"/>
    <w:rsid w:val="00B05CAD"/>
    <w:rsid w:val="00B10341"/>
    <w:rsid w:val="00B14644"/>
    <w:rsid w:val="00B155BD"/>
    <w:rsid w:val="00B15FF1"/>
    <w:rsid w:val="00B165C5"/>
    <w:rsid w:val="00B22FBC"/>
    <w:rsid w:val="00B26FC8"/>
    <w:rsid w:val="00B30D20"/>
    <w:rsid w:val="00B33679"/>
    <w:rsid w:val="00B3423A"/>
    <w:rsid w:val="00B41538"/>
    <w:rsid w:val="00B41F89"/>
    <w:rsid w:val="00B43136"/>
    <w:rsid w:val="00B450EB"/>
    <w:rsid w:val="00B5260E"/>
    <w:rsid w:val="00B536BA"/>
    <w:rsid w:val="00B5743F"/>
    <w:rsid w:val="00B57F8E"/>
    <w:rsid w:val="00B61234"/>
    <w:rsid w:val="00B645A9"/>
    <w:rsid w:val="00B7257C"/>
    <w:rsid w:val="00B757EE"/>
    <w:rsid w:val="00B847B7"/>
    <w:rsid w:val="00B85F8B"/>
    <w:rsid w:val="00B92A7F"/>
    <w:rsid w:val="00B94DC6"/>
    <w:rsid w:val="00B9633C"/>
    <w:rsid w:val="00BA30E2"/>
    <w:rsid w:val="00BA3CD7"/>
    <w:rsid w:val="00BB1B56"/>
    <w:rsid w:val="00BB3DC9"/>
    <w:rsid w:val="00BB7F3B"/>
    <w:rsid w:val="00BC17CA"/>
    <w:rsid w:val="00BC268E"/>
    <w:rsid w:val="00BC5FF4"/>
    <w:rsid w:val="00BE20DE"/>
    <w:rsid w:val="00BE4E1F"/>
    <w:rsid w:val="00BE55E8"/>
    <w:rsid w:val="00BF4C8B"/>
    <w:rsid w:val="00BF5D66"/>
    <w:rsid w:val="00BF5E61"/>
    <w:rsid w:val="00BF768A"/>
    <w:rsid w:val="00C07C84"/>
    <w:rsid w:val="00C115B3"/>
    <w:rsid w:val="00C11BF5"/>
    <w:rsid w:val="00C14A4F"/>
    <w:rsid w:val="00C15865"/>
    <w:rsid w:val="00C17201"/>
    <w:rsid w:val="00C2083A"/>
    <w:rsid w:val="00C24A11"/>
    <w:rsid w:val="00C378C6"/>
    <w:rsid w:val="00C37E0E"/>
    <w:rsid w:val="00C42BF3"/>
    <w:rsid w:val="00C51C90"/>
    <w:rsid w:val="00C55AD4"/>
    <w:rsid w:val="00C611F8"/>
    <w:rsid w:val="00C621FE"/>
    <w:rsid w:val="00C713DB"/>
    <w:rsid w:val="00C733B1"/>
    <w:rsid w:val="00C81893"/>
    <w:rsid w:val="00C9330E"/>
    <w:rsid w:val="00CA73D4"/>
    <w:rsid w:val="00CB6762"/>
    <w:rsid w:val="00CB7D62"/>
    <w:rsid w:val="00CC31CB"/>
    <w:rsid w:val="00CC5356"/>
    <w:rsid w:val="00CC5A85"/>
    <w:rsid w:val="00CC77E4"/>
    <w:rsid w:val="00CD01DE"/>
    <w:rsid w:val="00CD1BDF"/>
    <w:rsid w:val="00CD404E"/>
    <w:rsid w:val="00CD4530"/>
    <w:rsid w:val="00CD6CC3"/>
    <w:rsid w:val="00CD742C"/>
    <w:rsid w:val="00CD7B4C"/>
    <w:rsid w:val="00CF023C"/>
    <w:rsid w:val="00CF35FF"/>
    <w:rsid w:val="00CF421E"/>
    <w:rsid w:val="00CF6D45"/>
    <w:rsid w:val="00D02A34"/>
    <w:rsid w:val="00D0796C"/>
    <w:rsid w:val="00D14A36"/>
    <w:rsid w:val="00D155AA"/>
    <w:rsid w:val="00D20245"/>
    <w:rsid w:val="00D22C4D"/>
    <w:rsid w:val="00D3061C"/>
    <w:rsid w:val="00D30E29"/>
    <w:rsid w:val="00D31054"/>
    <w:rsid w:val="00D33157"/>
    <w:rsid w:val="00D35F8D"/>
    <w:rsid w:val="00D35F9D"/>
    <w:rsid w:val="00D36E5C"/>
    <w:rsid w:val="00D425FE"/>
    <w:rsid w:val="00D44DC9"/>
    <w:rsid w:val="00D47720"/>
    <w:rsid w:val="00D47A51"/>
    <w:rsid w:val="00D529D8"/>
    <w:rsid w:val="00D52CBA"/>
    <w:rsid w:val="00D54E67"/>
    <w:rsid w:val="00D5798C"/>
    <w:rsid w:val="00D61639"/>
    <w:rsid w:val="00D61702"/>
    <w:rsid w:val="00D62330"/>
    <w:rsid w:val="00D634E3"/>
    <w:rsid w:val="00D667CA"/>
    <w:rsid w:val="00D73856"/>
    <w:rsid w:val="00D73E11"/>
    <w:rsid w:val="00D74731"/>
    <w:rsid w:val="00D77E2F"/>
    <w:rsid w:val="00D82367"/>
    <w:rsid w:val="00D842BA"/>
    <w:rsid w:val="00D86366"/>
    <w:rsid w:val="00D9047D"/>
    <w:rsid w:val="00D93774"/>
    <w:rsid w:val="00DA2C37"/>
    <w:rsid w:val="00DA50F8"/>
    <w:rsid w:val="00DB48A8"/>
    <w:rsid w:val="00DB7D0D"/>
    <w:rsid w:val="00DC0655"/>
    <w:rsid w:val="00DC3AF8"/>
    <w:rsid w:val="00DC6F4C"/>
    <w:rsid w:val="00DD08FB"/>
    <w:rsid w:val="00DD5AAB"/>
    <w:rsid w:val="00DD5FB4"/>
    <w:rsid w:val="00DE376E"/>
    <w:rsid w:val="00DE5A8A"/>
    <w:rsid w:val="00DE6249"/>
    <w:rsid w:val="00DF2020"/>
    <w:rsid w:val="00DF5751"/>
    <w:rsid w:val="00DF61E8"/>
    <w:rsid w:val="00DF7B3A"/>
    <w:rsid w:val="00E009F8"/>
    <w:rsid w:val="00E023E9"/>
    <w:rsid w:val="00E03EA9"/>
    <w:rsid w:val="00E0693B"/>
    <w:rsid w:val="00E07B89"/>
    <w:rsid w:val="00E1050C"/>
    <w:rsid w:val="00E1317F"/>
    <w:rsid w:val="00E15338"/>
    <w:rsid w:val="00E21BCD"/>
    <w:rsid w:val="00E24D01"/>
    <w:rsid w:val="00E25C52"/>
    <w:rsid w:val="00E267B9"/>
    <w:rsid w:val="00E322B4"/>
    <w:rsid w:val="00E349E9"/>
    <w:rsid w:val="00E35619"/>
    <w:rsid w:val="00E36289"/>
    <w:rsid w:val="00E40680"/>
    <w:rsid w:val="00E50AB8"/>
    <w:rsid w:val="00E51A7E"/>
    <w:rsid w:val="00E56DB2"/>
    <w:rsid w:val="00E5751E"/>
    <w:rsid w:val="00E642D8"/>
    <w:rsid w:val="00E6466B"/>
    <w:rsid w:val="00E6759A"/>
    <w:rsid w:val="00E74D20"/>
    <w:rsid w:val="00E8561C"/>
    <w:rsid w:val="00E8676E"/>
    <w:rsid w:val="00E93796"/>
    <w:rsid w:val="00E954BE"/>
    <w:rsid w:val="00EA17E1"/>
    <w:rsid w:val="00EA240F"/>
    <w:rsid w:val="00EA2EDE"/>
    <w:rsid w:val="00EA6687"/>
    <w:rsid w:val="00EA7273"/>
    <w:rsid w:val="00EB05A1"/>
    <w:rsid w:val="00EB4AF7"/>
    <w:rsid w:val="00EB5D2E"/>
    <w:rsid w:val="00EB6648"/>
    <w:rsid w:val="00EC010D"/>
    <w:rsid w:val="00EC0597"/>
    <w:rsid w:val="00EC1DFA"/>
    <w:rsid w:val="00EC5098"/>
    <w:rsid w:val="00EC7B2C"/>
    <w:rsid w:val="00ED2A59"/>
    <w:rsid w:val="00ED2B0D"/>
    <w:rsid w:val="00ED3A5C"/>
    <w:rsid w:val="00ED5FCC"/>
    <w:rsid w:val="00EE0A8A"/>
    <w:rsid w:val="00EE2BFC"/>
    <w:rsid w:val="00EE32F2"/>
    <w:rsid w:val="00EE40B8"/>
    <w:rsid w:val="00EE6286"/>
    <w:rsid w:val="00EF00FC"/>
    <w:rsid w:val="00EF082D"/>
    <w:rsid w:val="00EF0CFE"/>
    <w:rsid w:val="00EF293B"/>
    <w:rsid w:val="00EF45B9"/>
    <w:rsid w:val="00F002D1"/>
    <w:rsid w:val="00F02838"/>
    <w:rsid w:val="00F04843"/>
    <w:rsid w:val="00F07390"/>
    <w:rsid w:val="00F1185B"/>
    <w:rsid w:val="00F16011"/>
    <w:rsid w:val="00F230AC"/>
    <w:rsid w:val="00F23FBF"/>
    <w:rsid w:val="00F242BE"/>
    <w:rsid w:val="00F243C9"/>
    <w:rsid w:val="00F30A86"/>
    <w:rsid w:val="00F312C8"/>
    <w:rsid w:val="00F37DA4"/>
    <w:rsid w:val="00F51A3B"/>
    <w:rsid w:val="00F52998"/>
    <w:rsid w:val="00F67B58"/>
    <w:rsid w:val="00F71FE1"/>
    <w:rsid w:val="00F72E89"/>
    <w:rsid w:val="00F740C8"/>
    <w:rsid w:val="00F76532"/>
    <w:rsid w:val="00F80010"/>
    <w:rsid w:val="00F80F5F"/>
    <w:rsid w:val="00F81B4C"/>
    <w:rsid w:val="00F8227C"/>
    <w:rsid w:val="00F86B15"/>
    <w:rsid w:val="00F86FC6"/>
    <w:rsid w:val="00F87338"/>
    <w:rsid w:val="00F9214A"/>
    <w:rsid w:val="00F93180"/>
    <w:rsid w:val="00F944F0"/>
    <w:rsid w:val="00FA20CF"/>
    <w:rsid w:val="00FA30D6"/>
    <w:rsid w:val="00FA5767"/>
    <w:rsid w:val="00FA6609"/>
    <w:rsid w:val="00FA72F1"/>
    <w:rsid w:val="00FB02F2"/>
    <w:rsid w:val="00FB1309"/>
    <w:rsid w:val="00FB4EE7"/>
    <w:rsid w:val="00FB5BB5"/>
    <w:rsid w:val="00FC3355"/>
    <w:rsid w:val="00FC4E78"/>
    <w:rsid w:val="00FC78D5"/>
    <w:rsid w:val="00FD51C4"/>
    <w:rsid w:val="00FD5BD1"/>
    <w:rsid w:val="00FE2784"/>
    <w:rsid w:val="00FE6A64"/>
    <w:rsid w:val="00FF1326"/>
    <w:rsid w:val="00FF3ABE"/>
    <w:rsid w:val="00FF7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07FCB37-4779-4D22-809E-486311E6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F3F3F" w:themeColor="text1" w:themeShade="80"/>
        <w:sz w:val="22"/>
        <w:szCs w:val="22"/>
        <w:lang w:val="en-US" w:eastAsia="en-US" w:bidi="ar-SA"/>
      </w:rPr>
    </w:rPrDefault>
    <w:pPrDefault>
      <w:pPr>
        <w:spacing w:after="160"/>
        <w:jc w:val="both"/>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uiPriority="0"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qFormat="1"/>
    <w:lsdException w:name="List Bullet 3" w:qFormat="1"/>
    <w:lsdException w:name="List Bullet 4"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qFormat="1"/>
    <w:lsdException w:name="Body Text First Indent 2" w:semiHidden="1"/>
    <w:lsdException w:name="Note Heading" w:semiHidden="1" w:unhideWhenUsed="1" w:qFormat="1"/>
    <w:lsdException w:name="Body Text 2" w:semiHidden="1" w:unhideWhenUsed="1" w:qFormat="1"/>
    <w:lsdException w:name="Body Text 3" w:semiHidden="1" w:unhideWhenUsed="1"/>
    <w:lsdException w:name="Body Text Indent 3" w:semiHidden="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67F"/>
    <w:pPr>
      <w:spacing w:after="0" w:line="276" w:lineRule="auto"/>
      <w:jc w:val="left"/>
    </w:pPr>
    <w:rPr>
      <w:rFonts w:ascii="Arial" w:eastAsia="Arial" w:hAnsi="Arial" w:cs="Arial"/>
      <w:color w:val="000000"/>
      <w:lang w:val="ru-RU" w:eastAsia="ru-RU"/>
    </w:rPr>
  </w:style>
  <w:style w:type="paragraph" w:styleId="Heading1">
    <w:name w:val="heading 1"/>
    <w:aliases w:val="Titre 11,Heading 11"/>
    <w:basedOn w:val="Normal"/>
    <w:next w:val="Normal"/>
    <w:link w:val="Heading1Char"/>
    <w:autoRedefine/>
    <w:uiPriority w:val="99"/>
    <w:qFormat/>
    <w:rsid w:val="00D9047D"/>
    <w:pPr>
      <w:numPr>
        <w:numId w:val="7"/>
      </w:numPr>
      <w:spacing w:before="360" w:after="120" w:line="240" w:lineRule="auto"/>
      <w:outlineLvl w:val="0"/>
    </w:pPr>
    <w:rPr>
      <w:rFonts w:asciiTheme="majorHAnsi" w:eastAsia="Times New Roman" w:hAnsiTheme="majorHAnsi" w:cs="Tahoma"/>
      <w:b/>
      <w:caps/>
      <w:color w:val="0070B9" w:themeColor="accent5"/>
      <w:kern w:val="28"/>
      <w:szCs w:val="20"/>
      <w:lang w:val="en-GB" w:eastAsia="es-ES"/>
    </w:rPr>
  </w:style>
  <w:style w:type="paragraph" w:styleId="Heading2">
    <w:name w:val="heading 2"/>
    <w:aliases w:val="Titre 21,Heading 21,p2"/>
    <w:basedOn w:val="Normal"/>
    <w:next w:val="Normal"/>
    <w:link w:val="Heading2Char"/>
    <w:autoRedefine/>
    <w:uiPriority w:val="99"/>
    <w:qFormat/>
    <w:rsid w:val="003A69B3"/>
    <w:pPr>
      <w:keepNext/>
      <w:numPr>
        <w:ilvl w:val="1"/>
        <w:numId w:val="7"/>
      </w:numPr>
      <w:spacing w:before="240" w:line="360" w:lineRule="auto"/>
      <w:outlineLvl w:val="1"/>
    </w:pPr>
    <w:rPr>
      <w:rFonts w:ascii="Arial Black" w:eastAsia="Times New Roman" w:hAnsi="Arial Black" w:cstheme="minorHAnsi"/>
      <w:b/>
      <w:color w:val="0070B9" w:themeColor="accent5"/>
      <w:szCs w:val="20"/>
      <w:lang w:val="en-US" w:eastAsia="es-ES"/>
    </w:rPr>
  </w:style>
  <w:style w:type="paragraph" w:styleId="Heading3">
    <w:name w:val="heading 3"/>
    <w:basedOn w:val="Normal"/>
    <w:next w:val="Normal"/>
    <w:link w:val="Heading3Char"/>
    <w:autoRedefine/>
    <w:qFormat/>
    <w:rsid w:val="000D0F5B"/>
    <w:pPr>
      <w:numPr>
        <w:ilvl w:val="2"/>
        <w:numId w:val="7"/>
      </w:numPr>
      <w:tabs>
        <w:tab w:val="left" w:pos="1152"/>
      </w:tabs>
      <w:spacing w:before="240" w:after="80" w:line="240" w:lineRule="auto"/>
      <w:ind w:right="400"/>
      <w:jc w:val="both"/>
      <w:outlineLvl w:val="2"/>
    </w:pPr>
    <w:rPr>
      <w:rFonts w:asciiTheme="majorHAnsi" w:eastAsia="Times New Roman" w:hAnsiTheme="majorHAnsi" w:cs="Tahoma"/>
      <w:color w:val="0070B9" w:themeColor="accent5"/>
      <w:szCs w:val="20"/>
      <w:lang w:val="en-GB" w:eastAsia="es-ES"/>
    </w:rPr>
  </w:style>
  <w:style w:type="paragraph" w:styleId="Heading4">
    <w:name w:val="heading 4"/>
    <w:aliases w:val="Heading 41,titre 4"/>
    <w:basedOn w:val="Normal"/>
    <w:next w:val="Normal"/>
    <w:link w:val="Heading4Char"/>
    <w:autoRedefine/>
    <w:uiPriority w:val="99"/>
    <w:qFormat/>
    <w:rsid w:val="00360D1E"/>
    <w:pPr>
      <w:numPr>
        <w:ilvl w:val="3"/>
        <w:numId w:val="7"/>
      </w:numPr>
      <w:tabs>
        <w:tab w:val="left" w:pos="1296"/>
      </w:tabs>
      <w:spacing w:before="160" w:after="40"/>
      <w:outlineLvl w:val="3"/>
    </w:pPr>
    <w:rPr>
      <w:rFonts w:asciiTheme="majorHAnsi" w:eastAsia="Times New Roman" w:hAnsiTheme="majorHAnsi" w:cs="Tahoma"/>
      <w:color w:val="0070B9" w:themeColor="accent5"/>
      <w:sz w:val="20"/>
      <w:szCs w:val="20"/>
      <w:lang w:val="en-GB" w:eastAsia="es-ES"/>
    </w:rPr>
  </w:style>
  <w:style w:type="paragraph" w:styleId="Heading5">
    <w:name w:val="heading 5"/>
    <w:basedOn w:val="Normal"/>
    <w:next w:val="Normal"/>
    <w:link w:val="Heading5Char"/>
    <w:autoRedefine/>
    <w:rsid w:val="002B3CF4"/>
    <w:pPr>
      <w:numPr>
        <w:ilvl w:val="4"/>
        <w:numId w:val="7"/>
      </w:numPr>
      <w:tabs>
        <w:tab w:val="left" w:pos="1872"/>
      </w:tabs>
      <w:spacing w:before="160" w:after="40"/>
      <w:outlineLvl w:val="4"/>
    </w:pPr>
    <w:rPr>
      <w:rFonts w:asciiTheme="majorHAnsi" w:eastAsia="Times New Roman" w:hAnsiTheme="majorHAnsi" w:cs="Tahoma"/>
      <w:color w:val="0070B9" w:themeColor="accent5"/>
      <w:sz w:val="20"/>
      <w:szCs w:val="20"/>
      <w:lang w:val="en-GB" w:eastAsia="es-ES"/>
    </w:rPr>
  </w:style>
  <w:style w:type="paragraph" w:styleId="Heading6">
    <w:name w:val="heading 6"/>
    <w:basedOn w:val="Normal"/>
    <w:next w:val="Normal"/>
    <w:link w:val="Heading6Char"/>
    <w:autoRedefine/>
    <w:rsid w:val="002B3CF4"/>
    <w:pPr>
      <w:numPr>
        <w:ilvl w:val="5"/>
        <w:numId w:val="7"/>
      </w:numPr>
      <w:spacing w:before="120" w:after="40"/>
      <w:outlineLvl w:val="5"/>
    </w:pPr>
    <w:rPr>
      <w:rFonts w:asciiTheme="majorHAnsi" w:eastAsia="Times New Roman" w:hAnsiTheme="majorHAnsi" w:cs="Tahoma"/>
      <w:i/>
      <w:color w:val="0070B9" w:themeColor="accent5"/>
      <w:sz w:val="20"/>
      <w:szCs w:val="20"/>
      <w:lang w:val="en-GB" w:eastAsia="es-ES"/>
    </w:rPr>
  </w:style>
  <w:style w:type="paragraph" w:styleId="Heading7">
    <w:name w:val="heading 7"/>
    <w:basedOn w:val="Normal"/>
    <w:next w:val="Normal"/>
    <w:link w:val="Heading7Char"/>
    <w:autoRedefine/>
    <w:rsid w:val="002B3CF4"/>
    <w:pPr>
      <w:numPr>
        <w:ilvl w:val="6"/>
        <w:numId w:val="7"/>
      </w:numPr>
      <w:tabs>
        <w:tab w:val="left" w:pos="2160"/>
      </w:tabs>
      <w:spacing w:before="160" w:after="40"/>
      <w:outlineLvl w:val="6"/>
    </w:pPr>
    <w:rPr>
      <w:rFonts w:asciiTheme="majorHAnsi" w:eastAsia="Times New Roman" w:hAnsiTheme="majorHAnsi" w:cs="Tahoma"/>
      <w:i/>
      <w:color w:val="0070B9" w:themeColor="accent5"/>
      <w:sz w:val="20"/>
      <w:szCs w:val="20"/>
      <w:lang w:val="en-GB" w:eastAsia="es-ES"/>
    </w:rPr>
  </w:style>
  <w:style w:type="paragraph" w:styleId="Heading8">
    <w:name w:val="heading 8"/>
    <w:basedOn w:val="Normal"/>
    <w:next w:val="BodyTextIndent3"/>
    <w:link w:val="Heading8Char"/>
    <w:autoRedefine/>
    <w:rsid w:val="00561AB5"/>
    <w:pPr>
      <w:numPr>
        <w:ilvl w:val="7"/>
        <w:numId w:val="7"/>
      </w:numPr>
      <w:tabs>
        <w:tab w:val="left" w:pos="2736"/>
      </w:tabs>
      <w:spacing w:before="160" w:after="40"/>
      <w:outlineLvl w:val="7"/>
    </w:pPr>
    <w:rPr>
      <w:rFonts w:asciiTheme="majorHAnsi" w:eastAsia="Times New Roman" w:hAnsiTheme="majorHAnsi" w:cs="Tahoma"/>
      <w:color w:val="0070B9" w:themeColor="accent5"/>
      <w:sz w:val="20"/>
      <w:szCs w:val="20"/>
      <w:lang w:val="en-GB" w:eastAsia="es-ES"/>
    </w:rPr>
  </w:style>
  <w:style w:type="paragraph" w:styleId="Heading9">
    <w:name w:val="heading 9"/>
    <w:basedOn w:val="Normal"/>
    <w:next w:val="BodyTextIndent3"/>
    <w:link w:val="Heading9Char"/>
    <w:autoRedefine/>
    <w:rsid w:val="00360D1E"/>
    <w:pPr>
      <w:numPr>
        <w:ilvl w:val="8"/>
        <w:numId w:val="7"/>
      </w:numPr>
      <w:tabs>
        <w:tab w:val="left" w:pos="2880"/>
      </w:tabs>
      <w:spacing w:before="160" w:after="40"/>
      <w:outlineLvl w:val="8"/>
    </w:pPr>
    <w:rPr>
      <w:rFonts w:asciiTheme="majorHAnsi" w:eastAsia="Times New Roman" w:hAnsiTheme="majorHAnsi" w:cs="Tahoma"/>
      <w:i/>
      <w:color w:val="0070B9" w:themeColor="accent5"/>
      <w:sz w:val="20"/>
      <w:szCs w:val="20"/>
      <w:lang w:val="en-GB"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Table Headings"/>
    <w:next w:val="Normal"/>
    <w:link w:val="NoSpacingChar"/>
    <w:uiPriority w:val="1"/>
    <w:rsid w:val="00B41538"/>
    <w:pPr>
      <w:spacing w:after="0"/>
    </w:pPr>
    <w:rPr>
      <w:rFonts w:cs="Arial"/>
      <w:b/>
      <w:color w:val="FFFFFF" w:themeColor="background1"/>
      <w:sz w:val="20"/>
      <w:szCs w:val="20"/>
    </w:rPr>
  </w:style>
  <w:style w:type="table" w:styleId="GridTable1Light-Accent2">
    <w:name w:val="Grid Table 1 Light Accent 2"/>
    <w:basedOn w:val="TableNormal"/>
    <w:uiPriority w:val="46"/>
    <w:rsid w:val="00B41538"/>
    <w:pPr>
      <w:spacing w:after="0"/>
    </w:pPr>
    <w:tblPr>
      <w:tblStyleRowBandSize w:val="1"/>
      <w:tblStyleColBandSize w:val="1"/>
      <w:tblBorders>
        <w:top w:val="single" w:sz="4" w:space="0" w:color="56ACFF" w:themeColor="accent2" w:themeTint="66"/>
        <w:left w:val="single" w:sz="4" w:space="0" w:color="56ACFF" w:themeColor="accent2" w:themeTint="66"/>
        <w:bottom w:val="single" w:sz="4" w:space="0" w:color="56ACFF" w:themeColor="accent2" w:themeTint="66"/>
        <w:right w:val="single" w:sz="4" w:space="0" w:color="56ACFF" w:themeColor="accent2" w:themeTint="66"/>
        <w:insideH w:val="single" w:sz="4" w:space="0" w:color="56ACFF" w:themeColor="accent2" w:themeTint="66"/>
        <w:insideV w:val="single" w:sz="4" w:space="0" w:color="56ACFF" w:themeColor="accent2" w:themeTint="66"/>
      </w:tblBorders>
    </w:tblPr>
    <w:tblStylePr w:type="firstRow">
      <w:rPr>
        <w:b/>
        <w:bCs/>
      </w:rPr>
      <w:tblPr/>
      <w:tcPr>
        <w:tcBorders>
          <w:bottom w:val="single" w:sz="12" w:space="0" w:color="0284FF" w:themeColor="accent2" w:themeTint="99"/>
        </w:tcBorders>
      </w:tcPr>
    </w:tblStylePr>
    <w:tblStylePr w:type="lastRow">
      <w:rPr>
        <w:b/>
        <w:bCs/>
      </w:rPr>
      <w:tblPr/>
      <w:tcPr>
        <w:tcBorders>
          <w:top w:val="double" w:sz="2" w:space="0" w:color="0284FF"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41538"/>
    <w:pPr>
      <w:spacing w:after="0"/>
    </w:pPr>
    <w:tblPr>
      <w:tblStyleRowBandSize w:val="1"/>
      <w:tblStyleColBandSize w:val="1"/>
      <w:tblBorders>
        <w:top w:val="single" w:sz="4" w:space="0" w:color="9AABC0" w:themeColor="accent1" w:themeTint="66"/>
        <w:left w:val="single" w:sz="4" w:space="0" w:color="9AABC0" w:themeColor="accent1" w:themeTint="66"/>
        <w:bottom w:val="single" w:sz="4" w:space="0" w:color="9AABC0" w:themeColor="accent1" w:themeTint="66"/>
        <w:right w:val="single" w:sz="4" w:space="0" w:color="9AABC0" w:themeColor="accent1" w:themeTint="66"/>
        <w:insideH w:val="single" w:sz="4" w:space="0" w:color="9AABC0" w:themeColor="accent1" w:themeTint="66"/>
        <w:insideV w:val="single" w:sz="4" w:space="0" w:color="9AABC0" w:themeColor="accent1" w:themeTint="66"/>
      </w:tblBorders>
    </w:tblPr>
    <w:tblStylePr w:type="firstRow">
      <w:rPr>
        <w:b/>
        <w:bCs/>
      </w:rPr>
      <w:tblPr/>
      <w:tcPr>
        <w:tcBorders>
          <w:bottom w:val="single" w:sz="12" w:space="0" w:color="6781A1" w:themeColor="accent1" w:themeTint="99"/>
        </w:tcBorders>
      </w:tcPr>
    </w:tblStylePr>
    <w:tblStylePr w:type="lastRow">
      <w:rPr>
        <w:b/>
        <w:bCs/>
      </w:rPr>
      <w:tblPr/>
      <w:tcPr>
        <w:tcBorders>
          <w:top w:val="double" w:sz="2" w:space="0" w:color="6781A1"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743C6"/>
    <w:pPr>
      <w:spacing w:after="0"/>
    </w:pPr>
    <w:tblPr>
      <w:tblBorders>
        <w:top w:val="single" w:sz="4" w:space="0" w:color="7F7F7F" w:themeColor="text1"/>
        <w:left w:val="single" w:sz="4" w:space="0" w:color="7F7F7F" w:themeColor="text1"/>
        <w:bottom w:val="single" w:sz="4" w:space="0" w:color="7F7F7F" w:themeColor="text1"/>
        <w:right w:val="single" w:sz="4" w:space="0" w:color="7F7F7F" w:themeColor="text1"/>
        <w:insideH w:val="single" w:sz="4" w:space="0" w:color="7F7F7F" w:themeColor="text1"/>
        <w:insideV w:val="single" w:sz="4" w:space="0" w:color="7F7F7F" w:themeColor="text1"/>
      </w:tblBorders>
    </w:tblPr>
  </w:style>
  <w:style w:type="paragraph" w:styleId="Footer">
    <w:name w:val="footer"/>
    <w:basedOn w:val="Normal"/>
    <w:link w:val="FooterChar"/>
    <w:autoRedefine/>
    <w:uiPriority w:val="99"/>
    <w:unhideWhenUsed/>
    <w:qFormat/>
    <w:rsid w:val="00C37E0E"/>
    <w:pPr>
      <w:tabs>
        <w:tab w:val="center" w:pos="4680"/>
        <w:tab w:val="right" w:pos="10080"/>
      </w:tabs>
      <w:jc w:val="right"/>
    </w:pPr>
    <w:rPr>
      <w:bCs/>
      <w:color w:val="7F7F7F" w:themeColor="text1"/>
      <w:sz w:val="16"/>
      <w:szCs w:val="24"/>
    </w:rPr>
  </w:style>
  <w:style w:type="character" w:customStyle="1" w:styleId="FooterChar">
    <w:name w:val="Footer Char"/>
    <w:basedOn w:val="DefaultParagraphFont"/>
    <w:link w:val="Footer"/>
    <w:uiPriority w:val="99"/>
    <w:rsid w:val="00C37E0E"/>
    <w:rPr>
      <w:rFonts w:cs="Arial"/>
      <w:bCs/>
      <w:color w:val="7F7F7F" w:themeColor="text1"/>
      <w:sz w:val="16"/>
      <w:szCs w:val="24"/>
    </w:rPr>
  </w:style>
  <w:style w:type="paragraph" w:styleId="Header">
    <w:name w:val="header"/>
    <w:basedOn w:val="Normal"/>
    <w:link w:val="HeaderChar"/>
    <w:autoRedefine/>
    <w:uiPriority w:val="99"/>
    <w:unhideWhenUsed/>
    <w:qFormat/>
    <w:rsid w:val="009A2182"/>
    <w:pPr>
      <w:ind w:left="142" w:hanging="90"/>
    </w:pPr>
    <w:rPr>
      <w:color w:val="7F7F7F" w:themeColor="text1"/>
      <w:sz w:val="16"/>
    </w:rPr>
  </w:style>
  <w:style w:type="character" w:customStyle="1" w:styleId="HeaderChar">
    <w:name w:val="Header Char"/>
    <w:basedOn w:val="DefaultParagraphFont"/>
    <w:link w:val="Header"/>
    <w:uiPriority w:val="99"/>
    <w:rsid w:val="009A2182"/>
    <w:rPr>
      <w:rFonts w:ascii="Arial" w:eastAsia="Arial" w:hAnsi="Arial" w:cs="Arial"/>
      <w:color w:val="7F7F7F" w:themeColor="text1"/>
      <w:sz w:val="16"/>
      <w:lang w:val="ru-RU" w:eastAsia="ru-RU"/>
    </w:rPr>
  </w:style>
  <w:style w:type="paragraph" w:styleId="BalloonText">
    <w:name w:val="Balloon Text"/>
    <w:basedOn w:val="Normal"/>
    <w:link w:val="BalloonTextChar"/>
    <w:uiPriority w:val="99"/>
    <w:semiHidden/>
    <w:unhideWhenUsed/>
    <w:rsid w:val="007F74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4FE"/>
    <w:rPr>
      <w:rFonts w:ascii="Segoe UI" w:hAnsi="Segoe UI" w:cs="Segoe UI"/>
      <w:sz w:val="18"/>
      <w:szCs w:val="18"/>
    </w:rPr>
  </w:style>
  <w:style w:type="table" w:styleId="TableGrid">
    <w:name w:val="Table Grid"/>
    <w:basedOn w:val="TableNormal"/>
    <w:rsid w:val="00C378C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06881"/>
    <w:rPr>
      <w:sz w:val="20"/>
      <w:szCs w:val="20"/>
    </w:rPr>
  </w:style>
  <w:style w:type="character" w:styleId="Hyperlink">
    <w:name w:val="Hyperlink"/>
    <w:basedOn w:val="DefaultParagraphFont"/>
    <w:uiPriority w:val="99"/>
    <w:qFormat/>
    <w:rsid w:val="003571D1"/>
    <w:rPr>
      <w:rFonts w:ascii="Arial" w:hAnsi="Arial"/>
      <w:color w:val="FD9C1B" w:themeColor="text2"/>
      <w:sz w:val="22"/>
      <w:u w:val="single"/>
    </w:rPr>
  </w:style>
  <w:style w:type="character" w:styleId="CommentReference">
    <w:name w:val="annotation reference"/>
    <w:basedOn w:val="DefaultParagraphFont"/>
    <w:uiPriority w:val="99"/>
    <w:semiHidden/>
    <w:rsid w:val="00290834"/>
    <w:rPr>
      <w:sz w:val="16"/>
      <w:szCs w:val="16"/>
    </w:rPr>
  </w:style>
  <w:style w:type="character" w:customStyle="1" w:styleId="Heading1Char">
    <w:name w:val="Heading 1 Char"/>
    <w:aliases w:val="Titre 11 Char,Heading 11 Char"/>
    <w:basedOn w:val="DefaultParagraphFont"/>
    <w:link w:val="Heading1"/>
    <w:uiPriority w:val="99"/>
    <w:rsid w:val="00D9047D"/>
    <w:rPr>
      <w:rFonts w:asciiTheme="majorHAnsi" w:eastAsia="Times New Roman" w:hAnsiTheme="majorHAnsi" w:cs="Tahoma"/>
      <w:b/>
      <w:caps/>
      <w:color w:val="0070B9" w:themeColor="accent5"/>
      <w:kern w:val="28"/>
      <w:szCs w:val="20"/>
      <w:lang w:val="en-GB" w:eastAsia="es-ES"/>
    </w:rPr>
  </w:style>
  <w:style w:type="character" w:customStyle="1" w:styleId="Heading2Char">
    <w:name w:val="Heading 2 Char"/>
    <w:aliases w:val="Titre 21 Char,Heading 21 Char,p2 Char"/>
    <w:basedOn w:val="DefaultParagraphFont"/>
    <w:link w:val="Heading2"/>
    <w:uiPriority w:val="99"/>
    <w:rsid w:val="003A69B3"/>
    <w:rPr>
      <w:rFonts w:ascii="Arial Black" w:eastAsia="Times New Roman" w:hAnsi="Arial Black" w:cstheme="minorHAnsi"/>
      <w:b/>
      <w:color w:val="0070B9" w:themeColor="accent5"/>
      <w:szCs w:val="20"/>
      <w:lang w:eastAsia="es-ES"/>
    </w:rPr>
  </w:style>
  <w:style w:type="character" w:customStyle="1" w:styleId="Heading3Char">
    <w:name w:val="Heading 3 Char"/>
    <w:basedOn w:val="DefaultParagraphFont"/>
    <w:link w:val="Heading3"/>
    <w:rsid w:val="000D0F5B"/>
    <w:rPr>
      <w:rFonts w:asciiTheme="majorHAnsi" w:eastAsia="Times New Roman" w:hAnsiTheme="majorHAnsi" w:cs="Tahoma"/>
      <w:color w:val="0070B9" w:themeColor="accent5"/>
      <w:szCs w:val="20"/>
      <w:lang w:val="en-GB" w:eastAsia="es-ES"/>
    </w:rPr>
  </w:style>
  <w:style w:type="character" w:customStyle="1" w:styleId="Heading4Char">
    <w:name w:val="Heading 4 Char"/>
    <w:aliases w:val="Heading 41 Char,titre 4 Char"/>
    <w:basedOn w:val="DefaultParagraphFont"/>
    <w:link w:val="Heading4"/>
    <w:uiPriority w:val="99"/>
    <w:rsid w:val="00360D1E"/>
    <w:rPr>
      <w:rFonts w:asciiTheme="majorHAnsi" w:eastAsia="Times New Roman" w:hAnsiTheme="majorHAnsi" w:cs="Tahoma"/>
      <w:color w:val="0070B9" w:themeColor="accent5"/>
      <w:sz w:val="20"/>
      <w:szCs w:val="20"/>
      <w:lang w:val="en-GB" w:eastAsia="es-ES"/>
    </w:rPr>
  </w:style>
  <w:style w:type="character" w:customStyle="1" w:styleId="Heading5Char">
    <w:name w:val="Heading 5 Char"/>
    <w:basedOn w:val="DefaultParagraphFont"/>
    <w:link w:val="Heading5"/>
    <w:rsid w:val="002B3CF4"/>
    <w:rPr>
      <w:rFonts w:asciiTheme="majorHAnsi" w:eastAsia="Times New Roman" w:hAnsiTheme="majorHAnsi" w:cs="Tahoma"/>
      <w:color w:val="0070B9" w:themeColor="accent5"/>
      <w:sz w:val="20"/>
      <w:szCs w:val="20"/>
      <w:lang w:val="en-GB" w:eastAsia="es-ES"/>
    </w:rPr>
  </w:style>
  <w:style w:type="character" w:customStyle="1" w:styleId="Heading6Char">
    <w:name w:val="Heading 6 Char"/>
    <w:basedOn w:val="DefaultParagraphFont"/>
    <w:link w:val="Heading6"/>
    <w:rsid w:val="002B3CF4"/>
    <w:rPr>
      <w:rFonts w:asciiTheme="majorHAnsi" w:eastAsia="Times New Roman" w:hAnsiTheme="majorHAnsi" w:cs="Tahoma"/>
      <w:i/>
      <w:color w:val="0070B9" w:themeColor="accent5"/>
      <w:sz w:val="20"/>
      <w:szCs w:val="20"/>
      <w:lang w:val="en-GB" w:eastAsia="es-ES"/>
    </w:rPr>
  </w:style>
  <w:style w:type="character" w:customStyle="1" w:styleId="Heading7Char">
    <w:name w:val="Heading 7 Char"/>
    <w:basedOn w:val="DefaultParagraphFont"/>
    <w:link w:val="Heading7"/>
    <w:rsid w:val="002B3CF4"/>
    <w:rPr>
      <w:rFonts w:asciiTheme="majorHAnsi" w:eastAsia="Times New Roman" w:hAnsiTheme="majorHAnsi" w:cs="Tahoma"/>
      <w:i/>
      <w:color w:val="0070B9" w:themeColor="accent5"/>
      <w:sz w:val="20"/>
      <w:szCs w:val="20"/>
      <w:lang w:val="en-GB" w:eastAsia="es-ES"/>
    </w:rPr>
  </w:style>
  <w:style w:type="character" w:customStyle="1" w:styleId="Heading8Char">
    <w:name w:val="Heading 8 Char"/>
    <w:basedOn w:val="DefaultParagraphFont"/>
    <w:link w:val="Heading8"/>
    <w:rsid w:val="00561AB5"/>
    <w:rPr>
      <w:rFonts w:asciiTheme="majorHAnsi" w:eastAsia="Times New Roman" w:hAnsiTheme="majorHAnsi" w:cs="Tahoma"/>
      <w:color w:val="0070B9" w:themeColor="accent5"/>
      <w:sz w:val="20"/>
      <w:szCs w:val="20"/>
      <w:lang w:val="en-GB" w:eastAsia="es-ES"/>
    </w:rPr>
  </w:style>
  <w:style w:type="character" w:customStyle="1" w:styleId="Heading9Char">
    <w:name w:val="Heading 9 Char"/>
    <w:basedOn w:val="DefaultParagraphFont"/>
    <w:link w:val="Heading9"/>
    <w:rsid w:val="00360D1E"/>
    <w:rPr>
      <w:rFonts w:asciiTheme="majorHAnsi" w:eastAsia="Times New Roman" w:hAnsiTheme="majorHAnsi" w:cs="Tahoma"/>
      <w:i/>
      <w:color w:val="0070B9" w:themeColor="accent5"/>
      <w:sz w:val="20"/>
      <w:szCs w:val="20"/>
      <w:lang w:val="en-GB" w:eastAsia="es-ES"/>
    </w:rPr>
  </w:style>
  <w:style w:type="table" w:styleId="GridTable1Light">
    <w:name w:val="Grid Table 1 Light"/>
    <w:basedOn w:val="TableNormal"/>
    <w:uiPriority w:val="46"/>
    <w:rsid w:val="008F1456"/>
    <w:pPr>
      <w:spacing w:after="0"/>
    </w:pPr>
    <w:tblPr>
      <w:tblStyleRowBandSize w:val="1"/>
      <w:tblStyleColBandSize w:val="1"/>
      <w:tblBorders>
        <w:top w:val="single" w:sz="4" w:space="0" w:color="7F7F7F" w:themeColor="text1"/>
        <w:left w:val="single" w:sz="4" w:space="0" w:color="7F7F7F" w:themeColor="text1"/>
        <w:bottom w:val="single" w:sz="4" w:space="0" w:color="7F7F7F" w:themeColor="text1"/>
        <w:right w:val="single" w:sz="4" w:space="0" w:color="7F7F7F" w:themeColor="text1"/>
        <w:insideH w:val="single" w:sz="4" w:space="0" w:color="7F7F7F" w:themeColor="text1"/>
        <w:insideV w:val="single" w:sz="4" w:space="0" w:color="7F7F7F" w:themeColor="text1"/>
      </w:tblBorders>
    </w:tblPr>
    <w:tcPr>
      <w:vAlign w:val="center"/>
    </w:tcPr>
    <w:tblStylePr w:type="firstRow">
      <w:pPr>
        <w:jc w:val="left"/>
      </w:pPr>
      <w:rPr>
        <w:rFonts w:asciiTheme="minorHAnsi" w:hAnsiTheme="minorHAnsi"/>
        <w:b/>
        <w:bCs/>
        <w:i w:val="0"/>
        <w:color w:val="0070B9" w:themeColor="accent5"/>
        <w:sz w:val="22"/>
      </w:rPr>
      <w:tblPr/>
      <w:trPr>
        <w:tblHeader/>
      </w:trPr>
      <w:tcPr>
        <w:tcBorders>
          <w:top w:val="single" w:sz="4" w:space="0" w:color="7F7F7F" w:themeColor="text1"/>
          <w:left w:val="single" w:sz="4" w:space="0" w:color="7F7F7F" w:themeColor="text1"/>
          <w:bottom w:val="single" w:sz="12" w:space="0" w:color="7F7F7F" w:themeColor="text1"/>
          <w:right w:val="single" w:sz="4" w:space="0" w:color="7F7F7F" w:themeColor="text1"/>
          <w:insideH w:val="nil"/>
          <w:insideV w:val="single" w:sz="4" w:space="0" w:color="7F7F7F" w:themeColor="text1"/>
          <w:tl2br w:val="nil"/>
          <w:tr2bl w:val="nil"/>
        </w:tcBorders>
      </w:tcPr>
    </w:tblStylePr>
    <w:tblStylePr w:type="lastRow">
      <w:rPr>
        <w:rFonts w:asciiTheme="minorHAnsi" w:hAnsiTheme="minorHAnsi"/>
        <w:b/>
        <w:bCs/>
        <w:color w:val="002E59" w:themeColor="accent2"/>
        <w:u w:color="144E84" w:themeColor="accent3"/>
      </w:rPr>
      <w:tblPr/>
      <w:tcPr>
        <w:tcBorders>
          <w:top w:val="single" w:sz="12" w:space="0" w:color="3F3F3F" w:themeColor="text1" w:themeShade="80"/>
        </w:tcBorders>
      </w:tcPr>
    </w:tblStylePr>
    <w:tblStylePr w:type="firstCol">
      <w:rPr>
        <w:rFonts w:asciiTheme="minorHAnsi" w:hAnsiTheme="minorHAnsi"/>
        <w:b/>
        <w:bCs/>
        <w:color w:val="0070B9" w:themeColor="accent5"/>
        <w:sz w:val="22"/>
      </w:rPr>
      <w:tblPr/>
      <w:tcPr>
        <w:shd w:val="clear" w:color="auto" w:fill="FFFFFF" w:themeFill="background1"/>
      </w:tcPr>
    </w:tblStylePr>
    <w:tblStylePr w:type="lastCol">
      <w:rPr>
        <w:b/>
        <w:bCs/>
        <w:color w:val="002E59" w:themeColor="accent2"/>
      </w:rPr>
    </w:tblStylePr>
    <w:tblStylePr w:type="neCell">
      <w:rPr>
        <w:color w:val="002E59" w:themeColor="accent2"/>
      </w:rPr>
    </w:tblStylePr>
    <w:tblStylePr w:type="nwCell">
      <w:rPr>
        <w:color w:val="0070B9" w:themeColor="accent5"/>
      </w:rPr>
    </w:tblStylePr>
    <w:tblStylePr w:type="seCell">
      <w:rPr>
        <w:color w:val="FD9C1B" w:themeColor="text2"/>
      </w:rPr>
    </w:tblStylePr>
    <w:tblStylePr w:type="swCell">
      <w:rPr>
        <w:color w:val="002E59" w:themeColor="accent2"/>
      </w:rPr>
    </w:tblStylePr>
  </w:style>
  <w:style w:type="paragraph" w:customStyle="1" w:styleId="LetterHeading">
    <w:name w:val="Letter Heading"/>
    <w:basedOn w:val="Normal"/>
    <w:next w:val="Normal"/>
    <w:link w:val="LetterHeadingChar"/>
    <w:autoRedefine/>
    <w:qFormat/>
    <w:rsid w:val="00F52998"/>
    <w:pPr>
      <w:numPr>
        <w:numId w:val="1"/>
      </w:numPr>
      <w:pBdr>
        <w:bottom w:val="single" w:sz="24" w:space="1" w:color="002E59" w:themeColor="accent2"/>
      </w:pBdr>
      <w:spacing w:before="480"/>
      <w:ind w:left="360"/>
    </w:pPr>
    <w:rPr>
      <w:rFonts w:asciiTheme="majorHAnsi" w:hAnsiTheme="majorHAnsi"/>
      <w:b/>
      <w:color w:val="002E59" w:themeColor="accent2"/>
    </w:rPr>
  </w:style>
  <w:style w:type="character" w:customStyle="1" w:styleId="LetterHeadingChar">
    <w:name w:val="Letter Heading Char"/>
    <w:basedOn w:val="DefaultParagraphFont"/>
    <w:link w:val="LetterHeading"/>
    <w:rsid w:val="00F52998"/>
    <w:rPr>
      <w:rFonts w:asciiTheme="majorHAnsi" w:eastAsia="Arial" w:hAnsiTheme="majorHAnsi" w:cs="Arial"/>
      <w:b/>
      <w:color w:val="002E59" w:themeColor="accent2"/>
      <w:lang w:val="ru-RU" w:eastAsia="ru-RU"/>
    </w:rPr>
  </w:style>
  <w:style w:type="character" w:customStyle="1" w:styleId="NoSpacingChar">
    <w:name w:val="No Spacing Char"/>
    <w:aliases w:val="Table Headings Char"/>
    <w:basedOn w:val="DefaultParagraphFont"/>
    <w:link w:val="NoSpacing"/>
    <w:uiPriority w:val="1"/>
    <w:rsid w:val="009250F0"/>
    <w:rPr>
      <w:rFonts w:ascii="Arial" w:hAnsi="Arial" w:cs="Arial"/>
      <w:b/>
      <w:color w:val="FFFFFF" w:themeColor="background1"/>
      <w:sz w:val="20"/>
      <w:szCs w:val="20"/>
    </w:rPr>
  </w:style>
  <w:style w:type="paragraph" w:styleId="Quote">
    <w:name w:val="Quote"/>
    <w:basedOn w:val="Normal"/>
    <w:next w:val="Normal"/>
    <w:link w:val="QuoteChar"/>
    <w:autoRedefine/>
    <w:uiPriority w:val="29"/>
    <w:qFormat/>
    <w:rsid w:val="00914F91"/>
    <w:pPr>
      <w:spacing w:before="200"/>
      <w:ind w:left="864" w:right="864"/>
    </w:pPr>
    <w:rPr>
      <w:b/>
      <w:i/>
      <w:iCs/>
      <w:caps/>
      <w:color w:val="27323F" w:themeColor="accent1"/>
      <w:sz w:val="28"/>
      <w:u w:color="0070B9" w:themeColor="accent5"/>
    </w:rPr>
  </w:style>
  <w:style w:type="character" w:customStyle="1" w:styleId="QuoteChar">
    <w:name w:val="Quote Char"/>
    <w:basedOn w:val="DefaultParagraphFont"/>
    <w:link w:val="Quote"/>
    <w:uiPriority w:val="29"/>
    <w:rsid w:val="00914F91"/>
    <w:rPr>
      <w:b/>
      <w:i/>
      <w:iCs/>
      <w:caps/>
      <w:color w:val="27323F" w:themeColor="accent1"/>
      <w:sz w:val="28"/>
      <w:u w:color="0070B9" w:themeColor="accent5"/>
    </w:rPr>
  </w:style>
  <w:style w:type="character" w:styleId="SubtleReference">
    <w:name w:val="Subtle Reference"/>
    <w:basedOn w:val="DefaultParagraphFont"/>
    <w:uiPriority w:val="31"/>
    <w:qFormat/>
    <w:rsid w:val="008A19D5"/>
    <w:rPr>
      <w:rFonts w:asciiTheme="majorHAnsi" w:hAnsiTheme="majorHAnsi"/>
      <w:smallCaps/>
      <w:color w:val="FFFFFF" w:themeColor="background1"/>
      <w:sz w:val="18"/>
    </w:rPr>
  </w:style>
  <w:style w:type="paragraph" w:styleId="Subtitle">
    <w:name w:val="Subtitle"/>
    <w:basedOn w:val="Normal"/>
    <w:next w:val="Normal"/>
    <w:link w:val="SubtitleChar"/>
    <w:rsid w:val="000574DE"/>
    <w:pPr>
      <w:numPr>
        <w:ilvl w:val="1"/>
      </w:numPr>
    </w:pPr>
    <w:rPr>
      <w:rFonts w:eastAsiaTheme="minorEastAsia"/>
      <w:color w:val="ACACAC" w:themeColor="text1" w:themeTint="A5"/>
      <w:spacing w:val="15"/>
    </w:rPr>
  </w:style>
  <w:style w:type="character" w:customStyle="1" w:styleId="SubtitleChar">
    <w:name w:val="Subtitle Char"/>
    <w:basedOn w:val="DefaultParagraphFont"/>
    <w:link w:val="Subtitle"/>
    <w:uiPriority w:val="11"/>
    <w:rsid w:val="000574DE"/>
    <w:rPr>
      <w:rFonts w:eastAsiaTheme="minorEastAsia"/>
      <w:color w:val="ACACAC" w:themeColor="text1" w:themeTint="A5"/>
      <w:spacing w:val="15"/>
    </w:rPr>
  </w:style>
  <w:style w:type="character" w:styleId="SubtleEmphasis">
    <w:name w:val="Subtle Emphasis"/>
    <w:basedOn w:val="DefaultParagraphFont"/>
    <w:uiPriority w:val="19"/>
    <w:qFormat/>
    <w:rsid w:val="00EB6648"/>
    <w:rPr>
      <w:i w:val="0"/>
      <w:iCs/>
      <w:color w:val="FFFFFF" w:themeColor="background1"/>
      <w:sz w:val="22"/>
    </w:rPr>
  </w:style>
  <w:style w:type="paragraph" w:styleId="BodyText2">
    <w:name w:val="Body Text 2"/>
    <w:basedOn w:val="Normal"/>
    <w:link w:val="BodyText2Char"/>
    <w:autoRedefine/>
    <w:uiPriority w:val="99"/>
    <w:semiHidden/>
    <w:unhideWhenUsed/>
    <w:qFormat/>
    <w:rsid w:val="00561AB5"/>
    <w:pPr>
      <w:spacing w:after="120" w:line="480" w:lineRule="auto"/>
    </w:pPr>
  </w:style>
  <w:style w:type="character" w:customStyle="1" w:styleId="BodyText2Char">
    <w:name w:val="Body Text 2 Char"/>
    <w:basedOn w:val="DefaultParagraphFont"/>
    <w:link w:val="BodyText2"/>
    <w:uiPriority w:val="99"/>
    <w:semiHidden/>
    <w:rsid w:val="00561AB5"/>
    <w:rPr>
      <w:rFonts w:asciiTheme="minorHAnsi" w:hAnsiTheme="minorHAnsi"/>
    </w:rPr>
  </w:style>
  <w:style w:type="paragraph" w:styleId="ListBullet4">
    <w:name w:val="List Bullet 4"/>
    <w:basedOn w:val="Normal"/>
    <w:autoRedefine/>
    <w:uiPriority w:val="99"/>
    <w:qFormat/>
    <w:rsid w:val="00FB02F2"/>
    <w:pPr>
      <w:numPr>
        <w:numId w:val="5"/>
      </w:numPr>
      <w:tabs>
        <w:tab w:val="left" w:pos="1152"/>
      </w:tabs>
      <w:spacing w:before="160"/>
      <w:contextualSpacing/>
    </w:pPr>
    <w:rPr>
      <w:lang w:val="en-GB" w:eastAsia="es-ES"/>
    </w:rPr>
  </w:style>
  <w:style w:type="paragraph" w:styleId="BodyTextIndent3">
    <w:name w:val="Body Text Indent 3"/>
    <w:basedOn w:val="Normal"/>
    <w:link w:val="BodyTextIndent3Char"/>
    <w:autoRedefine/>
    <w:uiPriority w:val="99"/>
    <w:semiHidden/>
    <w:rsid w:val="00561AB5"/>
    <w:pPr>
      <w:spacing w:after="120"/>
      <w:ind w:left="864"/>
    </w:pPr>
    <w:rPr>
      <w:szCs w:val="16"/>
    </w:rPr>
  </w:style>
  <w:style w:type="paragraph" w:styleId="ListBullet">
    <w:name w:val="List Bullet"/>
    <w:basedOn w:val="Normal"/>
    <w:autoRedefine/>
    <w:qFormat/>
    <w:rsid w:val="00381674"/>
    <w:pPr>
      <w:numPr>
        <w:numId w:val="2"/>
      </w:numPr>
      <w:spacing w:before="160"/>
      <w:contextualSpacing/>
    </w:pPr>
  </w:style>
  <w:style w:type="character" w:customStyle="1" w:styleId="CommentTextChar">
    <w:name w:val="Comment Text Char"/>
    <w:basedOn w:val="DefaultParagraphFont"/>
    <w:link w:val="CommentText"/>
    <w:uiPriority w:val="99"/>
    <w:semiHidden/>
    <w:rsid w:val="00806881"/>
    <w:rPr>
      <w:sz w:val="20"/>
      <w:szCs w:val="20"/>
    </w:rPr>
  </w:style>
  <w:style w:type="paragraph" w:styleId="ListBullet2">
    <w:name w:val="List Bullet 2"/>
    <w:basedOn w:val="Normal"/>
    <w:autoRedefine/>
    <w:uiPriority w:val="99"/>
    <w:qFormat/>
    <w:rsid w:val="00913F95"/>
    <w:pPr>
      <w:numPr>
        <w:numId w:val="3"/>
      </w:numPr>
      <w:ind w:left="936"/>
      <w:contextualSpacing/>
    </w:pPr>
  </w:style>
  <w:style w:type="paragraph" w:styleId="ListBullet3">
    <w:name w:val="List Bullet 3"/>
    <w:basedOn w:val="Normal"/>
    <w:autoRedefine/>
    <w:uiPriority w:val="99"/>
    <w:qFormat/>
    <w:rsid w:val="00FB02F2"/>
    <w:pPr>
      <w:numPr>
        <w:numId w:val="4"/>
      </w:numPr>
      <w:spacing w:before="160"/>
      <w:contextualSpacing/>
    </w:pPr>
    <w:rPr>
      <w:lang w:val="en-GB" w:eastAsia="es-ES"/>
    </w:rPr>
  </w:style>
  <w:style w:type="character" w:customStyle="1" w:styleId="BodyTextIndent3Char">
    <w:name w:val="Body Text Indent 3 Char"/>
    <w:basedOn w:val="DefaultParagraphFont"/>
    <w:link w:val="BodyTextIndent3"/>
    <w:uiPriority w:val="99"/>
    <w:semiHidden/>
    <w:rsid w:val="00561AB5"/>
    <w:rPr>
      <w:rFonts w:asciiTheme="minorHAnsi" w:hAnsiTheme="minorHAnsi"/>
      <w:szCs w:val="16"/>
    </w:rPr>
  </w:style>
  <w:style w:type="character" w:styleId="Strong">
    <w:name w:val="Strong"/>
    <w:basedOn w:val="DefaultParagraphFont"/>
    <w:uiPriority w:val="22"/>
    <w:qFormat/>
    <w:rsid w:val="005750F4"/>
    <w:rPr>
      <w:rFonts w:asciiTheme="minorHAnsi" w:hAnsiTheme="minorHAnsi"/>
      <w:b/>
      <w:bCs/>
      <w:color w:val="0070B9" w:themeColor="accent5"/>
      <w:sz w:val="24"/>
    </w:rPr>
  </w:style>
  <w:style w:type="paragraph" w:styleId="CommentSubject">
    <w:name w:val="annotation subject"/>
    <w:basedOn w:val="CommentText"/>
    <w:next w:val="CommentText"/>
    <w:link w:val="CommentSubjectChar"/>
    <w:uiPriority w:val="99"/>
    <w:semiHidden/>
    <w:unhideWhenUsed/>
    <w:rsid w:val="00806881"/>
    <w:rPr>
      <w:b/>
      <w:bCs/>
    </w:rPr>
  </w:style>
  <w:style w:type="character" w:customStyle="1" w:styleId="CommentSubjectChar">
    <w:name w:val="Comment Subject Char"/>
    <w:basedOn w:val="CommentTextChar"/>
    <w:link w:val="CommentSubject"/>
    <w:uiPriority w:val="99"/>
    <w:semiHidden/>
    <w:rsid w:val="00806881"/>
    <w:rPr>
      <w:b/>
      <w:bCs/>
      <w:sz w:val="20"/>
      <w:szCs w:val="20"/>
    </w:rPr>
  </w:style>
  <w:style w:type="paragraph" w:styleId="ListNumber">
    <w:name w:val="List Number"/>
    <w:basedOn w:val="Normal"/>
    <w:autoRedefine/>
    <w:uiPriority w:val="99"/>
    <w:qFormat/>
    <w:rsid w:val="007C3823"/>
    <w:pPr>
      <w:numPr>
        <w:numId w:val="6"/>
      </w:numPr>
      <w:tabs>
        <w:tab w:val="left" w:pos="288"/>
      </w:tabs>
      <w:ind w:left="648"/>
      <w:contextualSpacing/>
    </w:pPr>
  </w:style>
  <w:style w:type="character" w:styleId="BookTitle">
    <w:name w:val="Book Title"/>
    <w:basedOn w:val="DefaultParagraphFont"/>
    <w:uiPriority w:val="33"/>
    <w:qFormat/>
    <w:rsid w:val="005A7793"/>
    <w:rPr>
      <w:rFonts w:ascii="Arial Black" w:hAnsi="Arial Black"/>
      <w:b/>
      <w:bCs/>
      <w:i w:val="0"/>
      <w:iCs/>
      <w:color w:val="FFFFFF" w:themeColor="background1"/>
      <w:spacing w:val="5"/>
      <w:sz w:val="96"/>
    </w:rPr>
  </w:style>
  <w:style w:type="paragraph" w:styleId="TOC1">
    <w:name w:val="toc 1"/>
    <w:basedOn w:val="Title"/>
    <w:next w:val="Normal"/>
    <w:autoRedefine/>
    <w:uiPriority w:val="39"/>
    <w:unhideWhenUsed/>
    <w:rsid w:val="001B1878"/>
    <w:pPr>
      <w:spacing w:before="120"/>
      <w:contextualSpacing w:val="0"/>
    </w:pPr>
    <w:rPr>
      <w:rFonts w:asciiTheme="minorHAnsi" w:eastAsiaTheme="minorHAnsi" w:hAnsiTheme="minorHAnsi" w:cstheme="minorHAnsi"/>
      <w:b/>
      <w:bCs/>
      <w:iCs/>
      <w:noProof w:val="0"/>
      <w:color w:val="0070B9" w:themeColor="accent5"/>
      <w:spacing w:val="0"/>
      <w:kern w:val="0"/>
      <w:sz w:val="24"/>
      <w:szCs w:val="24"/>
    </w:rPr>
  </w:style>
  <w:style w:type="paragraph" w:styleId="TOC2">
    <w:name w:val="toc 2"/>
    <w:basedOn w:val="Heading1"/>
    <w:next w:val="Normal"/>
    <w:autoRedefine/>
    <w:uiPriority w:val="39"/>
    <w:unhideWhenUsed/>
    <w:rsid w:val="001B1878"/>
    <w:pPr>
      <w:numPr>
        <w:numId w:val="0"/>
      </w:numPr>
      <w:spacing w:before="120" w:after="0" w:line="276" w:lineRule="auto"/>
      <w:outlineLvl w:val="9"/>
    </w:pPr>
    <w:rPr>
      <w:rFonts w:asciiTheme="minorHAnsi" w:eastAsiaTheme="minorHAnsi" w:hAnsiTheme="minorHAnsi" w:cstheme="minorHAnsi"/>
      <w:bCs/>
      <w:color w:val="7F7F7F" w:themeColor="text1"/>
      <w:kern w:val="0"/>
      <w:szCs w:val="22"/>
      <w:lang w:val="en-US" w:eastAsia="en-US"/>
    </w:rPr>
  </w:style>
  <w:style w:type="paragraph" w:styleId="TOC3">
    <w:name w:val="toc 3"/>
    <w:basedOn w:val="Heading2"/>
    <w:next w:val="Normal"/>
    <w:autoRedefine/>
    <w:uiPriority w:val="39"/>
    <w:unhideWhenUsed/>
    <w:rsid w:val="00D36E5C"/>
    <w:pPr>
      <w:keepNext w:val="0"/>
      <w:numPr>
        <w:ilvl w:val="0"/>
        <w:numId w:val="0"/>
      </w:numPr>
      <w:spacing w:before="0" w:line="276" w:lineRule="auto"/>
      <w:outlineLvl w:val="9"/>
    </w:pPr>
    <w:rPr>
      <w:rFonts w:asciiTheme="minorHAnsi" w:eastAsiaTheme="minorHAnsi" w:hAnsiTheme="minorHAnsi"/>
      <w:b w:val="0"/>
      <w:color w:val="7F7F7F" w:themeColor="text1"/>
      <w:sz w:val="20"/>
      <w:lang w:eastAsia="en-US"/>
    </w:rPr>
  </w:style>
  <w:style w:type="paragraph" w:styleId="TOC4">
    <w:name w:val="toc 4"/>
    <w:basedOn w:val="Heading3"/>
    <w:next w:val="Normal"/>
    <w:autoRedefine/>
    <w:uiPriority w:val="39"/>
    <w:unhideWhenUsed/>
    <w:rsid w:val="00515F85"/>
    <w:pPr>
      <w:numPr>
        <w:ilvl w:val="0"/>
        <w:numId w:val="0"/>
      </w:numPr>
      <w:tabs>
        <w:tab w:val="clear" w:pos="1152"/>
      </w:tabs>
      <w:spacing w:before="0" w:after="0"/>
      <w:ind w:left="660"/>
      <w:jc w:val="left"/>
      <w:outlineLvl w:val="9"/>
    </w:pPr>
    <w:rPr>
      <w:rFonts w:asciiTheme="minorHAnsi" w:eastAsiaTheme="minorHAnsi" w:hAnsiTheme="minorHAnsi" w:cstheme="minorHAnsi"/>
      <w:color w:val="7F7F7F" w:themeColor="text1"/>
      <w:sz w:val="20"/>
      <w:lang w:val="en-US" w:eastAsia="en-US"/>
    </w:rPr>
  </w:style>
  <w:style w:type="paragraph" w:styleId="TOC5">
    <w:name w:val="toc 5"/>
    <w:basedOn w:val="Normal"/>
    <w:next w:val="Normal"/>
    <w:autoRedefine/>
    <w:uiPriority w:val="39"/>
    <w:unhideWhenUsed/>
    <w:rsid w:val="005778A0"/>
    <w:pPr>
      <w:ind w:left="880"/>
    </w:pPr>
    <w:rPr>
      <w:rFonts w:cstheme="minorHAnsi"/>
      <w:color w:val="7F7F7F" w:themeColor="text1"/>
      <w:sz w:val="20"/>
      <w:szCs w:val="20"/>
    </w:rPr>
  </w:style>
  <w:style w:type="paragraph" w:styleId="TOC6">
    <w:name w:val="toc 6"/>
    <w:basedOn w:val="Normal"/>
    <w:next w:val="Normal"/>
    <w:autoRedefine/>
    <w:uiPriority w:val="39"/>
    <w:unhideWhenUsed/>
    <w:rsid w:val="005778A0"/>
    <w:pPr>
      <w:ind w:left="1100"/>
    </w:pPr>
    <w:rPr>
      <w:rFonts w:cstheme="minorHAnsi"/>
      <w:color w:val="7F7F7F" w:themeColor="text1"/>
      <w:sz w:val="20"/>
      <w:szCs w:val="20"/>
    </w:rPr>
  </w:style>
  <w:style w:type="paragraph" w:styleId="TOC7">
    <w:name w:val="toc 7"/>
    <w:basedOn w:val="Normal"/>
    <w:next w:val="Normal"/>
    <w:autoRedefine/>
    <w:uiPriority w:val="39"/>
    <w:unhideWhenUsed/>
    <w:rsid w:val="005778A0"/>
    <w:pPr>
      <w:ind w:left="1320"/>
    </w:pPr>
    <w:rPr>
      <w:rFonts w:cstheme="minorHAnsi"/>
      <w:color w:val="7F7F7F" w:themeColor="text1"/>
      <w:sz w:val="20"/>
      <w:szCs w:val="20"/>
    </w:rPr>
  </w:style>
  <w:style w:type="paragraph" w:styleId="TOC8">
    <w:name w:val="toc 8"/>
    <w:basedOn w:val="Normal"/>
    <w:next w:val="Normal"/>
    <w:autoRedefine/>
    <w:uiPriority w:val="39"/>
    <w:unhideWhenUsed/>
    <w:rsid w:val="005778A0"/>
    <w:pPr>
      <w:ind w:left="1540"/>
    </w:pPr>
    <w:rPr>
      <w:rFonts w:cstheme="minorHAnsi"/>
      <w:color w:val="7F7F7F" w:themeColor="text1"/>
      <w:sz w:val="20"/>
      <w:szCs w:val="20"/>
    </w:rPr>
  </w:style>
  <w:style w:type="paragraph" w:styleId="TOC9">
    <w:name w:val="toc 9"/>
    <w:basedOn w:val="Normal"/>
    <w:next w:val="Normal"/>
    <w:autoRedefine/>
    <w:uiPriority w:val="39"/>
    <w:unhideWhenUsed/>
    <w:rsid w:val="005778A0"/>
    <w:pPr>
      <w:ind w:left="1760"/>
    </w:pPr>
    <w:rPr>
      <w:rFonts w:cstheme="minorHAnsi"/>
      <w:color w:val="7F7F7F" w:themeColor="text1"/>
      <w:sz w:val="20"/>
      <w:szCs w:val="20"/>
    </w:rPr>
  </w:style>
  <w:style w:type="paragraph" w:styleId="Title">
    <w:name w:val="Title"/>
    <w:aliases w:val="Section Change"/>
    <w:basedOn w:val="Normal"/>
    <w:next w:val="Normal"/>
    <w:link w:val="TitleChar"/>
    <w:autoRedefine/>
    <w:qFormat/>
    <w:rsid w:val="00BC268E"/>
    <w:pPr>
      <w:contextualSpacing/>
    </w:pPr>
    <w:rPr>
      <w:rFonts w:asciiTheme="majorHAnsi" w:eastAsiaTheme="majorEastAsia" w:hAnsiTheme="majorHAnsi" w:cstheme="majorBidi"/>
      <w:noProof/>
      <w:color w:val="002E59" w:themeColor="accent2"/>
      <w:spacing w:val="-10"/>
      <w:kern w:val="28"/>
      <w:sz w:val="56"/>
      <w:szCs w:val="56"/>
    </w:rPr>
  </w:style>
  <w:style w:type="character" w:customStyle="1" w:styleId="TitleChar">
    <w:name w:val="Title Char"/>
    <w:aliases w:val="Section Change Char"/>
    <w:basedOn w:val="DefaultParagraphFont"/>
    <w:link w:val="Title"/>
    <w:uiPriority w:val="1"/>
    <w:rsid w:val="00BC268E"/>
    <w:rPr>
      <w:rFonts w:asciiTheme="majorHAnsi" w:eastAsiaTheme="majorEastAsia" w:hAnsiTheme="majorHAnsi" w:cstheme="majorBidi"/>
      <w:noProof/>
      <w:color w:val="002E59" w:themeColor="accent2"/>
      <w:spacing w:val="-10"/>
      <w:kern w:val="28"/>
      <w:sz w:val="56"/>
      <w:szCs w:val="56"/>
    </w:rPr>
  </w:style>
  <w:style w:type="paragraph" w:styleId="NormalWeb">
    <w:name w:val="Normal (Web)"/>
    <w:basedOn w:val="Normal"/>
    <w:uiPriority w:val="99"/>
    <w:unhideWhenUsed/>
    <w:rsid w:val="002702CC"/>
    <w:pPr>
      <w:spacing w:before="100" w:beforeAutospacing="1" w:after="100" w:afterAutospacing="1" w:line="240" w:lineRule="auto"/>
    </w:pPr>
    <w:rPr>
      <w:rFonts w:ascii="Times New Roman" w:eastAsiaTheme="minorEastAsia" w:hAnsi="Times New Roman" w:cs="Times New Roman"/>
      <w:color w:val="auto"/>
      <w:sz w:val="24"/>
      <w:szCs w:val="24"/>
    </w:rPr>
  </w:style>
  <w:style w:type="table" w:styleId="GridTable5Dark-Accent5">
    <w:name w:val="Grid Table 5 Dark Accent 5"/>
    <w:basedOn w:val="TableNormal"/>
    <w:uiPriority w:val="50"/>
    <w:rsid w:val="00E21BC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B9" w:themeFill="accent5"/>
      </w:tcPr>
    </w:tblStylePr>
    <w:tblStylePr w:type="lastRow">
      <w:rPr>
        <w:b/>
        <w:bCs/>
        <w:color w:val="FFFFFF" w:themeColor="background1"/>
      </w:rPr>
      <w:tblPr/>
      <w:tcPr>
        <w:shd w:val="clear" w:color="auto" w:fill="002E5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B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B9" w:themeFill="accent5"/>
      </w:tcPr>
    </w:tblStylePr>
    <w:tblStylePr w:type="band1Vert">
      <w:tblPr/>
      <w:tcPr>
        <w:shd w:val="clear" w:color="auto" w:fill="7DCBFF" w:themeFill="accent5" w:themeFillTint="66"/>
      </w:tcPr>
    </w:tblStylePr>
    <w:tblStylePr w:type="band1Horz">
      <w:tblPr/>
      <w:tcPr>
        <w:shd w:val="clear" w:color="auto" w:fill="7DCBFF" w:themeFill="accent5" w:themeFillTint="66"/>
      </w:tcPr>
    </w:tblStylePr>
  </w:style>
  <w:style w:type="character" w:styleId="FollowedHyperlink">
    <w:name w:val="FollowedHyperlink"/>
    <w:basedOn w:val="DefaultParagraphFont"/>
    <w:uiPriority w:val="99"/>
    <w:semiHidden/>
    <w:unhideWhenUsed/>
    <w:rsid w:val="00971693"/>
    <w:rPr>
      <w:color w:val="C00000" w:themeColor="followedHyperlink"/>
      <w:u w:val="single"/>
    </w:rPr>
  </w:style>
  <w:style w:type="paragraph" w:styleId="ListParagraph">
    <w:name w:val="List Paragraph"/>
    <w:basedOn w:val="Normal"/>
    <w:uiPriority w:val="34"/>
    <w:qFormat/>
    <w:rsid w:val="00F80010"/>
    <w:pPr>
      <w:ind w:left="720"/>
      <w:contextualSpacing/>
    </w:pPr>
  </w:style>
  <w:style w:type="table" w:styleId="GridTable6Colorful">
    <w:name w:val="Grid Table 6 Colorful"/>
    <w:basedOn w:val="TableNormal"/>
    <w:uiPriority w:val="51"/>
    <w:rsid w:val="00530947"/>
    <w:pPr>
      <w:spacing w:after="0"/>
    </w:pPr>
    <w:rPr>
      <w:color w:val="7F7F7F" w:themeColor="text1"/>
    </w:rPr>
    <w:tblPr>
      <w:tblStyleRowBandSize w:val="1"/>
      <w:tblStyleColBandSize w:val="1"/>
      <w:tblBorders>
        <w:top w:val="single" w:sz="4" w:space="0" w:color="B2B2B2" w:themeColor="text1" w:themeTint="99"/>
        <w:left w:val="single" w:sz="4" w:space="0" w:color="B2B2B2" w:themeColor="text1" w:themeTint="99"/>
        <w:bottom w:val="single" w:sz="4" w:space="0" w:color="B2B2B2" w:themeColor="text1" w:themeTint="99"/>
        <w:right w:val="single" w:sz="4" w:space="0" w:color="B2B2B2" w:themeColor="text1" w:themeTint="99"/>
        <w:insideH w:val="single" w:sz="4" w:space="0" w:color="B2B2B2" w:themeColor="text1" w:themeTint="99"/>
        <w:insideV w:val="single" w:sz="4" w:space="0" w:color="B2B2B2" w:themeColor="text1" w:themeTint="99"/>
      </w:tblBorders>
    </w:tblPr>
    <w:tblStylePr w:type="firstRow">
      <w:rPr>
        <w:b/>
        <w:bCs/>
        <w:color w:val="0070B9" w:themeColor="accent5"/>
      </w:rPr>
      <w:tblPr/>
      <w:tcPr>
        <w:tcBorders>
          <w:bottom w:val="single" w:sz="12" w:space="0" w:color="B2B2B2" w:themeColor="text1" w:themeTint="99"/>
        </w:tcBorders>
      </w:tcPr>
    </w:tblStylePr>
    <w:tblStylePr w:type="lastRow">
      <w:rPr>
        <w:b/>
        <w:bCs/>
        <w:color w:val="002E59" w:themeColor="accent2"/>
      </w:rPr>
      <w:tblPr/>
      <w:tcPr>
        <w:tcBorders>
          <w:top w:val="double" w:sz="4" w:space="0" w:color="B2B2B2" w:themeColor="text1" w:themeTint="99"/>
        </w:tcBorders>
      </w:tcPr>
    </w:tblStylePr>
    <w:tblStylePr w:type="firstCol">
      <w:rPr>
        <w:b/>
        <w:bCs/>
        <w:color w:val="0070B9" w:themeColor="accent5"/>
      </w:rPr>
    </w:tblStylePr>
    <w:tblStylePr w:type="lastCol">
      <w:rPr>
        <w:b/>
        <w:bCs/>
      </w:rPr>
    </w:tblStylePr>
    <w:tblStylePr w:type="band1Vert">
      <w:tblPr/>
      <w:tcPr>
        <w:shd w:val="clear" w:color="auto" w:fill="E5E5E5" w:themeFill="text1" w:themeFillTint="33"/>
      </w:tcPr>
    </w:tblStylePr>
    <w:tblStylePr w:type="band1Horz">
      <w:tblPr/>
      <w:tcPr>
        <w:shd w:val="clear" w:color="auto" w:fill="E5E5E5" w:themeFill="text1" w:themeFillTint="33"/>
      </w:tcPr>
    </w:tblStylePr>
  </w:style>
  <w:style w:type="table" w:styleId="GridTable5Dark-Accent6">
    <w:name w:val="Grid Table 5 Dark Accent 6"/>
    <w:basedOn w:val="TableNormal"/>
    <w:uiPriority w:val="50"/>
    <w:rsid w:val="000E585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9F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96E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96E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96E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96E2" w:themeFill="accent6"/>
      </w:tcPr>
    </w:tblStylePr>
    <w:tblStylePr w:type="band1Vert">
      <w:tblPr/>
      <w:tcPr>
        <w:shd w:val="clear" w:color="auto" w:fill="B3D4F3" w:themeFill="accent6" w:themeFillTint="66"/>
      </w:tcPr>
    </w:tblStylePr>
    <w:tblStylePr w:type="band1Horz">
      <w:tblPr/>
      <w:tcPr>
        <w:shd w:val="clear" w:color="auto" w:fill="B3D4F3" w:themeFill="accent6" w:themeFillTint="66"/>
      </w:tcPr>
    </w:tblStylePr>
  </w:style>
  <w:style w:type="table" w:styleId="ColorfulGrid-Accent6">
    <w:name w:val="Colorful Grid Accent 6"/>
    <w:basedOn w:val="TableNormal"/>
    <w:uiPriority w:val="73"/>
    <w:rsid w:val="00FA5767"/>
    <w:pPr>
      <w:spacing w:after="0"/>
    </w:pPr>
    <w:rPr>
      <w:color w:val="0070B9" w:themeColor="accent5"/>
    </w:rPr>
    <w:tblPr>
      <w:tblStyleRowBandSize w:val="1"/>
      <w:tblStyleColBandSize w:val="1"/>
      <w:tblBorders>
        <w:insideH w:val="single" w:sz="4" w:space="0" w:color="FFFFFF" w:themeColor="background1"/>
      </w:tblBorders>
    </w:tblPr>
    <w:tcPr>
      <w:shd w:val="clear" w:color="auto" w:fill="D9E9F9" w:themeFill="accent6" w:themeFillTint="33"/>
    </w:tcPr>
    <w:tblStylePr w:type="firstRow">
      <w:rPr>
        <w:b/>
        <w:bCs/>
        <w:color w:val="FFFFFF" w:themeColor="background1"/>
      </w:rPr>
      <w:tblPr/>
      <w:tcPr>
        <w:shd w:val="clear" w:color="auto" w:fill="B3D4F3" w:themeFill="accent6" w:themeFillTint="66"/>
      </w:tcPr>
    </w:tblStylePr>
    <w:tblStylePr w:type="lastRow">
      <w:rPr>
        <w:b/>
        <w:bCs/>
        <w:color w:val="002E59" w:themeColor="accent2"/>
      </w:rPr>
      <w:tblPr/>
      <w:tcPr>
        <w:shd w:val="clear" w:color="auto" w:fill="B3D4F3" w:themeFill="accent6" w:themeFillTint="66"/>
      </w:tcPr>
    </w:tblStylePr>
    <w:tblStylePr w:type="firstCol">
      <w:rPr>
        <w:color w:val="FFFFFF" w:themeColor="background1"/>
      </w:rPr>
      <w:tblPr/>
      <w:tcPr>
        <w:shd w:val="clear" w:color="auto" w:fill="1D70BE" w:themeFill="accent6" w:themeFillShade="BF"/>
      </w:tcPr>
    </w:tblStylePr>
    <w:tblStylePr w:type="lastCol">
      <w:rPr>
        <w:color w:val="FFFFFF" w:themeColor="background1"/>
      </w:rPr>
      <w:tblPr/>
      <w:tcPr>
        <w:shd w:val="clear" w:color="auto" w:fill="1D70BE" w:themeFill="accent6" w:themeFillShade="BF"/>
      </w:tcPr>
    </w:tblStylePr>
    <w:tblStylePr w:type="band1Vert">
      <w:tblPr/>
      <w:tcPr>
        <w:shd w:val="clear" w:color="auto" w:fill="A1CAF0" w:themeFill="accent6" w:themeFillTint="7F"/>
      </w:tcPr>
    </w:tblStylePr>
    <w:tblStylePr w:type="band1Horz">
      <w:tblPr/>
      <w:tcPr>
        <w:shd w:val="clear" w:color="auto" w:fill="A1CAF0" w:themeFill="accent6" w:themeFillTint="7F"/>
      </w:tcPr>
    </w:tblStylePr>
  </w:style>
  <w:style w:type="character" w:styleId="PageNumber">
    <w:name w:val="page number"/>
    <w:basedOn w:val="DefaultParagraphFont"/>
    <w:uiPriority w:val="99"/>
    <w:qFormat/>
    <w:rsid w:val="00FB1309"/>
    <w:rPr>
      <w:rFonts w:asciiTheme="minorHAnsi" w:hAnsiTheme="minorHAnsi"/>
      <w:i w:val="0"/>
      <w:color w:val="0070B9" w:themeColor="accent5"/>
      <w:sz w:val="16"/>
    </w:rPr>
  </w:style>
  <w:style w:type="paragraph" w:customStyle="1" w:styleId="SubtitleComercial">
    <w:name w:val="Subtitle (Comercial)"/>
    <w:basedOn w:val="Normal"/>
    <w:link w:val="SubtitleComercialChar"/>
    <w:qFormat/>
    <w:rsid w:val="005750F4"/>
    <w:pPr>
      <w:spacing w:after="200"/>
    </w:pPr>
    <w:rPr>
      <w:rFonts w:eastAsia="Calibri" w:cstheme="minorHAnsi"/>
      <w:color w:val="0070B9" w:themeColor="accent5"/>
      <w:sz w:val="24"/>
      <w:szCs w:val="24"/>
    </w:rPr>
  </w:style>
  <w:style w:type="character" w:customStyle="1" w:styleId="SubtitleComercialChar">
    <w:name w:val="Subtitle (Comercial) Char"/>
    <w:basedOn w:val="DefaultParagraphFont"/>
    <w:link w:val="SubtitleComercial"/>
    <w:rsid w:val="005750F4"/>
    <w:rPr>
      <w:rFonts w:eastAsia="Calibri" w:cstheme="minorHAnsi"/>
      <w:color w:val="0070B9" w:themeColor="accent5"/>
      <w:sz w:val="24"/>
      <w:szCs w:val="24"/>
    </w:rPr>
  </w:style>
  <w:style w:type="paragraph" w:styleId="TOCHeading">
    <w:name w:val="TOC Heading"/>
    <w:basedOn w:val="Heading1"/>
    <w:next w:val="Normal"/>
    <w:autoRedefine/>
    <w:uiPriority w:val="39"/>
    <w:unhideWhenUsed/>
    <w:qFormat/>
    <w:rsid w:val="006F758A"/>
    <w:pPr>
      <w:keepNext/>
      <w:keepLines/>
      <w:numPr>
        <w:numId w:val="0"/>
      </w:numPr>
      <w:spacing w:before="240" w:after="0" w:line="259" w:lineRule="auto"/>
      <w:outlineLvl w:val="9"/>
    </w:pPr>
    <w:rPr>
      <w:rFonts w:eastAsiaTheme="majorEastAsia" w:cstheme="majorBidi"/>
      <w:b w:val="0"/>
      <w:caps w:val="0"/>
      <w:color w:val="1D252F" w:themeColor="accent1" w:themeShade="BF"/>
      <w:kern w:val="0"/>
      <w:sz w:val="56"/>
      <w:szCs w:val="32"/>
      <w:lang w:val="en-US" w:eastAsia="en-US"/>
    </w:rPr>
  </w:style>
  <w:style w:type="paragraph" w:styleId="Index1">
    <w:name w:val="index 1"/>
    <w:basedOn w:val="Normal"/>
    <w:next w:val="Normal"/>
    <w:autoRedefine/>
    <w:uiPriority w:val="99"/>
    <w:semiHidden/>
    <w:unhideWhenUsed/>
    <w:rsid w:val="003838B2"/>
    <w:pPr>
      <w:spacing w:line="240" w:lineRule="auto"/>
      <w:ind w:left="220" w:hanging="220"/>
    </w:pPr>
  </w:style>
  <w:style w:type="paragraph" w:styleId="BodyTextFirstIndent">
    <w:name w:val="Body Text First Indent"/>
    <w:basedOn w:val="Normal"/>
    <w:link w:val="BodyTextFirstIndentChar"/>
    <w:autoRedefine/>
    <w:uiPriority w:val="99"/>
    <w:semiHidden/>
    <w:unhideWhenUsed/>
    <w:qFormat/>
    <w:rsid w:val="008061C7"/>
    <w:pPr>
      <w:ind w:firstLine="360"/>
    </w:pPr>
  </w:style>
  <w:style w:type="character" w:customStyle="1" w:styleId="BodyTextFirstIndentChar">
    <w:name w:val="Body Text First Indent Char"/>
    <w:basedOn w:val="DefaultParagraphFont"/>
    <w:link w:val="BodyTextFirstIndent"/>
    <w:uiPriority w:val="99"/>
    <w:semiHidden/>
    <w:rsid w:val="008061C7"/>
    <w:rPr>
      <w:rFonts w:eastAsia="Times New Roman" w:cs="Tahoma"/>
      <w:color w:val="3F3F3F" w:themeColor="text1" w:themeShade="80"/>
      <w:szCs w:val="18"/>
      <w:lang w:val="en-GB" w:eastAsia="es-ES"/>
    </w:rPr>
  </w:style>
  <w:style w:type="paragraph" w:styleId="NoteHeading">
    <w:name w:val="Note Heading"/>
    <w:aliases w:val="Main Title"/>
    <w:basedOn w:val="Normal"/>
    <w:next w:val="Normal"/>
    <w:link w:val="NoteHeadingChar"/>
    <w:autoRedefine/>
    <w:uiPriority w:val="99"/>
    <w:qFormat/>
    <w:rsid w:val="0032422F"/>
    <w:pPr>
      <w:spacing w:line="240" w:lineRule="auto"/>
      <w:ind w:left="-180"/>
    </w:pPr>
    <w:rPr>
      <w:rFonts w:ascii="Arial Black" w:hAnsi="Arial Black"/>
      <w:color w:val="0070B9" w:themeColor="accent5"/>
      <w:sz w:val="48"/>
    </w:rPr>
  </w:style>
  <w:style w:type="character" w:customStyle="1" w:styleId="NoteHeadingChar">
    <w:name w:val="Note Heading Char"/>
    <w:aliases w:val="Main Title Char"/>
    <w:basedOn w:val="DefaultParagraphFont"/>
    <w:link w:val="NoteHeading"/>
    <w:uiPriority w:val="99"/>
    <w:rsid w:val="0032422F"/>
    <w:rPr>
      <w:rFonts w:ascii="Arial Black" w:hAnsi="Arial Black"/>
      <w:color w:val="0070B9" w:themeColor="accent5"/>
      <w:sz w:val="48"/>
    </w:rPr>
  </w:style>
  <w:style w:type="paragraph" w:styleId="List3">
    <w:name w:val="List 3"/>
    <w:basedOn w:val="Normal"/>
    <w:uiPriority w:val="99"/>
    <w:semiHidden/>
    <w:unhideWhenUsed/>
    <w:rsid w:val="00CC5A85"/>
    <w:pPr>
      <w:ind w:left="1080" w:hanging="360"/>
      <w:contextualSpacing/>
    </w:pPr>
  </w:style>
  <w:style w:type="character" w:styleId="PlaceholderText">
    <w:name w:val="Placeholder Text"/>
    <w:basedOn w:val="DefaultParagraphFont"/>
    <w:uiPriority w:val="99"/>
    <w:rsid w:val="007C423E"/>
    <w:rPr>
      <w:color w:val="808080"/>
    </w:rPr>
  </w:style>
  <w:style w:type="table" w:styleId="ListTable2">
    <w:name w:val="List Table 2"/>
    <w:basedOn w:val="TableNormal"/>
    <w:uiPriority w:val="47"/>
    <w:rsid w:val="00D86366"/>
    <w:pPr>
      <w:spacing w:after="0"/>
    </w:pPr>
    <w:tblPr>
      <w:tblStyleRowBandSize w:val="1"/>
      <w:tblStyleColBandSize w:val="1"/>
      <w:tblBorders>
        <w:top w:val="single" w:sz="4" w:space="0" w:color="B2B2B2" w:themeColor="text1" w:themeTint="99"/>
        <w:bottom w:val="single" w:sz="4" w:space="0" w:color="B2B2B2" w:themeColor="text1" w:themeTint="99"/>
        <w:insideH w:val="single" w:sz="4" w:space="0" w:color="B2B2B2"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text1" w:themeFillTint="33"/>
      </w:tcPr>
    </w:tblStylePr>
    <w:tblStylePr w:type="band1Horz">
      <w:tblPr/>
      <w:tcPr>
        <w:shd w:val="clear" w:color="auto" w:fill="E5E5E5" w:themeFill="text1" w:themeFillTint="33"/>
      </w:tcPr>
    </w:tblStylePr>
  </w:style>
  <w:style w:type="table" w:styleId="ListTable6Colorful">
    <w:name w:val="List Table 6 Colorful"/>
    <w:basedOn w:val="TableNormal"/>
    <w:uiPriority w:val="51"/>
    <w:rsid w:val="00D86366"/>
    <w:pPr>
      <w:spacing w:after="0"/>
    </w:pPr>
    <w:rPr>
      <w:color w:val="7F7F7F" w:themeColor="text1"/>
    </w:rPr>
    <w:tblPr>
      <w:tblStyleRowBandSize w:val="1"/>
      <w:tblStyleColBandSize w:val="1"/>
      <w:tblBorders>
        <w:top w:val="single" w:sz="4" w:space="0" w:color="7F7F7F" w:themeColor="text1"/>
        <w:bottom w:val="single" w:sz="4" w:space="0" w:color="7F7F7F" w:themeColor="text1"/>
      </w:tblBorders>
    </w:tblPr>
    <w:tblStylePr w:type="firstRow">
      <w:rPr>
        <w:b/>
        <w:bCs/>
      </w:rPr>
      <w:tblPr/>
      <w:tcPr>
        <w:tcBorders>
          <w:bottom w:val="single" w:sz="4" w:space="0" w:color="7F7F7F" w:themeColor="text1"/>
        </w:tcBorders>
      </w:tcPr>
    </w:tblStylePr>
    <w:tblStylePr w:type="lastRow">
      <w:rPr>
        <w:b/>
        <w:bCs/>
      </w:rPr>
      <w:tblPr/>
      <w:tcPr>
        <w:tcBorders>
          <w:top w:val="double" w:sz="4" w:space="0" w:color="7F7F7F" w:themeColor="text1"/>
        </w:tcBorders>
      </w:tcPr>
    </w:tblStylePr>
    <w:tblStylePr w:type="firstCol">
      <w:rPr>
        <w:b/>
        <w:bCs/>
      </w:rPr>
    </w:tblStylePr>
    <w:tblStylePr w:type="lastCol">
      <w:rPr>
        <w:b/>
        <w:bCs/>
      </w:rPr>
    </w:tblStylePr>
    <w:tblStylePr w:type="band1Vert">
      <w:tblPr/>
      <w:tcPr>
        <w:shd w:val="clear" w:color="auto" w:fill="E5E5E5" w:themeFill="text1" w:themeFillTint="33"/>
      </w:tcPr>
    </w:tblStylePr>
    <w:tblStylePr w:type="band1Horz">
      <w:tblPr/>
      <w:tcPr>
        <w:shd w:val="clear" w:color="auto" w:fill="E5E5E5" w:themeFill="text1" w:themeFillTint="33"/>
      </w:tcPr>
    </w:tblStylePr>
  </w:style>
  <w:style w:type="paragraph" w:customStyle="1" w:styleId="Normal1">
    <w:name w:val="Normal1"/>
    <w:rsid w:val="003B167F"/>
    <w:pPr>
      <w:spacing w:after="0" w:line="276" w:lineRule="auto"/>
      <w:jc w:val="left"/>
    </w:pPr>
    <w:rPr>
      <w:rFonts w:ascii="Arial" w:eastAsia="Arial" w:hAnsi="Arial" w:cs="Arial"/>
      <w:color w:val="000000"/>
      <w:lang w:val="ru-RU" w:eastAsia="ru-RU"/>
    </w:rPr>
  </w:style>
  <w:style w:type="paragraph" w:customStyle="1" w:styleId="Default">
    <w:name w:val="Default"/>
    <w:rsid w:val="003B167F"/>
    <w:pPr>
      <w:autoSpaceDE w:val="0"/>
      <w:autoSpaceDN w:val="0"/>
      <w:adjustRightInd w:val="0"/>
      <w:spacing w:after="0"/>
      <w:jc w:val="left"/>
    </w:pPr>
    <w:rPr>
      <w:rFonts w:ascii="Arial" w:eastAsia="Arial" w:hAnsi="Arial" w:cs="Arial"/>
      <w:color w:val="000000"/>
      <w:sz w:val="24"/>
      <w:szCs w:val="24"/>
      <w:lang w:eastAsia="ru-RU"/>
    </w:rPr>
  </w:style>
  <w:style w:type="table" w:customStyle="1" w:styleId="TableNormal1">
    <w:name w:val="Table Normal1"/>
    <w:rsid w:val="003B167F"/>
    <w:pPr>
      <w:spacing w:after="0" w:line="276" w:lineRule="auto"/>
      <w:jc w:val="left"/>
    </w:pPr>
    <w:rPr>
      <w:rFonts w:ascii="Arial" w:eastAsia="Arial" w:hAnsi="Arial" w:cs="Arial"/>
      <w:color w:val="000000"/>
      <w:lang w:val="ru-RU" w:eastAsia="ru-RU"/>
    </w:rPr>
    <w:tblPr>
      <w:tblCellMar>
        <w:top w:w="0" w:type="dxa"/>
        <w:left w:w="0" w:type="dxa"/>
        <w:bottom w:w="0" w:type="dxa"/>
        <w:right w:w="0" w:type="dxa"/>
      </w:tblCellMar>
    </w:tblPr>
  </w:style>
  <w:style w:type="character" w:customStyle="1" w:styleId="apple-converted-space">
    <w:name w:val="apple-converted-space"/>
    <w:basedOn w:val="DefaultParagraphFont"/>
    <w:rsid w:val="003B167F"/>
  </w:style>
  <w:style w:type="character" w:customStyle="1" w:styleId="m8170428838810548038bodytextchar">
    <w:name w:val="m_8170428838810548038bodytextchar"/>
    <w:basedOn w:val="DefaultParagraphFont"/>
    <w:rsid w:val="003B167F"/>
  </w:style>
  <w:style w:type="paragraph" w:customStyle="1" w:styleId="m8170428838810548038msobodytext">
    <w:name w:val="m_8170428838810548038msobodytext"/>
    <w:basedOn w:val="Normal"/>
    <w:rsid w:val="003B167F"/>
    <w:pPr>
      <w:spacing w:before="100" w:beforeAutospacing="1" w:after="100" w:afterAutospacing="1" w:line="240" w:lineRule="auto"/>
    </w:pPr>
    <w:rPr>
      <w:rFonts w:ascii="Times" w:hAnsi="Times"/>
      <w:color w:val="auto"/>
      <w:sz w:val="20"/>
      <w:szCs w:val="20"/>
    </w:rPr>
  </w:style>
  <w:style w:type="paragraph" w:customStyle="1" w:styleId="Tabletext">
    <w:name w:val="Table text"/>
    <w:basedOn w:val="Normal"/>
    <w:rsid w:val="003B167F"/>
    <w:pPr>
      <w:widowControl w:val="0"/>
      <w:spacing w:line="240" w:lineRule="auto"/>
    </w:pPr>
    <w:rPr>
      <w:rFonts w:ascii="Times New Roman" w:eastAsia="Times New Roman" w:hAnsi="Times New Roman" w:cs="Times New Roman"/>
      <w:color w:val="auto"/>
      <w:sz w:val="24"/>
      <w:szCs w:val="20"/>
      <w:lang w:val="en-US" w:eastAsia="en-US"/>
    </w:rPr>
  </w:style>
  <w:style w:type="paragraph" w:styleId="BodyText">
    <w:name w:val="Body Text"/>
    <w:aliases w:val=" Char,Body Text Char3 Char,Body Text Char2 Char Char,Body Text Char1 Char Char Char, Char Char Char Char Char,Body Text Char1 Char1 Char, Char Char Char1 Char, Char Char Char,Body Text Char2,Body Text Char1 Char,Char,Char Char Char Char Char"/>
    <w:basedOn w:val="Normal"/>
    <w:link w:val="BodyTextChar1"/>
    <w:rsid w:val="003B167F"/>
    <w:pPr>
      <w:spacing w:before="120" w:line="240" w:lineRule="auto"/>
    </w:pPr>
    <w:rPr>
      <w:rFonts w:ascii="Times New Roman" w:eastAsia="Times New Roman" w:hAnsi="Times New Roman" w:cs="Times New Roman"/>
      <w:color w:val="auto"/>
      <w:sz w:val="24"/>
      <w:szCs w:val="20"/>
      <w:lang w:val="en-US" w:eastAsia="en-US"/>
    </w:rPr>
  </w:style>
  <w:style w:type="character" w:customStyle="1" w:styleId="BodyTextChar">
    <w:name w:val="Body Text Char"/>
    <w:basedOn w:val="DefaultParagraphFont"/>
    <w:uiPriority w:val="99"/>
    <w:semiHidden/>
    <w:rsid w:val="003B167F"/>
    <w:rPr>
      <w:rFonts w:ascii="Arial" w:eastAsia="Arial" w:hAnsi="Arial" w:cs="Arial"/>
      <w:color w:val="000000"/>
      <w:lang w:val="ru-RU" w:eastAsia="ru-RU"/>
    </w:rPr>
  </w:style>
  <w:style w:type="character" w:customStyle="1" w:styleId="BodyTextChar1">
    <w:name w:val="Body Text Char1"/>
    <w:aliases w:val=" Char Char,Body Text Char3 Char Char,Body Text Char2 Char Char Char,Body Text Char1 Char Char Char Char, Char Char Char Char Char Char,Body Text Char1 Char1 Char Char, Char Char Char1 Char Char, Char Char Char Char,Body Text Char2 Char"/>
    <w:link w:val="BodyText"/>
    <w:rsid w:val="003B167F"/>
    <w:rPr>
      <w:rFonts w:ascii="Times New Roman" w:eastAsia="Times New Roman" w:hAnsi="Times New Roman" w:cs="Times New Roman"/>
      <w:color w:val="auto"/>
      <w:sz w:val="24"/>
      <w:szCs w:val="20"/>
    </w:rPr>
  </w:style>
  <w:style w:type="paragraph" w:styleId="TableofFigures">
    <w:name w:val="table of figures"/>
    <w:basedOn w:val="Normal"/>
    <w:next w:val="Normal"/>
    <w:uiPriority w:val="99"/>
    <w:rsid w:val="003B167F"/>
    <w:pPr>
      <w:spacing w:line="240" w:lineRule="auto"/>
    </w:pPr>
    <w:rPr>
      <w:rFonts w:ascii="Times New Roman" w:eastAsia="Times New Roman" w:hAnsi="Times New Roman" w:cs="Times New Roman"/>
      <w:i/>
      <w:iCs/>
      <w:color w:val="auto"/>
      <w:sz w:val="20"/>
      <w:szCs w:val="20"/>
      <w:lang w:val="en-US" w:eastAsia="en-US"/>
    </w:rPr>
  </w:style>
  <w:style w:type="paragraph" w:customStyle="1" w:styleId="TitleTOC">
    <w:name w:val="Title:TOC"/>
    <w:basedOn w:val="Heading1"/>
    <w:rsid w:val="003B167F"/>
    <w:pPr>
      <w:keepNext/>
      <w:numPr>
        <w:numId w:val="0"/>
      </w:numPr>
      <w:tabs>
        <w:tab w:val="left" w:pos="504"/>
      </w:tabs>
      <w:spacing w:before="240" w:after="60"/>
      <w:jc w:val="center"/>
      <w:outlineLvl w:val="9"/>
    </w:pPr>
    <w:rPr>
      <w:rFonts w:ascii="Times New Roman" w:hAnsi="Times New Roman" w:cs="Times New Roman"/>
      <w:color w:val="auto"/>
      <w:sz w:val="24"/>
      <w:szCs w:val="24"/>
      <w:lang w:eastAsia="en-US"/>
    </w:rPr>
  </w:style>
  <w:style w:type="paragraph" w:customStyle="1" w:styleId="Text">
    <w:name w:val="Text"/>
    <w:basedOn w:val="Normal"/>
    <w:link w:val="TextChar3"/>
    <w:rsid w:val="003B167F"/>
    <w:pPr>
      <w:spacing w:before="120" w:line="240" w:lineRule="auto"/>
      <w:jc w:val="both"/>
    </w:pPr>
    <w:rPr>
      <w:rFonts w:ascii="Times New Roman" w:eastAsia="Times New Roman" w:hAnsi="Times New Roman" w:cs="Times New Roman"/>
      <w:color w:val="auto"/>
      <w:sz w:val="24"/>
      <w:szCs w:val="20"/>
      <w:lang w:val="en-US" w:eastAsia="en-US"/>
    </w:rPr>
  </w:style>
  <w:style w:type="character" w:customStyle="1" w:styleId="TextChar3">
    <w:name w:val="Text Char3"/>
    <w:basedOn w:val="DefaultParagraphFont"/>
    <w:link w:val="Text"/>
    <w:locked/>
    <w:rsid w:val="003B167F"/>
    <w:rPr>
      <w:rFonts w:ascii="Times New Roman" w:eastAsia="Times New Roman" w:hAnsi="Times New Roman" w:cs="Times New Roman"/>
      <w:color w:val="auto"/>
      <w:sz w:val="24"/>
      <w:szCs w:val="20"/>
    </w:rPr>
  </w:style>
  <w:style w:type="paragraph" w:customStyle="1" w:styleId="Listing">
    <w:name w:val="Listing"/>
    <w:basedOn w:val="NormalWeb"/>
    <w:autoRedefine/>
    <w:qFormat/>
    <w:rsid w:val="00FB4EE7"/>
    <w:pPr>
      <w:tabs>
        <w:tab w:val="left" w:pos="567"/>
        <w:tab w:val="left" w:pos="993"/>
      </w:tabs>
      <w:spacing w:before="0" w:beforeAutospacing="0" w:after="0" w:afterAutospacing="0"/>
      <w:jc w:val="both"/>
    </w:pPr>
    <w:rPr>
      <w:rFonts w:ascii="Arial" w:eastAsia="Times New Roman" w:hAnsi="Arial" w:cs="Arial"/>
      <w:b/>
      <w:kern w:val="20"/>
      <w:sz w:val="22"/>
      <w:szCs w:val="22"/>
      <w:lang w:val="en-US" w:eastAsia="es-ES"/>
    </w:rPr>
  </w:style>
  <w:style w:type="paragraph" w:customStyle="1" w:styleId="Titulo3">
    <w:name w:val="Titulo3"/>
    <w:basedOn w:val="Heading3"/>
    <w:next w:val="Normal"/>
    <w:autoRedefine/>
    <w:qFormat/>
    <w:rsid w:val="003B167F"/>
    <w:pPr>
      <w:numPr>
        <w:ilvl w:val="0"/>
        <w:numId w:val="0"/>
      </w:numPr>
      <w:tabs>
        <w:tab w:val="clear" w:pos="1152"/>
      </w:tabs>
      <w:spacing w:before="200" w:after="0" w:line="360" w:lineRule="auto"/>
      <w:jc w:val="left"/>
    </w:pPr>
    <w:rPr>
      <w:rFonts w:ascii="Arial" w:hAnsi="Arial" w:cs="Arial"/>
      <w:color w:val="auto"/>
      <w:kern w:val="20"/>
      <w:szCs w:val="22"/>
      <w:lang w:val="en-US"/>
    </w:rPr>
  </w:style>
  <w:style w:type="paragraph" w:styleId="Caption">
    <w:name w:val="caption"/>
    <w:aliases w:val="Tabla"/>
    <w:basedOn w:val="Normal"/>
    <w:next w:val="Normal"/>
    <w:autoRedefine/>
    <w:qFormat/>
    <w:rsid w:val="0045181E"/>
    <w:pPr>
      <w:tabs>
        <w:tab w:val="left" w:pos="425"/>
        <w:tab w:val="left" w:pos="851"/>
      </w:tabs>
      <w:spacing w:line="240" w:lineRule="auto"/>
      <w:jc w:val="both"/>
    </w:pPr>
    <w:rPr>
      <w:rFonts w:eastAsia="Times New Roman"/>
      <w:b/>
      <w:bCs/>
      <w:color w:val="auto"/>
      <w:kern w:val="20"/>
      <w:lang w:val="en-US" w:eastAsia="es-ES"/>
    </w:rPr>
  </w:style>
  <w:style w:type="character" w:styleId="UnresolvedMention">
    <w:name w:val="Unresolved Mention"/>
    <w:basedOn w:val="DefaultParagraphFont"/>
    <w:uiPriority w:val="99"/>
    <w:semiHidden/>
    <w:unhideWhenUsed/>
    <w:rsid w:val="003B13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77878">
      <w:bodyDiv w:val="1"/>
      <w:marLeft w:val="0"/>
      <w:marRight w:val="0"/>
      <w:marTop w:val="0"/>
      <w:marBottom w:val="0"/>
      <w:divBdr>
        <w:top w:val="none" w:sz="0" w:space="0" w:color="auto"/>
        <w:left w:val="none" w:sz="0" w:space="0" w:color="auto"/>
        <w:bottom w:val="none" w:sz="0" w:space="0" w:color="auto"/>
        <w:right w:val="none" w:sz="0" w:space="0" w:color="auto"/>
      </w:divBdr>
    </w:div>
    <w:div w:id="341204900">
      <w:bodyDiv w:val="1"/>
      <w:marLeft w:val="0"/>
      <w:marRight w:val="0"/>
      <w:marTop w:val="0"/>
      <w:marBottom w:val="0"/>
      <w:divBdr>
        <w:top w:val="none" w:sz="0" w:space="0" w:color="auto"/>
        <w:left w:val="none" w:sz="0" w:space="0" w:color="auto"/>
        <w:bottom w:val="none" w:sz="0" w:space="0" w:color="auto"/>
        <w:right w:val="none" w:sz="0" w:space="0" w:color="auto"/>
      </w:divBdr>
    </w:div>
    <w:div w:id="661085021">
      <w:bodyDiv w:val="1"/>
      <w:marLeft w:val="0"/>
      <w:marRight w:val="0"/>
      <w:marTop w:val="0"/>
      <w:marBottom w:val="0"/>
      <w:divBdr>
        <w:top w:val="none" w:sz="0" w:space="0" w:color="auto"/>
        <w:left w:val="none" w:sz="0" w:space="0" w:color="auto"/>
        <w:bottom w:val="none" w:sz="0" w:space="0" w:color="auto"/>
        <w:right w:val="none" w:sz="0" w:space="0" w:color="auto"/>
      </w:divBdr>
    </w:div>
    <w:div w:id="729958521">
      <w:bodyDiv w:val="1"/>
      <w:marLeft w:val="0"/>
      <w:marRight w:val="0"/>
      <w:marTop w:val="0"/>
      <w:marBottom w:val="0"/>
      <w:divBdr>
        <w:top w:val="none" w:sz="0" w:space="0" w:color="auto"/>
        <w:left w:val="none" w:sz="0" w:space="0" w:color="auto"/>
        <w:bottom w:val="none" w:sz="0" w:space="0" w:color="auto"/>
        <w:right w:val="none" w:sz="0" w:space="0" w:color="auto"/>
      </w:divBdr>
    </w:div>
    <w:div w:id="895167575">
      <w:bodyDiv w:val="1"/>
      <w:marLeft w:val="0"/>
      <w:marRight w:val="0"/>
      <w:marTop w:val="0"/>
      <w:marBottom w:val="0"/>
      <w:divBdr>
        <w:top w:val="none" w:sz="0" w:space="0" w:color="auto"/>
        <w:left w:val="none" w:sz="0" w:space="0" w:color="auto"/>
        <w:bottom w:val="none" w:sz="0" w:space="0" w:color="auto"/>
        <w:right w:val="none" w:sz="0" w:space="0" w:color="auto"/>
      </w:divBdr>
    </w:div>
    <w:div w:id="1136870131">
      <w:bodyDiv w:val="1"/>
      <w:marLeft w:val="0"/>
      <w:marRight w:val="0"/>
      <w:marTop w:val="0"/>
      <w:marBottom w:val="0"/>
      <w:divBdr>
        <w:top w:val="none" w:sz="0" w:space="0" w:color="auto"/>
        <w:left w:val="none" w:sz="0" w:space="0" w:color="auto"/>
        <w:bottom w:val="none" w:sz="0" w:space="0" w:color="auto"/>
        <w:right w:val="none" w:sz="0" w:space="0" w:color="auto"/>
      </w:divBdr>
    </w:div>
    <w:div w:id="1227298909">
      <w:bodyDiv w:val="1"/>
      <w:marLeft w:val="0"/>
      <w:marRight w:val="0"/>
      <w:marTop w:val="0"/>
      <w:marBottom w:val="0"/>
      <w:divBdr>
        <w:top w:val="none" w:sz="0" w:space="0" w:color="auto"/>
        <w:left w:val="none" w:sz="0" w:space="0" w:color="auto"/>
        <w:bottom w:val="none" w:sz="0" w:space="0" w:color="auto"/>
        <w:right w:val="none" w:sz="0" w:space="0" w:color="auto"/>
      </w:divBdr>
    </w:div>
    <w:div w:id="1290624803">
      <w:bodyDiv w:val="1"/>
      <w:marLeft w:val="0"/>
      <w:marRight w:val="0"/>
      <w:marTop w:val="0"/>
      <w:marBottom w:val="0"/>
      <w:divBdr>
        <w:top w:val="none" w:sz="0" w:space="0" w:color="auto"/>
        <w:left w:val="none" w:sz="0" w:space="0" w:color="auto"/>
        <w:bottom w:val="none" w:sz="0" w:space="0" w:color="auto"/>
        <w:right w:val="none" w:sz="0" w:space="0" w:color="auto"/>
      </w:divBdr>
    </w:div>
    <w:div w:id="1367635174">
      <w:bodyDiv w:val="1"/>
      <w:marLeft w:val="0"/>
      <w:marRight w:val="0"/>
      <w:marTop w:val="0"/>
      <w:marBottom w:val="0"/>
      <w:divBdr>
        <w:top w:val="none" w:sz="0" w:space="0" w:color="auto"/>
        <w:left w:val="none" w:sz="0" w:space="0" w:color="auto"/>
        <w:bottom w:val="none" w:sz="0" w:space="0" w:color="auto"/>
        <w:right w:val="none" w:sz="0" w:space="0" w:color="auto"/>
      </w:divBdr>
    </w:div>
    <w:div w:id="1419987827">
      <w:bodyDiv w:val="1"/>
      <w:marLeft w:val="0"/>
      <w:marRight w:val="0"/>
      <w:marTop w:val="0"/>
      <w:marBottom w:val="0"/>
      <w:divBdr>
        <w:top w:val="none" w:sz="0" w:space="0" w:color="auto"/>
        <w:left w:val="none" w:sz="0" w:space="0" w:color="auto"/>
        <w:bottom w:val="none" w:sz="0" w:space="0" w:color="auto"/>
        <w:right w:val="none" w:sz="0" w:space="0" w:color="auto"/>
      </w:divBdr>
    </w:div>
    <w:div w:id="1558207068">
      <w:bodyDiv w:val="1"/>
      <w:marLeft w:val="0"/>
      <w:marRight w:val="0"/>
      <w:marTop w:val="0"/>
      <w:marBottom w:val="0"/>
      <w:divBdr>
        <w:top w:val="none" w:sz="0" w:space="0" w:color="auto"/>
        <w:left w:val="none" w:sz="0" w:space="0" w:color="auto"/>
        <w:bottom w:val="none" w:sz="0" w:space="0" w:color="auto"/>
        <w:right w:val="none" w:sz="0" w:space="0" w:color="auto"/>
      </w:divBdr>
    </w:div>
    <w:div w:id="1971129451">
      <w:bodyDiv w:val="1"/>
      <w:marLeft w:val="0"/>
      <w:marRight w:val="0"/>
      <w:marTop w:val="0"/>
      <w:marBottom w:val="0"/>
      <w:divBdr>
        <w:top w:val="none" w:sz="0" w:space="0" w:color="auto"/>
        <w:left w:val="none" w:sz="0" w:space="0" w:color="auto"/>
        <w:bottom w:val="none" w:sz="0" w:space="0" w:color="auto"/>
        <w:right w:val="none" w:sz="0" w:space="0" w:color="auto"/>
      </w:divBdr>
    </w:div>
    <w:div w:id="1991404554">
      <w:bodyDiv w:val="1"/>
      <w:marLeft w:val="0"/>
      <w:marRight w:val="0"/>
      <w:marTop w:val="0"/>
      <w:marBottom w:val="0"/>
      <w:divBdr>
        <w:top w:val="none" w:sz="0" w:space="0" w:color="auto"/>
        <w:left w:val="none" w:sz="0" w:space="0" w:color="auto"/>
        <w:bottom w:val="none" w:sz="0" w:space="0" w:color="auto"/>
        <w:right w:val="none" w:sz="0" w:space="0" w:color="auto"/>
      </w:divBdr>
    </w:div>
    <w:div w:id="2049602179">
      <w:bodyDiv w:val="1"/>
      <w:marLeft w:val="0"/>
      <w:marRight w:val="0"/>
      <w:marTop w:val="0"/>
      <w:marBottom w:val="0"/>
      <w:divBdr>
        <w:top w:val="none" w:sz="0" w:space="0" w:color="auto"/>
        <w:left w:val="none" w:sz="0" w:space="0" w:color="auto"/>
        <w:bottom w:val="none" w:sz="0" w:space="0" w:color="auto"/>
        <w:right w:val="none" w:sz="0" w:space="0" w:color="auto"/>
      </w:divBdr>
    </w:div>
    <w:div w:id="2120173024">
      <w:bodyDiv w:val="1"/>
      <w:marLeft w:val="0"/>
      <w:marRight w:val="0"/>
      <w:marTop w:val="0"/>
      <w:marBottom w:val="0"/>
      <w:divBdr>
        <w:top w:val="none" w:sz="0" w:space="0" w:color="auto"/>
        <w:left w:val="none" w:sz="0" w:space="0" w:color="auto"/>
        <w:bottom w:val="none" w:sz="0" w:space="0" w:color="auto"/>
        <w:right w:val="none" w:sz="0" w:space="0" w:color="auto"/>
      </w:divBdr>
      <w:divsChild>
        <w:div w:id="390881657">
          <w:marLeft w:val="274"/>
          <w:marRight w:val="0"/>
          <w:marTop w:val="0"/>
          <w:marBottom w:val="0"/>
          <w:divBdr>
            <w:top w:val="none" w:sz="0" w:space="0" w:color="auto"/>
            <w:left w:val="none" w:sz="0" w:space="0" w:color="auto"/>
            <w:bottom w:val="none" w:sz="0" w:space="0" w:color="auto"/>
            <w:right w:val="none" w:sz="0" w:space="0" w:color="auto"/>
          </w:divBdr>
        </w:div>
        <w:div w:id="574364822">
          <w:marLeft w:val="274"/>
          <w:marRight w:val="0"/>
          <w:marTop w:val="0"/>
          <w:marBottom w:val="0"/>
          <w:divBdr>
            <w:top w:val="none" w:sz="0" w:space="0" w:color="auto"/>
            <w:left w:val="none" w:sz="0" w:space="0" w:color="auto"/>
            <w:bottom w:val="none" w:sz="0" w:space="0" w:color="auto"/>
            <w:right w:val="none" w:sz="0" w:space="0" w:color="auto"/>
          </w:divBdr>
        </w:div>
        <w:div w:id="1036463544">
          <w:marLeft w:val="274"/>
          <w:marRight w:val="0"/>
          <w:marTop w:val="0"/>
          <w:marBottom w:val="0"/>
          <w:divBdr>
            <w:top w:val="none" w:sz="0" w:space="0" w:color="auto"/>
            <w:left w:val="none" w:sz="0" w:space="0" w:color="auto"/>
            <w:bottom w:val="none" w:sz="0" w:space="0" w:color="auto"/>
            <w:right w:val="none" w:sz="0" w:space="0" w:color="auto"/>
          </w:divBdr>
        </w:div>
        <w:div w:id="111864688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ncologia.apro@gmail.com" TargetMode="Externa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e.iupui.edu/clinpharm/ddis/table.asp" TargetMode="External"/><Relationship Id="rId5" Type="http://schemas.openxmlformats.org/officeDocument/2006/relationships/webSettings" Target="webSettings.xml"/><Relationship Id="rId15" Type="http://schemas.openxmlformats.org/officeDocument/2006/relationships/image" Target="cid:image003.png@01D36468.3AF382D0" TargetMode="External"/><Relationship Id="rId10" Type="http://schemas.openxmlformats.org/officeDocument/2006/relationships/hyperlink" Target="mailto:alain.ravaud@chu-bordeaux.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jbellmunt@parcdesalutmar.cat" TargetMode="Externa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adoel\AppData\Roaming\Microsoft\Templates\PIVOTAL\Blank_page.dotx" TargetMode="External"/></Relationships>
</file>

<file path=word/theme/theme1.xml><?xml version="1.0" encoding="utf-8"?>
<a:theme xmlns:a="http://schemas.openxmlformats.org/drawingml/2006/main" name="Pivotal">
  <a:themeElements>
    <a:clrScheme name="Pivotal">
      <a:dk1>
        <a:srgbClr val="7F7F7F"/>
      </a:dk1>
      <a:lt1>
        <a:srgbClr val="FFFFFF"/>
      </a:lt1>
      <a:dk2>
        <a:srgbClr val="FD9C1B"/>
      </a:dk2>
      <a:lt2>
        <a:srgbClr val="92D050"/>
      </a:lt2>
      <a:accent1>
        <a:srgbClr val="27323F"/>
      </a:accent1>
      <a:accent2>
        <a:srgbClr val="002E59"/>
      </a:accent2>
      <a:accent3>
        <a:srgbClr val="144E84"/>
      </a:accent3>
      <a:accent4>
        <a:srgbClr val="328FC1"/>
      </a:accent4>
      <a:accent5>
        <a:srgbClr val="0070B9"/>
      </a:accent5>
      <a:accent6>
        <a:srgbClr val="4496E2"/>
      </a:accent6>
      <a:hlink>
        <a:srgbClr val="92D050"/>
      </a:hlink>
      <a:folHlink>
        <a:srgbClr val="C00000"/>
      </a:folHlink>
    </a:clrScheme>
    <a:fontScheme name="Pivotal">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Pivotal" id="{0585BE30-FC85-4211-80F9-6868C2554E6A}" vid="{3BD34E5C-B06D-4455-8BEE-1C67540FDAD0}"/>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11F30B-00EA-4851-B5C8-995DC9E98B08}">
  <we:reference id="wa104380050" version="2.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28065-EB06-4177-AD95-918492CA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Blank_page</Template>
  <TotalTime>1</TotalTime>
  <Pages>52</Pages>
  <Words>13533</Words>
  <Characters>77141</Characters>
  <Application>Microsoft Office Word</Application>
  <DocSecurity>4</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Rosado</dc:creator>
  <cp:keywords/>
  <dc:description/>
  <cp:lastModifiedBy>Sonia Macia</cp:lastModifiedBy>
  <cp:revision>2</cp:revision>
  <cp:lastPrinted>2017-12-14T09:15:00Z</cp:lastPrinted>
  <dcterms:created xsi:type="dcterms:W3CDTF">2018-04-17T11:09:00Z</dcterms:created>
  <dcterms:modified xsi:type="dcterms:W3CDTF">2018-04-17T11:09:00Z</dcterms:modified>
</cp:coreProperties>
</file>