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911" w:rsidRDefault="009D3CC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433704</wp:posOffset>
                </wp:positionV>
                <wp:extent cx="3287395" cy="6638925"/>
                <wp:effectExtent l="0" t="0" r="8255" b="9525"/>
                <wp:wrapNone/>
                <wp:docPr id="1" name="Tekstva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7395" cy="6638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D3CCC" w:rsidRPr="0023784B" w:rsidRDefault="009D3CCC" w:rsidP="009D3CC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3784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Table 3.</w:t>
                            </w:r>
                            <w:r w:rsidRPr="0023784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BD770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Relationships between cytokine levels, pain scores and postoperative complications. </w:t>
                            </w:r>
                          </w:p>
                          <w:tbl>
                            <w:tblPr>
                              <w:tblStyle w:val="Tabelraster"/>
                              <w:tblW w:w="0" w:type="auto"/>
                              <w:tblInd w:w="-2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80"/>
                              <w:gridCol w:w="425"/>
                              <w:gridCol w:w="2008"/>
                              <w:gridCol w:w="992"/>
                            </w:tblGrid>
                            <w:tr w:rsidR="009D3CCC">
                              <w:trPr>
                                <w:trHeight w:val="241"/>
                              </w:trPr>
                              <w:tc>
                                <w:tcPr>
                                  <w:tcW w:w="1280" w:type="dxa"/>
                                  <w:tcBorders>
                                    <w:top w:val="single" w:sz="18" w:space="0" w:color="auto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</w:tcPr>
                                <w:p w:rsidR="009D3CCC" w:rsidRPr="009D3CCC" w:rsidRDefault="009D3CCC">
                                  <w:pPr>
                                    <w:jc w:val="center"/>
                                    <w:rPr>
                                      <w:rFonts w:cs="Calibri"/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18" w:space="0" w:color="auto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8" w:type="dxa"/>
                                  <w:tcBorders>
                                    <w:top w:val="single" w:sz="18" w:space="0" w:color="auto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Odds ratio (95% CI)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18" w:space="0" w:color="auto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tcBorders>
                                    <w:top w:val="single" w:sz="18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NRS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18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bottom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tcBorders>
                                    <w:top w:val="single" w:sz="18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bottom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/>
                                      <w:bCs/>
                                      <w:sz w:val="18"/>
                                      <w:szCs w:val="18"/>
                                    </w:rPr>
                                    <w:t>1.464 (0.941 – 2.278)†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18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bottom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0.091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382"/>
                              </w:trPr>
                              <w:tc>
                                <w:tcPr>
                                  <w:tcW w:w="1280" w:type="dxa"/>
                                  <w:vMerge/>
                                  <w:tcBorders>
                                    <w:top w:val="single" w:sz="18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/>
                                      <w:bCs/>
                                      <w:sz w:val="18"/>
                                      <w:szCs w:val="18"/>
                                    </w:rPr>
                                    <w:t>2.028 (</w:t>
                                  </w:r>
                                  <w:r w:rsidRPr="009D3CCC">
                                    <w:rPr>
                                      <w:rFonts w:ascii="Calibri" w:hAnsi="Calibri" w:cs="Times"/>
                                      <w:bCs/>
                                      <w:sz w:val="18"/>
                                      <w:szCs w:val="18"/>
                                    </w:rPr>
                                    <w:t>1.134 – 3.628)‡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0.017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142"/>
                              </w:trPr>
                              <w:tc>
                                <w:tcPr>
                                  <w:tcW w:w="1280" w:type="dxa"/>
                                  <w:vAlign w:val="bottom"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vAlign w:val="bottom"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8" w:type="dxa"/>
                                  <w:vAlign w:val="bottom"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vAlign w:val="bottom"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9D3CC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bottom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vAlign w:val="bottom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1.359 (0.918 – 2.010)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bottom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0.125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280" w:type="dxa"/>
                                  <w:vMerge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1.036 (0.992 – 1.082)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0.113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0.690 (0.207 – 2.301)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0.546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280" w:type="dxa"/>
                                  <w:vMerge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1.053 (0.963 – 1.151)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0.255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IL-6/IL-10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2.918 (0.848 – 10.047)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0.089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280" w:type="dxa"/>
                                  <w:vMerge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1.196 (0.917 – 1.559)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0.186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IL-1β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0.321 (0.007 – 14.874)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0.561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280" w:type="dxa"/>
                                  <w:vMerge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0.802 (0.228 – 2.822)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0.731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IL-1Ra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1.003 (0.999 – 1.007)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0.136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280" w:type="dxa"/>
                                  <w:vMerge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1.000 (0.999 – 1.001)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0.940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80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IL-1β/IL-1Ra*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0.521 (0.167 – 1.623)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0.261</w:t>
                                  </w:r>
                                </w:p>
                              </w:tc>
                            </w:tr>
                            <w:tr w:rsidR="009D3CCC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28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2008" w:type="dxa"/>
                                  <w:tcBorders>
                                    <w:top w:val="nil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bCs/>
                                      <w:sz w:val="18"/>
                                      <w:szCs w:val="18"/>
                                    </w:rPr>
                                    <w:t>1.251 (</w:t>
                                  </w: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0.601 – 2.605)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nil"/>
                                    <w:left w:val="nil"/>
                                    <w:bottom w:val="single" w:sz="18" w:space="0" w:color="auto"/>
                                    <w:right w:val="nil"/>
                                  </w:tcBorders>
                                  <w:hideMark/>
                                </w:tcPr>
                                <w:p w:rsidR="009D3CCC" w:rsidRPr="009D3CCC" w:rsidRDefault="009D3CCC">
                                  <w:pP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 w:rsidRPr="009D3CCC"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>0.549</w:t>
                                  </w:r>
                                </w:p>
                              </w:tc>
                            </w:tr>
                          </w:tbl>
                          <w:p w:rsidR="009D3CCC" w:rsidRPr="009D3CCC" w:rsidRDefault="00422893" w:rsidP="00E55C7A">
                            <w:pPr>
                              <w:pStyle w:val="Kop1"/>
                              <w:rPr>
                                <w:rFonts w:ascii="Cambria" w:hAnsi="Cambria" w:cs="Times New Roman"/>
                                <w:color w:val="auto"/>
                              </w:rPr>
                            </w:pP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lang w:val="en-US"/>
                              </w:rPr>
                              <w:t xml:space="preserve">Odds ratios with 95% confidence intervals (CI) obtained from univariate binary logistic regressions estimating the association between pain scores or cytokine levels on one hand and the occurrence of a 30-day complication on the other. </w:t>
                            </w:r>
                            <w:bookmarkStart w:id="1" w:name="_Hlk13475652"/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lang w:val="en-US"/>
                              </w:rPr>
                              <w:t>For pain scores, which were obtained with Numeric Rating Scale (NRS) at 4 hours after operation (t2) the dependent variable was the occurrence of any complication according to the CDC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†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lang w:val="en-US"/>
                              </w:rPr>
                              <w:t xml:space="preserve"> or only a potentially immune-related complication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‡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lang w:val="en-US"/>
                              </w:rPr>
                              <w:t xml:space="preserve"> (PIRC). For cytokine levels and two of their ratios at baseline (t0) and t2, the dependent variable was the occurrence of a PIRC. NRS was associated with PIRC in these univariate analyses. </w:t>
                            </w:r>
                            <w:bookmarkEnd w:id="1"/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lang w:val="en-US"/>
                              </w:rPr>
                              <w:t>*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</w:rPr>
                              <w:t>Results for IL-1β/IL-1Ra are to be multiplied by 10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vertAlign w:val="superscript"/>
                              </w:rPr>
                              <w:t>-3</w:t>
                            </w:r>
                            <w:r w:rsidRPr="00E55C7A">
                              <w:rPr>
                                <w:rFonts w:ascii="Arial" w:hAnsi="Arial" w:cs="Arial"/>
                                <w:color w:val="auto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5" o:spid="_x0000_s1026" type="#_x0000_t202" style="position:absolute;margin-left:.4pt;margin-top:34.15pt;width:258.85pt;height:52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" fillcolor="window" stroked="f" strokeweight=".5pt">
                <v:textbox>
                  <w:txbxContent>
                    <w:p w:rsidR="009D3CCC" w:rsidRPr="0023784B" w:rsidRDefault="009D3CCC" w:rsidP="009D3CC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23784B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Table 3.</w:t>
                      </w:r>
                      <w:r w:rsidRPr="0023784B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BD770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Relationships between cytokine levels, pain scores and postoperative complications. </w:t>
                      </w:r>
                    </w:p>
                    <w:tbl>
                      <w:tblPr>
                        <w:tblStyle w:val="Tabelraster"/>
                        <w:tblW w:w="0" w:type="auto"/>
                        <w:tblInd w:w="-2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80"/>
                        <w:gridCol w:w="425"/>
                        <w:gridCol w:w="2008"/>
                        <w:gridCol w:w="992"/>
                      </w:tblGrid>
                      <w:tr w:rsidR="009D3CCC">
                        <w:trPr>
                          <w:trHeight w:val="241"/>
                        </w:trPr>
                        <w:tc>
                          <w:tcPr>
                            <w:tcW w:w="1280" w:type="dxa"/>
                            <w:tcBorders>
                              <w:top w:val="single" w:sz="18" w:space="0" w:color="auto"/>
                              <w:left w:val="nil"/>
                              <w:bottom w:val="single" w:sz="18" w:space="0" w:color="auto"/>
                              <w:right w:val="nil"/>
                            </w:tcBorders>
                          </w:tcPr>
                          <w:p w:rsidR="009D3CCC" w:rsidRPr="009D3CCC" w:rsidRDefault="009D3CCC">
                            <w:pPr>
                              <w:jc w:val="center"/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18" w:space="0" w:color="auto"/>
                              <w:left w:val="nil"/>
                              <w:bottom w:val="single" w:sz="18" w:space="0" w:color="auto"/>
                              <w:right w:val="nil"/>
                            </w:tcBorders>
                          </w:tcPr>
                          <w:p w:rsidR="009D3CCC" w:rsidRPr="009D3CCC" w:rsidRDefault="009D3CCC">
                            <w:pPr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008" w:type="dxa"/>
                            <w:tcBorders>
                              <w:top w:val="single" w:sz="18" w:space="0" w:color="auto"/>
                              <w:left w:val="nil"/>
                              <w:bottom w:val="single" w:sz="18" w:space="0" w:color="auto"/>
                              <w:right w:val="nil"/>
                            </w:tcBorders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Odds ratio (95% CI)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18" w:space="0" w:color="auto"/>
                              <w:left w:val="nil"/>
                              <w:bottom w:val="single" w:sz="18" w:space="0" w:color="auto"/>
                              <w:right w:val="nil"/>
                            </w:tcBorders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i/>
                                <w:sz w:val="18"/>
                                <w:szCs w:val="18"/>
                              </w:rPr>
                              <w:t>P</w:t>
                            </w:r>
                          </w:p>
                        </w:tc>
                      </w:tr>
                      <w:tr w:rsidR="009D3CCC">
                        <w:trPr>
                          <w:trHeight w:hRule="exact" w:val="369"/>
                        </w:trPr>
                        <w:tc>
                          <w:tcPr>
                            <w:tcW w:w="1280" w:type="dxa"/>
                            <w:vMerge w:val="restart"/>
                            <w:tcBorders>
                              <w:top w:val="single" w:sz="18" w:space="0" w:color="auto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NRS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18" w:space="0" w:color="auto"/>
                              <w:left w:val="nil"/>
                              <w:bottom w:val="nil"/>
                              <w:right w:val="nil"/>
                            </w:tcBorders>
                            <w:vAlign w:val="bottom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tcBorders>
                              <w:top w:val="single" w:sz="18" w:space="0" w:color="auto"/>
                              <w:left w:val="nil"/>
                              <w:bottom w:val="nil"/>
                              <w:right w:val="nil"/>
                            </w:tcBorders>
                            <w:vAlign w:val="bottom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>1.464 (0.941 – 2.278)†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18" w:space="0" w:color="auto"/>
                              <w:left w:val="nil"/>
                              <w:bottom w:val="nil"/>
                              <w:right w:val="nil"/>
                            </w:tcBorders>
                            <w:vAlign w:val="bottom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0.091</w:t>
                            </w:r>
                          </w:p>
                        </w:tc>
                      </w:tr>
                      <w:tr w:rsidR="009D3CCC">
                        <w:trPr>
                          <w:trHeight w:hRule="exact" w:val="382"/>
                        </w:trPr>
                        <w:tc>
                          <w:tcPr>
                            <w:tcW w:w="1280" w:type="dxa"/>
                            <w:vMerge/>
                            <w:tcBorders>
                              <w:top w:val="single" w:sz="18" w:space="0" w:color="auto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>2.028 (</w:t>
                            </w:r>
                            <w:r w:rsidRPr="009D3CCC">
                              <w:rPr>
                                <w:rFonts w:ascii="Calibri" w:hAnsi="Calibri" w:cs="Times"/>
                                <w:bCs/>
                                <w:sz w:val="18"/>
                                <w:szCs w:val="18"/>
                              </w:rPr>
                              <w:t>1.134 – 3.628)‡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0.017</w:t>
                            </w:r>
                          </w:p>
                        </w:tc>
                      </w:tr>
                      <w:tr w:rsidR="009D3CCC">
                        <w:trPr>
                          <w:trHeight w:hRule="exact" w:val="142"/>
                        </w:trPr>
                        <w:tc>
                          <w:tcPr>
                            <w:tcW w:w="1280" w:type="dxa"/>
                            <w:vAlign w:val="bottom"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vAlign w:val="bottom"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008" w:type="dxa"/>
                            <w:vAlign w:val="bottom"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vAlign w:val="bottom"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9D3CCC">
                        <w:trPr>
                          <w:trHeight w:hRule="exact" w:val="284"/>
                        </w:trPr>
                        <w:tc>
                          <w:tcPr>
                            <w:tcW w:w="1280" w:type="dxa"/>
                            <w:vMerge w:val="restart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IL-6</w:t>
                            </w:r>
                          </w:p>
                        </w:tc>
                        <w:tc>
                          <w:tcPr>
                            <w:tcW w:w="425" w:type="dxa"/>
                            <w:vAlign w:val="bottom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2008" w:type="dxa"/>
                            <w:vAlign w:val="bottom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1.359 (0.918 – 2.010)</w:t>
                            </w:r>
                          </w:p>
                        </w:tc>
                        <w:tc>
                          <w:tcPr>
                            <w:tcW w:w="992" w:type="dxa"/>
                            <w:vAlign w:val="bottom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0.125</w:t>
                            </w:r>
                          </w:p>
                        </w:tc>
                      </w:tr>
                      <w:tr w:rsidR="009D3CCC">
                        <w:trPr>
                          <w:trHeight w:hRule="exact" w:val="454"/>
                        </w:trPr>
                        <w:tc>
                          <w:tcPr>
                            <w:tcW w:w="1280" w:type="dxa"/>
                            <w:vMerge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1.036 (0.992 – 1.082)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0.113</w:t>
                            </w:r>
                          </w:p>
                        </w:tc>
                      </w:tr>
                      <w:tr w:rsidR="009D3CCC">
                        <w:trPr>
                          <w:trHeight w:hRule="exact" w:val="284"/>
                        </w:trPr>
                        <w:tc>
                          <w:tcPr>
                            <w:tcW w:w="1280" w:type="dxa"/>
                            <w:vMerge w:val="restart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IL-10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0.690 (0.207 – 2.301)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0.546</w:t>
                            </w:r>
                          </w:p>
                        </w:tc>
                      </w:tr>
                      <w:tr w:rsidR="009D3CCC">
                        <w:trPr>
                          <w:trHeight w:hRule="exact" w:val="454"/>
                        </w:trPr>
                        <w:tc>
                          <w:tcPr>
                            <w:tcW w:w="1280" w:type="dxa"/>
                            <w:vMerge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1.053 (0.963 – 1.151)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0.255</w:t>
                            </w:r>
                          </w:p>
                        </w:tc>
                      </w:tr>
                      <w:tr w:rsidR="009D3CCC">
                        <w:trPr>
                          <w:trHeight w:hRule="exact" w:val="284"/>
                        </w:trPr>
                        <w:tc>
                          <w:tcPr>
                            <w:tcW w:w="1280" w:type="dxa"/>
                            <w:vMerge w:val="restart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IL-6/IL-10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2.918 (0.848 – 10.047)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0.089</w:t>
                            </w:r>
                          </w:p>
                        </w:tc>
                      </w:tr>
                      <w:tr w:rsidR="009D3CCC">
                        <w:trPr>
                          <w:trHeight w:hRule="exact" w:val="454"/>
                        </w:trPr>
                        <w:tc>
                          <w:tcPr>
                            <w:tcW w:w="1280" w:type="dxa"/>
                            <w:vMerge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1.196 (0.917 – 1.559)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0.186</w:t>
                            </w:r>
                          </w:p>
                        </w:tc>
                      </w:tr>
                      <w:tr w:rsidR="009D3CCC">
                        <w:trPr>
                          <w:trHeight w:hRule="exact" w:val="284"/>
                        </w:trPr>
                        <w:tc>
                          <w:tcPr>
                            <w:tcW w:w="1280" w:type="dxa"/>
                            <w:vMerge w:val="restart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IL-1β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0.321 (0.007 – 14.874)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0.561</w:t>
                            </w:r>
                          </w:p>
                        </w:tc>
                      </w:tr>
                      <w:tr w:rsidR="009D3CCC">
                        <w:trPr>
                          <w:trHeight w:hRule="exact" w:val="454"/>
                        </w:trPr>
                        <w:tc>
                          <w:tcPr>
                            <w:tcW w:w="1280" w:type="dxa"/>
                            <w:vMerge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0.802 (0.228 – 2.822)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0.731</w:t>
                            </w:r>
                          </w:p>
                        </w:tc>
                      </w:tr>
                      <w:tr w:rsidR="009D3CCC">
                        <w:trPr>
                          <w:trHeight w:hRule="exact" w:val="284"/>
                        </w:trPr>
                        <w:tc>
                          <w:tcPr>
                            <w:tcW w:w="1280" w:type="dxa"/>
                            <w:vMerge w:val="restart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IL-1Ra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1.003 (0.999 – 1.007)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0.136</w:t>
                            </w:r>
                          </w:p>
                        </w:tc>
                      </w:tr>
                      <w:tr w:rsidR="009D3CCC">
                        <w:trPr>
                          <w:trHeight w:hRule="exact" w:val="454"/>
                        </w:trPr>
                        <w:tc>
                          <w:tcPr>
                            <w:tcW w:w="1280" w:type="dxa"/>
                            <w:vMerge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1.000 (0.999 – 1.001)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0.940</w:t>
                            </w:r>
                          </w:p>
                        </w:tc>
                      </w:tr>
                      <w:tr w:rsidR="009D3CCC">
                        <w:trPr>
                          <w:trHeight w:hRule="exact" w:val="284"/>
                        </w:trPr>
                        <w:tc>
                          <w:tcPr>
                            <w:tcW w:w="1280" w:type="dxa"/>
                            <w:vMerge w:val="restart"/>
                            <w:tcBorders>
                              <w:top w:val="nil"/>
                              <w:left w:val="nil"/>
                              <w:bottom w:val="single" w:sz="18" w:space="0" w:color="auto"/>
                              <w:right w:val="nil"/>
                            </w:tcBorders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IL-1β/IL-1Ra*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2008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0.521 (0.167 – 1.623)</w:t>
                            </w:r>
                          </w:p>
                        </w:tc>
                        <w:tc>
                          <w:tcPr>
                            <w:tcW w:w="992" w:type="dxa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0.261</w:t>
                            </w:r>
                          </w:p>
                        </w:tc>
                      </w:tr>
                      <w:tr w:rsidR="009D3CCC">
                        <w:trPr>
                          <w:trHeight w:hRule="exact" w:val="454"/>
                        </w:trPr>
                        <w:tc>
                          <w:tcPr>
                            <w:tcW w:w="1280" w:type="dxa"/>
                            <w:vMerge/>
                            <w:tcBorders>
                              <w:top w:val="nil"/>
                              <w:left w:val="nil"/>
                              <w:bottom w:val="single" w:sz="18" w:space="0" w:color="auto"/>
                              <w:right w:val="nil"/>
                            </w:tcBorders>
                            <w:vAlign w:val="center"/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nil"/>
                              <w:bottom w:val="single" w:sz="18" w:space="0" w:color="auto"/>
                              <w:right w:val="nil"/>
                            </w:tcBorders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2008" w:type="dxa"/>
                            <w:tcBorders>
                              <w:top w:val="nil"/>
                              <w:left w:val="nil"/>
                              <w:bottom w:val="single" w:sz="18" w:space="0" w:color="auto"/>
                              <w:right w:val="nil"/>
                            </w:tcBorders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bCs/>
                                <w:sz w:val="18"/>
                                <w:szCs w:val="18"/>
                              </w:rPr>
                              <w:t>1.251 (</w:t>
                            </w: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0.601 – 2.605)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nil"/>
                              <w:left w:val="nil"/>
                              <w:bottom w:val="single" w:sz="18" w:space="0" w:color="auto"/>
                              <w:right w:val="nil"/>
                            </w:tcBorders>
                            <w:hideMark/>
                          </w:tcPr>
                          <w:p w:rsidR="009D3CCC" w:rsidRPr="009D3CCC" w:rsidRDefault="009D3CCC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D3CCC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0.549</w:t>
                            </w:r>
                          </w:p>
                        </w:tc>
                      </w:tr>
                    </w:tbl>
                    <w:p w:rsidR="009D3CCC" w:rsidRPr="009D3CCC" w:rsidRDefault="00422893" w:rsidP="00E55C7A">
                      <w:pPr>
                        <w:pStyle w:val="Kop1"/>
                        <w:rPr>
                          <w:rFonts w:ascii="Cambria" w:hAnsi="Cambria" w:cs="Times New Roman"/>
                          <w:color w:val="auto"/>
                        </w:rPr>
                      </w:pP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lang w:val="en-US"/>
                        </w:rPr>
                        <w:t xml:space="preserve">Odds ratios with 95% confidence intervals (CI) obtained from univariate binary logistic regressions estimating the association between pain scores or cytokine levels on one hand and the occurrence of a 30-day complication on the other. </w:t>
                      </w:r>
                      <w:bookmarkStart w:id="2" w:name="_Hlk13475652"/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lang w:val="en-US"/>
                        </w:rPr>
                        <w:t>For pain scores, which were obtained with Numeric Rating Scale (NRS) at 4 hours after operation (t2) the dependent variable was the occurrence of any complication according to the CDC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vertAlign w:val="superscript"/>
                          <w:lang w:val="en-US"/>
                        </w:rPr>
                        <w:t>†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lang w:val="en-US"/>
                        </w:rPr>
                        <w:t xml:space="preserve"> or only a potentially immune-related complication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vertAlign w:val="superscript"/>
                          <w:lang w:val="en-US"/>
                        </w:rPr>
                        <w:t>‡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lang w:val="en-US"/>
                        </w:rPr>
                        <w:t xml:space="preserve"> (PIRC). For cytokine levels and two of their ratios at baseline (t0) and t2, the dependent variable was the occurrence of a PIRC. NRS was associated with PIRC in these univariate analyses. </w:t>
                      </w:r>
                      <w:bookmarkEnd w:id="2"/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lang w:val="en-US"/>
                        </w:rPr>
                        <w:t>*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</w:rPr>
                        <w:t>Results for IL-1β/IL-1Ra are to be multiplied by 10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vertAlign w:val="superscript"/>
                        </w:rPr>
                        <w:t>-3</w:t>
                      </w:r>
                      <w:r w:rsidRPr="00E55C7A">
                        <w:rPr>
                          <w:rFonts w:ascii="Arial" w:hAnsi="Arial" w:cs="Arial"/>
                          <w:color w:val="auto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50911" w:rsidSect="00DF5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CCC"/>
    <w:rsid w:val="00072288"/>
    <w:rsid w:val="00100FE6"/>
    <w:rsid w:val="0019696D"/>
    <w:rsid w:val="0023784B"/>
    <w:rsid w:val="002534FB"/>
    <w:rsid w:val="00261ADF"/>
    <w:rsid w:val="00422893"/>
    <w:rsid w:val="004C216B"/>
    <w:rsid w:val="005C6007"/>
    <w:rsid w:val="007A4C20"/>
    <w:rsid w:val="00855DC1"/>
    <w:rsid w:val="00876C0E"/>
    <w:rsid w:val="0091170E"/>
    <w:rsid w:val="009D3CCC"/>
    <w:rsid w:val="00A3740C"/>
    <w:rsid w:val="00A4317D"/>
    <w:rsid w:val="00A82427"/>
    <w:rsid w:val="00AD551B"/>
    <w:rsid w:val="00B07824"/>
    <w:rsid w:val="00B35869"/>
    <w:rsid w:val="00BD770D"/>
    <w:rsid w:val="00C13969"/>
    <w:rsid w:val="00C26EFD"/>
    <w:rsid w:val="00C9063A"/>
    <w:rsid w:val="00CF6098"/>
    <w:rsid w:val="00D15251"/>
    <w:rsid w:val="00D90B7C"/>
    <w:rsid w:val="00DF5CEF"/>
    <w:rsid w:val="00E55C7A"/>
    <w:rsid w:val="00EE6A34"/>
    <w:rsid w:val="00F43A0F"/>
    <w:rsid w:val="00F5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DBED6-819C-4F51-806E-0F113C4E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F5CEF"/>
    <w:rPr>
      <w:lang w:val="en-GB"/>
    </w:rPr>
  </w:style>
  <w:style w:type="paragraph" w:styleId="Kop1">
    <w:name w:val="heading 1"/>
    <w:basedOn w:val="Standaard"/>
    <w:next w:val="Standaard"/>
    <w:link w:val="Kop1Char"/>
    <w:uiPriority w:val="9"/>
    <w:qFormat/>
    <w:rsid w:val="009D3C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D3CC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table" w:styleId="Tabelraster">
    <w:name w:val="Table Grid"/>
    <w:basedOn w:val="Standaardtabel"/>
    <w:uiPriority w:val="59"/>
    <w:rsid w:val="009D3CCC"/>
    <w:pPr>
      <w:spacing w:after="0" w:line="240" w:lineRule="auto"/>
    </w:pPr>
    <w:rPr>
      <w:rFonts w:ascii="Times" w:eastAsia="Times" w:hAnsi="Times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Heuvel, Sandra van den</dc:creator>
  <cp:keywords/>
  <dc:description/>
  <cp:lastModifiedBy>Sandra Heuvel</cp:lastModifiedBy>
  <cp:revision>3</cp:revision>
  <dcterms:created xsi:type="dcterms:W3CDTF">2020-04-09T13:16:00Z</dcterms:created>
  <dcterms:modified xsi:type="dcterms:W3CDTF">2020-04-23T13:32:00Z</dcterms:modified>
</cp:coreProperties>
</file>