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5B1E" w:rsidRPr="00B25B1E" w:rsidRDefault="00B25B1E" w:rsidP="00B25B1E">
      <w:pPr>
        <w:rPr>
          <w:rFonts w:cs="Segoe UI"/>
          <w:b/>
          <w:lang w:val="en-US"/>
        </w:rPr>
      </w:pPr>
      <w:r>
        <w:rPr>
          <w:rFonts w:cs="Segoe UI"/>
          <w:b/>
          <w:lang w:val="en-US"/>
        </w:rPr>
        <w:t>Summary</w:t>
      </w:r>
      <w:bookmarkStart w:id="0" w:name="_GoBack"/>
      <w:bookmarkEnd w:id="0"/>
    </w:p>
    <w:p w:rsidR="00B25B1E" w:rsidRDefault="00B25B1E" w:rsidP="00B25B1E">
      <w:pPr>
        <w:rPr>
          <w:rFonts w:cs="Segoe UI"/>
          <w:b/>
          <w:lang w:val="en-US"/>
        </w:rPr>
      </w:pPr>
    </w:p>
    <w:p w:rsid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b/>
          <w:lang w:val="en-US"/>
        </w:rPr>
        <w:t>Background:</w:t>
      </w:r>
      <w:r w:rsidRPr="00B25B1E">
        <w:rPr>
          <w:rFonts w:cs="Segoe UI"/>
          <w:lang w:val="en-US"/>
        </w:rPr>
        <w:t xml:space="preserve"> 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Nocturnal sialorrhea is one of the most frequent adverse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events in clozapine treatment. Symptomatic management of sialorrhea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usually consists of off-label treatment with anticholinergic agents. The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 xml:space="preserve">aim of the current study is to evaluate the efficacy and safety of </w:t>
      </w:r>
      <w:proofErr w:type="spellStart"/>
      <w:r w:rsidRPr="00B25B1E">
        <w:rPr>
          <w:rFonts w:cs="Segoe UI"/>
          <w:lang w:val="en-US"/>
        </w:rPr>
        <w:t>glycopyrrolate</w:t>
      </w:r>
      <w:proofErr w:type="spellEnd"/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in patients using clozapine that experience sialorrhea.</w:t>
      </w:r>
    </w:p>
    <w:p w:rsidR="00B25B1E" w:rsidRDefault="00B25B1E" w:rsidP="00B25B1E">
      <w:pPr>
        <w:rPr>
          <w:rFonts w:cs="Segoe UI"/>
          <w:b/>
          <w:lang w:val="en-US"/>
        </w:rPr>
      </w:pPr>
    </w:p>
    <w:p w:rsid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b/>
          <w:lang w:val="en-US"/>
        </w:rPr>
        <w:t>Methods:</w:t>
      </w:r>
      <w:r w:rsidRPr="00B25B1E">
        <w:rPr>
          <w:rFonts w:cs="Segoe UI"/>
          <w:lang w:val="en-US"/>
        </w:rPr>
        <w:t xml:space="preserve"> 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In a double-blind randomized crossover trial, patients with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nocturnal sialorrhea (n = 32) were randomized to treatment with</w:t>
      </w:r>
    </w:p>
    <w:p w:rsidR="00B25B1E" w:rsidRPr="00B25B1E" w:rsidRDefault="00B25B1E" w:rsidP="00B25B1E">
      <w:pPr>
        <w:rPr>
          <w:rFonts w:cs="Segoe UI"/>
          <w:lang w:val="en-US"/>
        </w:rPr>
      </w:pPr>
      <w:proofErr w:type="spellStart"/>
      <w:r w:rsidRPr="00B25B1E">
        <w:rPr>
          <w:rFonts w:cs="Segoe UI"/>
          <w:lang w:val="en-US"/>
        </w:rPr>
        <w:t>glycopyrrolate</w:t>
      </w:r>
      <w:proofErr w:type="spellEnd"/>
      <w:r w:rsidRPr="00B25B1E">
        <w:rPr>
          <w:rFonts w:cs="Segoe UI"/>
          <w:lang w:val="en-US"/>
        </w:rPr>
        <w:t xml:space="preserve"> 1 mg or placebo. This double-blinded phase was followed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 xml:space="preserve">by an optional open label extension phase with </w:t>
      </w:r>
      <w:proofErr w:type="spellStart"/>
      <w:r w:rsidRPr="00B25B1E">
        <w:rPr>
          <w:rFonts w:cs="Segoe UI"/>
          <w:lang w:val="en-US"/>
        </w:rPr>
        <w:t>glycopyrrolate</w:t>
      </w:r>
      <w:proofErr w:type="spellEnd"/>
      <w:r w:rsidRPr="00B25B1E">
        <w:rPr>
          <w:rFonts w:cs="Segoe UI"/>
          <w:lang w:val="en-US"/>
        </w:rPr>
        <w:t xml:space="preserve"> 2 mg.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Exposure periods consisted of 6 consecutive days and were separated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with 1 washout week. The primary outcome was clinical improvement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of nocturnal sialorrhea assessed by the Patient Global Impression of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Improvement (PGI-I).</w:t>
      </w:r>
    </w:p>
    <w:p w:rsidR="00B25B1E" w:rsidRDefault="00B25B1E" w:rsidP="00B25B1E">
      <w:pPr>
        <w:rPr>
          <w:rFonts w:cs="Segoe UI"/>
          <w:b/>
          <w:lang w:val="en-US"/>
        </w:rPr>
      </w:pPr>
    </w:p>
    <w:p w:rsid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b/>
          <w:lang w:val="en-US"/>
        </w:rPr>
        <w:t>Results:</w:t>
      </w:r>
      <w:r w:rsidRPr="00B25B1E">
        <w:rPr>
          <w:rFonts w:cs="Segoe UI"/>
          <w:lang w:val="en-US"/>
        </w:rPr>
        <w:t xml:space="preserve"> 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The proportion of patients with a clinical improvement according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to PGI-I did not significantly differ between 1 mg and placebo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 xml:space="preserve">(18.8% vs 6.3%, P = 0.289); however, in patients using </w:t>
      </w:r>
      <w:proofErr w:type="spellStart"/>
      <w:r w:rsidRPr="00B25B1E">
        <w:rPr>
          <w:rFonts w:cs="Segoe UI"/>
          <w:lang w:val="en-US"/>
        </w:rPr>
        <w:t>glycopyrrolate</w:t>
      </w:r>
      <w:proofErr w:type="spellEnd"/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2 mg once daily versus placebo, it did (43.5% vs 6.3%, P = 0.039).</w:t>
      </w:r>
    </w:p>
    <w:p w:rsidR="00B25B1E" w:rsidRPr="00B25B1E" w:rsidRDefault="00B25B1E" w:rsidP="00B25B1E">
      <w:pPr>
        <w:rPr>
          <w:rFonts w:cs="Segoe UI"/>
          <w:lang w:val="en-US"/>
        </w:rPr>
      </w:pPr>
      <w:proofErr w:type="spellStart"/>
      <w:r w:rsidRPr="00B25B1E">
        <w:rPr>
          <w:rFonts w:cs="Segoe UI"/>
          <w:lang w:val="en-US"/>
        </w:rPr>
        <w:t>Glycopyrrolatewas</w:t>
      </w:r>
      <w:proofErr w:type="spellEnd"/>
      <w:r w:rsidRPr="00B25B1E">
        <w:rPr>
          <w:rFonts w:cs="Segoe UI"/>
          <w:lang w:val="en-US"/>
        </w:rPr>
        <w:t xml:space="preserve"> not associated with severe adverse events or worsening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of cognitive adverse events.</w:t>
      </w:r>
    </w:p>
    <w:p w:rsidR="00B25B1E" w:rsidRDefault="00B25B1E" w:rsidP="00B25B1E">
      <w:pPr>
        <w:rPr>
          <w:rFonts w:cs="Segoe UI"/>
          <w:b/>
          <w:lang w:val="en-US"/>
        </w:rPr>
      </w:pPr>
    </w:p>
    <w:p w:rsid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b/>
          <w:lang w:val="en-US"/>
        </w:rPr>
        <w:t>Conclusions:</w:t>
      </w:r>
      <w:r w:rsidRPr="00B25B1E">
        <w:rPr>
          <w:rFonts w:cs="Segoe UI"/>
          <w:lang w:val="en-US"/>
        </w:rPr>
        <w:t xml:space="preserve"> </w:t>
      </w:r>
    </w:p>
    <w:p w:rsidR="00B25B1E" w:rsidRPr="00B25B1E" w:rsidRDefault="00B25B1E" w:rsidP="00B25B1E">
      <w:pPr>
        <w:rPr>
          <w:rFonts w:cs="Segoe UI"/>
          <w:lang w:val="en-US"/>
        </w:rPr>
      </w:pPr>
      <w:proofErr w:type="spellStart"/>
      <w:r w:rsidRPr="00B25B1E">
        <w:rPr>
          <w:rFonts w:cs="Segoe UI"/>
          <w:lang w:val="en-US"/>
        </w:rPr>
        <w:t>Glycopyrrolate</w:t>
      </w:r>
      <w:proofErr w:type="spellEnd"/>
      <w:r w:rsidRPr="00B25B1E">
        <w:rPr>
          <w:rFonts w:cs="Segoe UI"/>
          <w:lang w:val="en-US"/>
        </w:rPr>
        <w:t xml:space="preserve"> 1 mg was not superior to placebo, whereas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2 mg showed a significant clinical improvement of nocturnal sialorrhea</w:t>
      </w:r>
    </w:p>
    <w:p w:rsidR="00B25B1E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 xml:space="preserve">compared with placebo. </w:t>
      </w:r>
      <w:proofErr w:type="spellStart"/>
      <w:r w:rsidRPr="00B25B1E">
        <w:rPr>
          <w:rFonts w:cs="Segoe UI"/>
          <w:lang w:val="en-US"/>
        </w:rPr>
        <w:t>Glycopyrrolate</w:t>
      </w:r>
      <w:proofErr w:type="spellEnd"/>
      <w:r w:rsidRPr="00B25B1E">
        <w:rPr>
          <w:rFonts w:cs="Segoe UI"/>
          <w:lang w:val="en-US"/>
        </w:rPr>
        <w:t xml:space="preserve"> seemed to be a tolerable anticholinergic</w:t>
      </w:r>
    </w:p>
    <w:p w:rsidR="00724E29" w:rsidRPr="00B25B1E" w:rsidRDefault="00B25B1E" w:rsidP="00B25B1E">
      <w:pPr>
        <w:rPr>
          <w:rFonts w:cs="Segoe UI"/>
          <w:lang w:val="en-US"/>
        </w:rPr>
      </w:pPr>
      <w:r w:rsidRPr="00B25B1E">
        <w:rPr>
          <w:rFonts w:cs="Segoe UI"/>
          <w:lang w:val="en-US"/>
        </w:rPr>
        <w:t>agent in the treatment of clozapine-associated sialorrhea.</w:t>
      </w:r>
    </w:p>
    <w:sectPr w:rsidR="00724E29" w:rsidRPr="00B25B1E" w:rsidSect="00C00CE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B1E" w:rsidRDefault="00B25B1E" w:rsidP="00CA7674">
      <w:r>
        <w:separator/>
      </w:r>
    </w:p>
  </w:endnote>
  <w:endnote w:type="continuationSeparator" w:id="0">
    <w:p w:rsidR="00B25B1E" w:rsidRDefault="00B25B1E" w:rsidP="00CA7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Voetteks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Voetteks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B1E" w:rsidRDefault="00B25B1E" w:rsidP="00CA7674">
      <w:r>
        <w:separator/>
      </w:r>
    </w:p>
  </w:footnote>
  <w:footnote w:type="continuationSeparator" w:id="0">
    <w:p w:rsidR="00B25B1E" w:rsidRDefault="00B25B1E" w:rsidP="00CA76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Kopteks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Kopteks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6F46" w:rsidRDefault="002E6F46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B1E"/>
    <w:rsid w:val="00005092"/>
    <w:rsid w:val="00011192"/>
    <w:rsid w:val="0001148A"/>
    <w:rsid w:val="000A2F4B"/>
    <w:rsid w:val="000C2A8C"/>
    <w:rsid w:val="000C469D"/>
    <w:rsid w:val="000D2448"/>
    <w:rsid w:val="000F05F3"/>
    <w:rsid w:val="000F211F"/>
    <w:rsid w:val="00117D22"/>
    <w:rsid w:val="00131C80"/>
    <w:rsid w:val="001343F1"/>
    <w:rsid w:val="00137D23"/>
    <w:rsid w:val="00153178"/>
    <w:rsid w:val="00192A33"/>
    <w:rsid w:val="001A2F20"/>
    <w:rsid w:val="001A5D60"/>
    <w:rsid w:val="001B0C9A"/>
    <w:rsid w:val="001C2C40"/>
    <w:rsid w:val="001D03D9"/>
    <w:rsid w:val="001F7653"/>
    <w:rsid w:val="002121F0"/>
    <w:rsid w:val="002322AF"/>
    <w:rsid w:val="00267427"/>
    <w:rsid w:val="002746EC"/>
    <w:rsid w:val="00275E28"/>
    <w:rsid w:val="00286AE6"/>
    <w:rsid w:val="0029605A"/>
    <w:rsid w:val="002A4516"/>
    <w:rsid w:val="002B060D"/>
    <w:rsid w:val="002B1810"/>
    <w:rsid w:val="002C106A"/>
    <w:rsid w:val="002D1E35"/>
    <w:rsid w:val="002E3024"/>
    <w:rsid w:val="002E6F46"/>
    <w:rsid w:val="002E730A"/>
    <w:rsid w:val="002E737D"/>
    <w:rsid w:val="002F0853"/>
    <w:rsid w:val="00321580"/>
    <w:rsid w:val="00327CF8"/>
    <w:rsid w:val="0033048E"/>
    <w:rsid w:val="00335D81"/>
    <w:rsid w:val="00370C3C"/>
    <w:rsid w:val="003742DF"/>
    <w:rsid w:val="00377CCA"/>
    <w:rsid w:val="0039298A"/>
    <w:rsid w:val="00393E61"/>
    <w:rsid w:val="003A4ECB"/>
    <w:rsid w:val="003D7F1A"/>
    <w:rsid w:val="003F2A2E"/>
    <w:rsid w:val="00420359"/>
    <w:rsid w:val="00425478"/>
    <w:rsid w:val="004516D8"/>
    <w:rsid w:val="00461659"/>
    <w:rsid w:val="00480091"/>
    <w:rsid w:val="004E750E"/>
    <w:rsid w:val="005017D7"/>
    <w:rsid w:val="00510531"/>
    <w:rsid w:val="00527DA6"/>
    <w:rsid w:val="00534309"/>
    <w:rsid w:val="00557BA8"/>
    <w:rsid w:val="00564BA4"/>
    <w:rsid w:val="005F017A"/>
    <w:rsid w:val="00637FF7"/>
    <w:rsid w:val="006413FC"/>
    <w:rsid w:val="00663BAC"/>
    <w:rsid w:val="00687171"/>
    <w:rsid w:val="00693C35"/>
    <w:rsid w:val="006A0C1D"/>
    <w:rsid w:val="006A1D69"/>
    <w:rsid w:val="006C717F"/>
    <w:rsid w:val="00706F37"/>
    <w:rsid w:val="00707FD5"/>
    <w:rsid w:val="00710197"/>
    <w:rsid w:val="00724E29"/>
    <w:rsid w:val="007315FD"/>
    <w:rsid w:val="00766F8C"/>
    <w:rsid w:val="007966F6"/>
    <w:rsid w:val="007B5562"/>
    <w:rsid w:val="007C686B"/>
    <w:rsid w:val="007E3FE7"/>
    <w:rsid w:val="007F26BE"/>
    <w:rsid w:val="00801908"/>
    <w:rsid w:val="00846117"/>
    <w:rsid w:val="008547DB"/>
    <w:rsid w:val="008A102A"/>
    <w:rsid w:val="0090369D"/>
    <w:rsid w:val="009210D2"/>
    <w:rsid w:val="00951C7C"/>
    <w:rsid w:val="00953823"/>
    <w:rsid w:val="00961CFD"/>
    <w:rsid w:val="0098277E"/>
    <w:rsid w:val="009858F2"/>
    <w:rsid w:val="009C504D"/>
    <w:rsid w:val="009E050F"/>
    <w:rsid w:val="00A0783E"/>
    <w:rsid w:val="00A2377B"/>
    <w:rsid w:val="00A5491A"/>
    <w:rsid w:val="00A9206B"/>
    <w:rsid w:val="00A93457"/>
    <w:rsid w:val="00AB588D"/>
    <w:rsid w:val="00AC32B5"/>
    <w:rsid w:val="00AC4015"/>
    <w:rsid w:val="00AD18CD"/>
    <w:rsid w:val="00AE0538"/>
    <w:rsid w:val="00AE2445"/>
    <w:rsid w:val="00AE329B"/>
    <w:rsid w:val="00AE5A47"/>
    <w:rsid w:val="00B01372"/>
    <w:rsid w:val="00B25B1E"/>
    <w:rsid w:val="00B3422F"/>
    <w:rsid w:val="00B36EE9"/>
    <w:rsid w:val="00B7667B"/>
    <w:rsid w:val="00B94275"/>
    <w:rsid w:val="00BA4B17"/>
    <w:rsid w:val="00BB52AE"/>
    <w:rsid w:val="00BB639F"/>
    <w:rsid w:val="00C00CE4"/>
    <w:rsid w:val="00C17472"/>
    <w:rsid w:val="00C205DC"/>
    <w:rsid w:val="00C24565"/>
    <w:rsid w:val="00C40B73"/>
    <w:rsid w:val="00C56BFA"/>
    <w:rsid w:val="00C861D0"/>
    <w:rsid w:val="00C9210B"/>
    <w:rsid w:val="00C956F4"/>
    <w:rsid w:val="00CA7674"/>
    <w:rsid w:val="00D121AB"/>
    <w:rsid w:val="00D322AC"/>
    <w:rsid w:val="00D87AF3"/>
    <w:rsid w:val="00D972B8"/>
    <w:rsid w:val="00D97A3D"/>
    <w:rsid w:val="00DA5449"/>
    <w:rsid w:val="00DA5991"/>
    <w:rsid w:val="00DB021C"/>
    <w:rsid w:val="00DD741E"/>
    <w:rsid w:val="00E03438"/>
    <w:rsid w:val="00E0752A"/>
    <w:rsid w:val="00E11191"/>
    <w:rsid w:val="00E4106F"/>
    <w:rsid w:val="00E434AF"/>
    <w:rsid w:val="00E52864"/>
    <w:rsid w:val="00E5797F"/>
    <w:rsid w:val="00F175F9"/>
    <w:rsid w:val="00F32BC5"/>
    <w:rsid w:val="00F57814"/>
    <w:rsid w:val="00FA31E1"/>
    <w:rsid w:val="00FA6347"/>
    <w:rsid w:val="00FD3AB2"/>
    <w:rsid w:val="00FD5BDA"/>
    <w:rsid w:val="00FE4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Segoe UI" w:eastAsia="Times New Roman" w:hAnsi="Segoe UI" w:cs="Times New Roman"/>
        <w:szCs w:val="22"/>
        <w:lang w:val="nl-NL" w:eastAsia="nl-N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AE5A47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CA7674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rsid w:val="00CA7674"/>
    <w:rPr>
      <w:sz w:val="24"/>
      <w:szCs w:val="24"/>
    </w:rPr>
  </w:style>
  <w:style w:type="paragraph" w:styleId="Voettekst">
    <w:name w:val="footer"/>
    <w:basedOn w:val="Standaard"/>
    <w:link w:val="VoettekstChar"/>
    <w:rsid w:val="00CA7674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basedOn w:val="Standaardalinea-lettertype"/>
    <w:link w:val="Voettekst"/>
    <w:rsid w:val="00CA76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65F2B51C</Template>
  <TotalTime>0</TotalTime>
  <Pages>1</Pages>
  <Words>233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2019-12-20T16:58:00Z</dcterms:created>
  <dcterms:modified xsi:type="dcterms:W3CDTF">2019-12-20T16:59:00Z</dcterms:modified>
</cp:coreProperties>
</file>