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D" w:rsidRPr="002F656D" w:rsidRDefault="002F656D" w:rsidP="002F656D">
      <w:pPr>
        <w:rPr>
          <w:sz w:val="20"/>
          <w:szCs w:val="20"/>
        </w:rPr>
      </w:pPr>
      <w:bookmarkStart w:id="0" w:name="_GoBack"/>
      <w:bookmarkEnd w:id="0"/>
      <w:r w:rsidRPr="002F656D">
        <w:rPr>
          <w:sz w:val="20"/>
          <w:szCs w:val="20"/>
        </w:rPr>
        <w:t>Clinical Study Summary</w:t>
      </w:r>
    </w:p>
    <w:p w:rsidR="00F83ACD" w:rsidRPr="002F656D" w:rsidRDefault="00B802B7">
      <w:pPr>
        <w:rPr>
          <w:sz w:val="20"/>
          <w:szCs w:val="20"/>
        </w:rPr>
      </w:pPr>
    </w:p>
    <w:p w:rsidR="006B7FB7" w:rsidRPr="002F656D" w:rsidRDefault="006B7FB7" w:rsidP="006B7FB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Times New Roman" w:hAnsi="Times New Roman"/>
          <w:sz w:val="20"/>
          <w:szCs w:val="20"/>
        </w:rPr>
      </w:pPr>
      <w:r w:rsidRPr="002F656D">
        <w:rPr>
          <w:sz w:val="20"/>
          <w:szCs w:val="20"/>
        </w:rPr>
        <w:t>Protocol</w:t>
      </w:r>
      <w:r w:rsidR="00A41515">
        <w:rPr>
          <w:sz w:val="20"/>
          <w:szCs w:val="20"/>
        </w:rPr>
        <w:t xml:space="preserve"> number</w:t>
      </w:r>
      <w:r w:rsidRPr="002F656D">
        <w:rPr>
          <w:sz w:val="20"/>
          <w:szCs w:val="20"/>
        </w:rPr>
        <w:t>:</w:t>
      </w:r>
      <w:r w:rsidRPr="002F656D">
        <w:rPr>
          <w:sz w:val="20"/>
          <w:szCs w:val="20"/>
        </w:rPr>
        <w:tab/>
        <w:t>PAT12-730DS</w:t>
      </w:r>
      <w:r w:rsidRPr="002F656D">
        <w:rPr>
          <w:sz w:val="20"/>
          <w:szCs w:val="20"/>
        </w:rPr>
        <w:tab/>
      </w:r>
      <w:r w:rsidRPr="002F656D">
        <w:rPr>
          <w:sz w:val="20"/>
          <w:szCs w:val="20"/>
        </w:rPr>
        <w:tab/>
      </w: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  <w:r w:rsidRPr="002F656D">
        <w:rPr>
          <w:sz w:val="20"/>
        </w:rPr>
        <w:t xml:space="preserve">Clinical Phase: </w:t>
      </w:r>
      <w:r w:rsidR="00A41515">
        <w:rPr>
          <w:sz w:val="20"/>
        </w:rPr>
        <w:tab/>
      </w:r>
      <w:r w:rsidRPr="002F656D">
        <w:rPr>
          <w:sz w:val="20"/>
        </w:rPr>
        <w:t>Phase 3</w:t>
      </w: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  <w:r w:rsidRPr="002F656D">
        <w:rPr>
          <w:sz w:val="20"/>
        </w:rPr>
        <w:t xml:space="preserve">Study dates: </w:t>
      </w:r>
      <w:r w:rsidRPr="002F656D">
        <w:rPr>
          <w:sz w:val="20"/>
        </w:rPr>
        <w:tab/>
        <w:t>10/Feb/2013 – 30/Oct/2013</w:t>
      </w:r>
    </w:p>
    <w:p w:rsidR="006B7FB7" w:rsidRDefault="006B7FB7" w:rsidP="002F656D">
      <w:pPr>
        <w:autoSpaceDE w:val="0"/>
        <w:autoSpaceDN w:val="0"/>
        <w:adjustRightInd w:val="0"/>
        <w:rPr>
          <w:sz w:val="20"/>
          <w:szCs w:val="20"/>
        </w:rPr>
      </w:pP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  <w:r w:rsidRPr="002F656D">
        <w:rPr>
          <w:sz w:val="20"/>
        </w:rPr>
        <w:t>Name of Test Drug:</w:t>
      </w:r>
      <w:r w:rsidRPr="002F656D">
        <w:rPr>
          <w:sz w:val="20"/>
        </w:rPr>
        <w:tab/>
      </w: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bCs/>
          <w:sz w:val="20"/>
        </w:rPr>
      </w:pPr>
      <w:proofErr w:type="spellStart"/>
      <w:r w:rsidRPr="002F656D">
        <w:rPr>
          <w:bCs/>
          <w:sz w:val="20"/>
        </w:rPr>
        <w:t>kolekalciferol</w:t>
      </w:r>
      <w:proofErr w:type="spellEnd"/>
      <w:r w:rsidRPr="002F656D">
        <w:rPr>
          <w:bCs/>
          <w:sz w:val="20"/>
        </w:rPr>
        <w:t xml:space="preserve"> Vitamin D</w:t>
      </w:r>
      <w:r w:rsidRPr="002F656D">
        <w:rPr>
          <w:bCs/>
          <w:sz w:val="20"/>
          <w:vertAlign w:val="subscript"/>
        </w:rPr>
        <w:t>3</w:t>
      </w:r>
      <w:r w:rsidRPr="002F656D">
        <w:rPr>
          <w:bCs/>
          <w:sz w:val="20"/>
        </w:rPr>
        <w:t xml:space="preserve"> 1000 IU  </w:t>
      </w:r>
      <w:proofErr w:type="spellStart"/>
      <w:r w:rsidRPr="002F656D">
        <w:rPr>
          <w:bCs/>
          <w:sz w:val="20"/>
        </w:rPr>
        <w:t>filmtablets</w:t>
      </w:r>
      <w:proofErr w:type="spellEnd"/>
      <w:r w:rsidRPr="002F656D">
        <w:rPr>
          <w:bCs/>
          <w:sz w:val="20"/>
        </w:rPr>
        <w:t xml:space="preserve"> (cholecalciferol 1000 IU)</w:t>
      </w: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  <w:proofErr w:type="spellStart"/>
      <w:r w:rsidRPr="002F656D">
        <w:rPr>
          <w:bCs/>
          <w:sz w:val="20"/>
        </w:rPr>
        <w:t>kolekalciferol</w:t>
      </w:r>
      <w:proofErr w:type="spellEnd"/>
      <w:r w:rsidRPr="002F656D">
        <w:rPr>
          <w:bCs/>
          <w:sz w:val="20"/>
        </w:rPr>
        <w:t xml:space="preserve"> Vitamin D</w:t>
      </w:r>
      <w:r w:rsidRPr="002F656D">
        <w:rPr>
          <w:bCs/>
          <w:sz w:val="20"/>
          <w:vertAlign w:val="subscript"/>
        </w:rPr>
        <w:t xml:space="preserve">3 </w:t>
      </w:r>
      <w:r w:rsidRPr="002F656D">
        <w:rPr>
          <w:sz w:val="20"/>
        </w:rPr>
        <w:t xml:space="preserve">7000 IU </w:t>
      </w:r>
      <w:proofErr w:type="spellStart"/>
      <w:r w:rsidRPr="002F656D">
        <w:rPr>
          <w:sz w:val="20"/>
        </w:rPr>
        <w:t>filmtablets</w:t>
      </w:r>
      <w:proofErr w:type="spellEnd"/>
      <w:r w:rsidRPr="002F656D">
        <w:rPr>
          <w:sz w:val="20"/>
        </w:rPr>
        <w:t xml:space="preserve"> (cholecalciferol 7000 IU)</w:t>
      </w:r>
    </w:p>
    <w:p w:rsidR="006B7FB7" w:rsidRPr="002F656D" w:rsidRDefault="006B7FB7" w:rsidP="006B7FB7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  <w:proofErr w:type="spellStart"/>
      <w:r w:rsidRPr="002F656D">
        <w:rPr>
          <w:bCs/>
          <w:sz w:val="20"/>
        </w:rPr>
        <w:t>kolekalciferol</w:t>
      </w:r>
      <w:proofErr w:type="spellEnd"/>
      <w:r w:rsidRPr="002F656D">
        <w:rPr>
          <w:bCs/>
          <w:sz w:val="20"/>
        </w:rPr>
        <w:t xml:space="preserve"> Vitamin D</w:t>
      </w:r>
      <w:r w:rsidRPr="002F656D">
        <w:rPr>
          <w:bCs/>
          <w:sz w:val="20"/>
          <w:vertAlign w:val="subscript"/>
        </w:rPr>
        <w:t xml:space="preserve">3 </w:t>
      </w:r>
      <w:r w:rsidRPr="002F656D">
        <w:rPr>
          <w:sz w:val="20"/>
        </w:rPr>
        <w:t xml:space="preserve">30000 IU  </w:t>
      </w:r>
      <w:proofErr w:type="spellStart"/>
      <w:r w:rsidRPr="002F656D">
        <w:rPr>
          <w:sz w:val="20"/>
        </w:rPr>
        <w:t>filmtablets</w:t>
      </w:r>
      <w:proofErr w:type="spellEnd"/>
      <w:r w:rsidRPr="002F656D">
        <w:rPr>
          <w:sz w:val="20"/>
        </w:rPr>
        <w:t xml:space="preserve">  (cholecalciferol 30000 IU) </w:t>
      </w:r>
    </w:p>
    <w:p w:rsidR="006B7FB7" w:rsidRDefault="006B7FB7" w:rsidP="002F656D">
      <w:pPr>
        <w:autoSpaceDE w:val="0"/>
        <w:autoSpaceDN w:val="0"/>
        <w:adjustRightInd w:val="0"/>
        <w:rPr>
          <w:sz w:val="20"/>
          <w:szCs w:val="20"/>
        </w:rPr>
      </w:pPr>
    </w:p>
    <w:p w:rsidR="002F656D" w:rsidRPr="002F656D" w:rsidRDefault="002F656D" w:rsidP="002F656D">
      <w:pPr>
        <w:autoSpaceDE w:val="0"/>
        <w:autoSpaceDN w:val="0"/>
        <w:adjustRightInd w:val="0"/>
        <w:rPr>
          <w:sz w:val="20"/>
          <w:szCs w:val="20"/>
        </w:rPr>
      </w:pPr>
      <w:r w:rsidRPr="002F656D">
        <w:rPr>
          <w:sz w:val="20"/>
          <w:szCs w:val="20"/>
        </w:rPr>
        <w:t>Study title: Controlled, randomized, four-arm comparative, open label, multi-centric</w:t>
      </w:r>
    </w:p>
    <w:p w:rsidR="002F656D" w:rsidRPr="002F656D" w:rsidRDefault="002F656D" w:rsidP="002F656D">
      <w:pPr>
        <w:autoSpaceDE w:val="0"/>
        <w:autoSpaceDN w:val="0"/>
        <w:adjustRightInd w:val="0"/>
        <w:rPr>
          <w:sz w:val="20"/>
          <w:szCs w:val="20"/>
        </w:rPr>
      </w:pPr>
      <w:r w:rsidRPr="002F656D">
        <w:rPr>
          <w:sz w:val="20"/>
          <w:szCs w:val="20"/>
        </w:rPr>
        <w:t>trial to compare the efficacy and safety parameters of the once-a-week or once-a-month administered 7000 IU, or 30000 IU vitamin D (cholecalciferol) to a 1000 IU dosage applied daily in vitamin D deficient patients</w:t>
      </w:r>
      <w:r w:rsidRPr="002F656D">
        <w:rPr>
          <w:sz w:val="20"/>
          <w:szCs w:val="20"/>
        </w:rPr>
        <w:tab/>
      </w:r>
    </w:p>
    <w:p w:rsidR="002F656D" w:rsidRPr="002F656D" w:rsidRDefault="002F656D" w:rsidP="002F656D">
      <w:pPr>
        <w:pStyle w:val="Szvegtrzsbehzssal3"/>
        <w:tabs>
          <w:tab w:val="left" w:pos="2160"/>
        </w:tabs>
        <w:ind w:left="0"/>
        <w:jc w:val="center"/>
        <w:rPr>
          <w:sz w:val="20"/>
        </w:rPr>
      </w:pPr>
    </w:p>
    <w:p w:rsidR="002F656D" w:rsidRPr="002F656D" w:rsidRDefault="002F656D" w:rsidP="002F656D">
      <w:pPr>
        <w:pStyle w:val="Szvegtrzsbehzssal3"/>
        <w:tabs>
          <w:tab w:val="left" w:pos="2160"/>
        </w:tabs>
        <w:ind w:left="0"/>
        <w:rPr>
          <w:sz w:val="20"/>
        </w:rPr>
      </w:pPr>
      <w:r w:rsidRPr="002F656D">
        <w:rPr>
          <w:sz w:val="20"/>
        </w:rPr>
        <w:t>Objectives</w:t>
      </w:r>
      <w:r>
        <w:rPr>
          <w:sz w:val="20"/>
        </w:rPr>
        <w:t xml:space="preserve">: </w:t>
      </w:r>
      <w:r w:rsidRPr="002F656D">
        <w:rPr>
          <w:sz w:val="20"/>
        </w:rPr>
        <w:t>Primary Objective Comparison efficacy by 25(OH)D and safety parameters of a daily single dose of 1000 IU to a once-a week or once-a month administered 7000 IU or 30000 IU vitamin D, respectively.</w:t>
      </w:r>
      <w:r>
        <w:rPr>
          <w:sz w:val="20"/>
        </w:rPr>
        <w:t xml:space="preserve"> </w:t>
      </w:r>
      <w:r w:rsidRPr="002F656D">
        <w:rPr>
          <w:sz w:val="20"/>
        </w:rPr>
        <w:t>Secondary Objective: Comparison efficacy by 25(OH)D and safety parameters of a daily single dose of 1000 IU to a once-a week administered 7000 IU or 30000 IU vitamin D. Register and compare the safety parameters for each group.</w:t>
      </w:r>
    </w:p>
    <w:p w:rsidR="002F656D" w:rsidRDefault="002F656D" w:rsidP="002F656D">
      <w:pPr>
        <w:pStyle w:val="Szvegtrzsbehzssal3"/>
        <w:tabs>
          <w:tab w:val="left" w:pos="2160"/>
        </w:tabs>
        <w:ind w:left="0"/>
        <w:jc w:val="left"/>
        <w:rPr>
          <w:sz w:val="20"/>
        </w:rPr>
      </w:pPr>
    </w:p>
    <w:p w:rsidR="002F656D" w:rsidRPr="006B7FB7" w:rsidRDefault="00CD2DF0" w:rsidP="002F656D">
      <w:pPr>
        <w:rPr>
          <w:sz w:val="20"/>
          <w:szCs w:val="20"/>
        </w:rPr>
      </w:pPr>
      <w:r>
        <w:rPr>
          <w:sz w:val="20"/>
          <w:szCs w:val="20"/>
        </w:rPr>
        <w:t xml:space="preserve">Trial Summary: </w:t>
      </w:r>
      <w:r w:rsidR="002F656D" w:rsidRPr="00C01662">
        <w:rPr>
          <w:rFonts w:eastAsia="MS Mincho" w:cs="Arial"/>
          <w:sz w:val="20"/>
          <w:szCs w:val="20"/>
          <w:lang w:eastAsia="ja-JP"/>
        </w:rPr>
        <w:t>The treatment of a daily dose of 1000 IU; versus weekly dose of 7000 IU and a month</w:t>
      </w:r>
      <w:r w:rsidR="006B7FB7">
        <w:rPr>
          <w:rFonts w:eastAsia="MS Mincho" w:cs="Arial"/>
          <w:sz w:val="20"/>
          <w:szCs w:val="20"/>
          <w:lang w:eastAsia="ja-JP"/>
        </w:rPr>
        <w:t>ly dose of 30,000 IU are</w:t>
      </w:r>
      <w:r w:rsidR="002F656D" w:rsidRPr="00C01662">
        <w:rPr>
          <w:rFonts w:eastAsia="MS Mincho" w:cs="Arial"/>
          <w:sz w:val="20"/>
          <w:szCs w:val="20"/>
          <w:lang w:eastAsia="ja-JP"/>
        </w:rPr>
        <w:t xml:space="preserve"> similar in normalisation of 25(OH)D levels in </w:t>
      </w:r>
      <w:r w:rsidR="006B7FB7">
        <w:rPr>
          <w:rFonts w:eastAsia="MS Mincho" w:cs="Arial"/>
          <w:sz w:val="20"/>
          <w:szCs w:val="20"/>
          <w:lang w:eastAsia="ja-JP"/>
        </w:rPr>
        <w:t>Vitamin D-</w:t>
      </w:r>
      <w:r w:rsidR="002F656D" w:rsidRPr="00C01662">
        <w:rPr>
          <w:rFonts w:eastAsia="MS Mincho" w:cs="Arial"/>
          <w:sz w:val="20"/>
          <w:szCs w:val="20"/>
          <w:lang w:eastAsia="ja-JP"/>
        </w:rPr>
        <w:t xml:space="preserve">deficient patients. The treatment patients with 1000 IU/day dose </w:t>
      </w:r>
      <w:r w:rsidR="006B7FB7">
        <w:rPr>
          <w:rFonts w:eastAsia="MS Mincho" w:cs="Arial"/>
          <w:sz w:val="20"/>
          <w:szCs w:val="20"/>
          <w:lang w:eastAsia="ja-JP"/>
        </w:rPr>
        <w:t>schedule</w:t>
      </w:r>
      <w:r w:rsidR="002F656D" w:rsidRPr="00C01662">
        <w:rPr>
          <w:rFonts w:eastAsia="MS Mincho" w:cs="Arial"/>
          <w:sz w:val="20"/>
          <w:szCs w:val="20"/>
          <w:lang w:eastAsia="ja-JP"/>
        </w:rPr>
        <w:t xml:space="preserve"> are considered effective to restore the 25(OH)D values to close normal range (above 20 ng/ml). The efficacy of 30,000 IU dose in a weekly schedule  </w:t>
      </w:r>
      <w:r w:rsidR="006B7FB7" w:rsidRPr="00C01662">
        <w:rPr>
          <w:rFonts w:eastAsia="MS Mincho" w:cs="Arial"/>
          <w:sz w:val="20"/>
          <w:szCs w:val="20"/>
          <w:lang w:eastAsia="ja-JP"/>
        </w:rPr>
        <w:t>resulted in significantly faster reconciliat</w:t>
      </w:r>
      <w:r w:rsidR="006B7FB7">
        <w:rPr>
          <w:rFonts w:eastAsia="MS Mincho" w:cs="Arial"/>
          <w:sz w:val="20"/>
          <w:szCs w:val="20"/>
          <w:lang w:eastAsia="ja-JP"/>
        </w:rPr>
        <w:t xml:space="preserve">ion to normal levels of 25(OH)D </w:t>
      </w:r>
      <w:r w:rsidR="006B7FB7" w:rsidRPr="00C01662">
        <w:rPr>
          <w:rFonts w:eastAsia="MS Mincho" w:cs="Arial"/>
          <w:sz w:val="20"/>
          <w:szCs w:val="20"/>
          <w:lang w:eastAsia="ja-JP"/>
        </w:rPr>
        <w:t xml:space="preserve"> for vitamin-D deficient patient </w:t>
      </w:r>
      <w:r w:rsidR="002F656D" w:rsidRPr="00C01662">
        <w:rPr>
          <w:rFonts w:eastAsia="MS Mincho" w:cs="Arial"/>
          <w:sz w:val="20"/>
          <w:szCs w:val="20"/>
          <w:lang w:eastAsia="ja-JP"/>
        </w:rPr>
        <w:t xml:space="preserve">compared to the standard </w:t>
      </w:r>
      <w:r w:rsidR="006B7FB7">
        <w:rPr>
          <w:rFonts w:eastAsia="MS Mincho" w:cs="Arial"/>
          <w:sz w:val="20"/>
          <w:szCs w:val="20"/>
          <w:lang w:eastAsia="ja-JP"/>
        </w:rPr>
        <w:t xml:space="preserve">daily dose of 1000 IU/ day schedule. As a result of treatment the serum </w:t>
      </w:r>
      <w:r w:rsidR="002F656D" w:rsidRPr="00C01662">
        <w:rPr>
          <w:rFonts w:eastAsia="MS Mincho" w:cs="Arial"/>
          <w:sz w:val="20"/>
          <w:szCs w:val="20"/>
          <w:lang w:eastAsia="ja-JP"/>
        </w:rPr>
        <w:t>25(OH)D values in over 75% of patients were reached the normal level (</w:t>
      </w:r>
      <w:r w:rsidR="006B7FB7">
        <w:rPr>
          <w:rFonts w:eastAsia="MS Mincho" w:cs="Arial"/>
          <w:sz w:val="20"/>
          <w:szCs w:val="20"/>
          <w:lang w:eastAsia="ja-JP"/>
        </w:rPr>
        <w:t>30 ng/ml) within 2 months.</w:t>
      </w:r>
    </w:p>
    <w:p w:rsidR="002F656D" w:rsidRPr="00C01662" w:rsidRDefault="002F656D" w:rsidP="002F656D">
      <w:pPr>
        <w:rPr>
          <w:rFonts w:ascii="Times New Roman" w:eastAsia="MS Mincho" w:hAnsi="Times New Roman"/>
          <w:sz w:val="24"/>
          <w:szCs w:val="24"/>
          <w:lang w:val="hu-HU" w:eastAsia="ja-JP"/>
        </w:rPr>
      </w:pPr>
    </w:p>
    <w:p w:rsidR="002F656D" w:rsidRPr="003069CF" w:rsidRDefault="006B7FB7" w:rsidP="002F656D">
      <w:pPr>
        <w:rPr>
          <w:rFonts w:eastAsia="MS Mincho" w:cs="Arial"/>
          <w:sz w:val="20"/>
          <w:szCs w:val="20"/>
          <w:lang w:val="hu-HU" w:eastAsia="ja-JP"/>
        </w:rPr>
      </w:pPr>
      <w:r>
        <w:rPr>
          <w:rFonts w:eastAsia="MS Mincho" w:cs="Arial"/>
          <w:sz w:val="20"/>
          <w:szCs w:val="20"/>
          <w:lang w:eastAsia="ja-JP"/>
        </w:rPr>
        <w:t>The</w:t>
      </w:r>
      <w:r w:rsidR="002F656D" w:rsidRPr="003069CF">
        <w:rPr>
          <w:rFonts w:eastAsia="MS Mincho" w:cs="Arial"/>
          <w:sz w:val="20"/>
          <w:szCs w:val="20"/>
          <w:lang w:eastAsia="ja-JP"/>
        </w:rPr>
        <w:t xml:space="preserve"> treatm</w:t>
      </w:r>
      <w:r>
        <w:rPr>
          <w:rFonts w:eastAsia="MS Mincho" w:cs="Arial"/>
          <w:sz w:val="20"/>
          <w:szCs w:val="20"/>
          <w:lang w:eastAsia="ja-JP"/>
        </w:rPr>
        <w:t>ent of the various daily, weekly or monthly doses</w:t>
      </w:r>
      <w:r w:rsidR="002F656D" w:rsidRPr="003069CF">
        <w:rPr>
          <w:rFonts w:eastAsia="MS Mincho" w:cs="Arial"/>
          <w:sz w:val="20"/>
          <w:szCs w:val="20"/>
          <w:lang w:eastAsia="ja-JP"/>
        </w:rPr>
        <w:t xml:space="preserve"> of Vitamin D3 did not </w:t>
      </w:r>
      <w:r w:rsidR="003A5E7C">
        <w:rPr>
          <w:rFonts w:eastAsia="MS Mincho" w:cs="Arial"/>
          <w:sz w:val="20"/>
          <w:szCs w:val="20"/>
          <w:lang w:eastAsia="ja-JP"/>
        </w:rPr>
        <w:t xml:space="preserve">raise safety concerns: no difference in </w:t>
      </w:r>
      <w:r>
        <w:rPr>
          <w:rFonts w:eastAsia="MS Mincho" w:cs="Arial"/>
          <w:sz w:val="20"/>
          <w:szCs w:val="20"/>
          <w:lang w:eastAsia="ja-JP"/>
        </w:rPr>
        <w:t>side effects</w:t>
      </w:r>
      <w:r w:rsidR="003A5E7C">
        <w:rPr>
          <w:rFonts w:eastAsia="MS Mincho" w:cs="Arial"/>
          <w:sz w:val="20"/>
          <w:szCs w:val="20"/>
          <w:lang w:eastAsia="ja-JP"/>
        </w:rPr>
        <w:t>, no</w:t>
      </w:r>
      <w:r>
        <w:rPr>
          <w:rFonts w:eastAsia="MS Mincho" w:cs="Arial"/>
          <w:sz w:val="20"/>
          <w:szCs w:val="20"/>
          <w:lang w:eastAsia="ja-JP"/>
        </w:rPr>
        <w:t xml:space="preserve"> </w:t>
      </w:r>
      <w:r w:rsidR="002F656D" w:rsidRPr="003069CF">
        <w:rPr>
          <w:rFonts w:eastAsia="MS Mincho" w:cs="Arial"/>
          <w:sz w:val="20"/>
          <w:szCs w:val="20"/>
          <w:lang w:eastAsia="ja-JP"/>
        </w:rPr>
        <w:t xml:space="preserve">alterations in laboratory safety parameters </w:t>
      </w:r>
      <w:r w:rsidR="003A5E7C">
        <w:rPr>
          <w:rFonts w:eastAsia="MS Mincho" w:cs="Arial"/>
          <w:sz w:val="20"/>
          <w:szCs w:val="20"/>
          <w:lang w:eastAsia="ja-JP"/>
        </w:rPr>
        <w:t xml:space="preserve">were detected between the treatment groups. </w:t>
      </w:r>
      <w:r w:rsidR="002F656D" w:rsidRPr="003069CF">
        <w:rPr>
          <w:rFonts w:eastAsia="MS Mincho" w:cs="Arial"/>
          <w:sz w:val="20"/>
          <w:szCs w:val="20"/>
          <w:lang w:eastAsia="ja-JP"/>
        </w:rPr>
        <w:t>The most common AE</w:t>
      </w:r>
      <w:r w:rsidR="003A5E7C">
        <w:rPr>
          <w:rFonts w:eastAsia="MS Mincho" w:cs="Arial"/>
          <w:sz w:val="20"/>
          <w:szCs w:val="20"/>
          <w:lang w:eastAsia="ja-JP"/>
        </w:rPr>
        <w:t>s</w:t>
      </w:r>
      <w:r w:rsidR="002F656D" w:rsidRPr="003069CF">
        <w:rPr>
          <w:rFonts w:eastAsia="MS Mincho" w:cs="Arial"/>
          <w:sz w:val="20"/>
          <w:szCs w:val="20"/>
          <w:lang w:eastAsia="ja-JP"/>
        </w:rPr>
        <w:t xml:space="preserve"> reported are increase </w:t>
      </w:r>
      <w:r w:rsidR="003A5E7C">
        <w:rPr>
          <w:rFonts w:eastAsia="MS Mincho" w:cs="Arial"/>
          <w:sz w:val="20"/>
          <w:szCs w:val="20"/>
          <w:lang w:eastAsia="ja-JP"/>
        </w:rPr>
        <w:t xml:space="preserve">in </w:t>
      </w:r>
      <w:r w:rsidR="003A5E7C" w:rsidRPr="003069CF">
        <w:rPr>
          <w:rFonts w:eastAsia="MS Mincho" w:cs="Arial"/>
          <w:sz w:val="20"/>
          <w:szCs w:val="20"/>
          <w:lang w:eastAsia="ja-JP"/>
        </w:rPr>
        <w:t>urinary calcium level</w:t>
      </w:r>
      <w:r w:rsidR="003A5E7C">
        <w:rPr>
          <w:rFonts w:eastAsia="MS Mincho" w:cs="Arial"/>
          <w:sz w:val="20"/>
          <w:szCs w:val="20"/>
          <w:lang w:eastAsia="ja-JP"/>
        </w:rPr>
        <w:t>s</w:t>
      </w:r>
      <w:r w:rsidR="003A5E7C" w:rsidRPr="003069CF">
        <w:rPr>
          <w:rFonts w:eastAsia="MS Mincho" w:cs="Arial"/>
          <w:sz w:val="20"/>
          <w:szCs w:val="20"/>
          <w:lang w:eastAsia="ja-JP"/>
        </w:rPr>
        <w:t xml:space="preserve"> </w:t>
      </w:r>
      <w:r w:rsidR="002F656D" w:rsidRPr="003069CF">
        <w:rPr>
          <w:rFonts w:eastAsia="MS Mincho" w:cs="Arial"/>
          <w:sz w:val="20"/>
          <w:szCs w:val="20"/>
          <w:lang w:eastAsia="ja-JP"/>
        </w:rPr>
        <w:t xml:space="preserve">(6/89), increase in urinary Ca/creatinine ratio (3/89), increase in serum calcium level (2/89) revealed no difference between treatments </w:t>
      </w:r>
      <w:r w:rsidR="003A5E7C">
        <w:rPr>
          <w:rFonts w:eastAsia="MS Mincho" w:cs="Arial"/>
          <w:sz w:val="20"/>
          <w:szCs w:val="20"/>
          <w:lang w:eastAsia="ja-JP"/>
        </w:rPr>
        <w:t xml:space="preserve">arms or in </w:t>
      </w:r>
      <w:r w:rsidR="002F656D" w:rsidRPr="003069CF">
        <w:rPr>
          <w:rFonts w:eastAsia="MS Mincho" w:cs="Arial"/>
          <w:sz w:val="20"/>
          <w:szCs w:val="20"/>
          <w:lang w:eastAsia="ja-JP"/>
        </w:rPr>
        <w:t>daily/</w:t>
      </w:r>
      <w:r w:rsidR="003A5E7C">
        <w:rPr>
          <w:rFonts w:eastAsia="MS Mincho" w:cs="Arial"/>
          <w:sz w:val="20"/>
          <w:szCs w:val="20"/>
          <w:lang w:eastAsia="ja-JP"/>
        </w:rPr>
        <w:t xml:space="preserve">weekly or monthly administration schedule. </w:t>
      </w:r>
      <w:r w:rsidR="003A5E7C" w:rsidRPr="003069CF">
        <w:rPr>
          <w:rFonts w:eastAsia="MS Mincho" w:cs="Arial"/>
          <w:sz w:val="20"/>
          <w:szCs w:val="20"/>
          <w:lang w:eastAsia="ja-JP"/>
        </w:rPr>
        <w:t>There</w:t>
      </w:r>
      <w:r w:rsidR="00A41515">
        <w:rPr>
          <w:rFonts w:eastAsia="MS Mincho" w:cs="Arial"/>
          <w:sz w:val="20"/>
          <w:szCs w:val="20"/>
          <w:lang w:eastAsia="ja-JP"/>
        </w:rPr>
        <w:t xml:space="preserve"> was no serious adverse event (</w:t>
      </w:r>
      <w:r w:rsidR="003A5E7C" w:rsidRPr="003069CF">
        <w:rPr>
          <w:rFonts w:eastAsia="MS Mincho" w:cs="Arial"/>
          <w:sz w:val="20"/>
          <w:szCs w:val="20"/>
          <w:lang w:eastAsia="ja-JP"/>
        </w:rPr>
        <w:t>SAE) reported in overall the study. There was no dropout due to AE.</w:t>
      </w:r>
    </w:p>
    <w:p w:rsidR="002F656D" w:rsidRPr="003069CF" w:rsidRDefault="002F656D" w:rsidP="002F656D">
      <w:pPr>
        <w:rPr>
          <w:rFonts w:eastAsia="MS Mincho" w:cs="Arial"/>
          <w:sz w:val="20"/>
          <w:szCs w:val="20"/>
          <w:highlight w:val="yellow"/>
          <w:lang w:eastAsia="ja-JP"/>
        </w:rPr>
      </w:pPr>
    </w:p>
    <w:p w:rsidR="002F656D" w:rsidRPr="003069CF" w:rsidRDefault="002F656D" w:rsidP="002F656D">
      <w:r w:rsidRPr="003069CF">
        <w:rPr>
          <w:rFonts w:cs="Arial"/>
          <w:sz w:val="20"/>
          <w:szCs w:val="20"/>
        </w:rPr>
        <w:t>As an overall conclusion according the datasets of the study results, the treatment of the different formulations of daily, weekly and monthly schedule of Vitamin D dosages provided similar efficacy</w:t>
      </w:r>
      <w:r w:rsidR="00A41515">
        <w:rPr>
          <w:rFonts w:cs="Arial"/>
          <w:sz w:val="20"/>
          <w:szCs w:val="20"/>
        </w:rPr>
        <w:t xml:space="preserve"> </w:t>
      </w:r>
      <w:r w:rsidR="00A41515" w:rsidRPr="003069CF">
        <w:rPr>
          <w:rFonts w:cs="Arial"/>
          <w:sz w:val="20"/>
          <w:szCs w:val="20"/>
        </w:rPr>
        <w:t>in normalisation of 25(OH)D levels in vitamin D deficient patients.</w:t>
      </w:r>
      <w:r w:rsidRPr="003069CF">
        <w:rPr>
          <w:rFonts w:cs="Arial"/>
          <w:sz w:val="20"/>
          <w:szCs w:val="20"/>
        </w:rPr>
        <w:t xml:space="preserve"> The applied doses and treatment schedules of Vitamin D3 administered and did not possess difference in benefits/risk evaluation compared to 1000 IU/day standard dose</w:t>
      </w:r>
      <w:r w:rsidR="00A41515">
        <w:rPr>
          <w:rFonts w:cs="Arial"/>
          <w:sz w:val="20"/>
          <w:szCs w:val="20"/>
        </w:rPr>
        <w:t>. A</w:t>
      </w:r>
      <w:r w:rsidR="00A41515" w:rsidRPr="003069CF">
        <w:rPr>
          <w:rFonts w:cs="Arial"/>
          <w:sz w:val="20"/>
          <w:szCs w:val="20"/>
        </w:rPr>
        <w:t xml:space="preserve">dministration of 30,000 IU dose in weekly schedule resulted in </w:t>
      </w:r>
      <w:r w:rsidR="00A41515">
        <w:rPr>
          <w:rFonts w:cs="Arial"/>
          <w:sz w:val="20"/>
          <w:szCs w:val="20"/>
        </w:rPr>
        <w:t>rapid and efficient</w:t>
      </w:r>
      <w:r w:rsidR="00A41515" w:rsidRPr="003069CF">
        <w:rPr>
          <w:rFonts w:cs="Arial"/>
          <w:sz w:val="20"/>
          <w:szCs w:val="20"/>
        </w:rPr>
        <w:t xml:space="preserve"> resolution of vitamin D deficiency assessed by an increase of 25(OH)D levels.</w:t>
      </w:r>
    </w:p>
    <w:p w:rsidR="002F656D" w:rsidRPr="00C01662" w:rsidRDefault="002F656D" w:rsidP="002F656D">
      <w:pPr>
        <w:rPr>
          <w:rFonts w:ascii="Times New Roman" w:eastAsia="MS Mincho" w:hAnsi="Times New Roman"/>
          <w:sz w:val="24"/>
          <w:szCs w:val="24"/>
          <w:lang w:val="hu-HU" w:eastAsia="ja-JP"/>
        </w:rPr>
      </w:pPr>
    </w:p>
    <w:sectPr w:rsidR="002F656D" w:rsidRPr="00C016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D"/>
    <w:rsid w:val="002F656D"/>
    <w:rsid w:val="003A5E7C"/>
    <w:rsid w:val="005B117F"/>
    <w:rsid w:val="006032E6"/>
    <w:rsid w:val="006B7FB7"/>
    <w:rsid w:val="007F2759"/>
    <w:rsid w:val="00872900"/>
    <w:rsid w:val="009A5FAD"/>
    <w:rsid w:val="009C5E2C"/>
    <w:rsid w:val="009F48D3"/>
    <w:rsid w:val="00A41515"/>
    <w:rsid w:val="00AF2612"/>
    <w:rsid w:val="00B802B7"/>
    <w:rsid w:val="00C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6485-C1BC-4A6D-AE1D-2A464E8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56D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2F656D"/>
    <w:pPr>
      <w:ind w:left="2835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2F656D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2566</Characters>
  <Application>Microsoft Office Word</Application>
  <DocSecurity>4</DocSecurity>
  <Lines>150</Lines>
  <Paragraphs>111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dr. Farkas Ádám</cp:lastModifiedBy>
  <cp:revision>2</cp:revision>
  <dcterms:created xsi:type="dcterms:W3CDTF">2021-04-22T12:00:00Z</dcterms:created>
  <dcterms:modified xsi:type="dcterms:W3CDTF">2021-04-22T12:00:00Z</dcterms:modified>
</cp:coreProperties>
</file>