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55D" w:rsidRDefault="002C374E">
      <w:r>
        <w:rPr>
          <w:noProof/>
          <w:lang w:eastAsia="de-DE"/>
        </w:rPr>
        <w:drawing>
          <wp:inline distT="0" distB="0" distL="0" distR="0" wp14:anchorId="476ACE17" wp14:editId="22EEE63E">
            <wp:extent cx="5760720" cy="408241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05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4E"/>
    <w:rsid w:val="002C374E"/>
    <w:rsid w:val="004F055D"/>
    <w:rsid w:val="0052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384E2-D9A9-4FAF-AEC5-D153D2E4B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Charité Universitaetsmedizin Berlin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Calvelo, Troishenley</dc:creator>
  <cp:keywords/>
  <dc:description/>
  <cp:lastModifiedBy>Calvelo, Troishenley</cp:lastModifiedBy>
  <cp:revision>1</cp:revision>
  <dcterms:created xsi:type="dcterms:W3CDTF">2022-10-18T13:58:00Z</dcterms:created>
  <dcterms:modified xsi:type="dcterms:W3CDTF">2022-10-18T13:58:00Z</dcterms:modified>
</cp:coreProperties>
</file>