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u w:val="single"/>
        </w:rPr>
      </w:pPr>
      <w:r>
        <w:rPr>
          <w:rFonts w:ascii="Times New Roman" w:hAnsi="Times New Roman"/>
          <w:b/>
          <w:u w:val="single"/>
        </w:rPr>
        <w:t>1. TÍTULO</w:t>
      </w:r>
    </w:p>
    <w:p w:rsidR="001B03C2" w:rsidRDefault="001B03C2">
      <w:pPr>
        <w:spacing w:line="480" w:lineRule="auto"/>
        <w:jc w:val="both"/>
        <w:rPr>
          <w:rFonts w:ascii="Times New Roman" w:hAnsi="Times New Roman"/>
          <w:u w:val="single"/>
        </w:rPr>
      </w:pPr>
    </w:p>
    <w:p w:rsidR="001B03C2" w:rsidRDefault="009B166E">
      <w:pPr>
        <w:spacing w:line="480" w:lineRule="auto"/>
        <w:jc w:val="both"/>
        <w:rPr>
          <w:rFonts w:ascii="Times New Roman" w:hAnsi="Times New Roman" w:cs="Times New Roman"/>
        </w:rPr>
      </w:pPr>
      <w:r>
        <w:rPr>
          <w:rFonts w:ascii="Times New Roman" w:hAnsi="Times New Roman" w:cs="Times New Roman"/>
        </w:rPr>
        <w:t>Ensayo clínico fase IV aleatorizado doble ciego para comparar la efectividad de dos métodos de  sedación en pacientes programados para colonoscopia diagnóstico-terapéutica en régimen ambulatorio.</w:t>
      </w:r>
    </w:p>
    <w:p w:rsidR="001B03C2" w:rsidRDefault="009B166E">
      <w:pPr>
        <w:spacing w:line="480" w:lineRule="auto"/>
        <w:jc w:val="both"/>
        <w:rPr>
          <w:rFonts w:ascii="Times New Roman" w:eastAsia="Times New Roman" w:hAnsi="Times New Roman" w:cs="Times New Roman"/>
        </w:rPr>
      </w:pPr>
      <w:r>
        <w:rPr>
          <w:rFonts w:ascii="Times New Roman" w:hAnsi="Times New Roman"/>
          <w:b/>
          <w:bCs/>
        </w:rPr>
        <w:t>Promotor:</w:t>
      </w:r>
      <w:r>
        <w:rPr>
          <w:rFonts w:ascii="Times New Roman" w:hAnsi="Times New Roman"/>
        </w:rPr>
        <w:t xml:space="preserve"> </w:t>
      </w:r>
      <w:r>
        <w:rPr>
          <w:rFonts w:ascii="Times New Roman" w:eastAsia="Times New Roman" w:hAnsi="Times New Roman" w:cs="Times New Roman"/>
        </w:rPr>
        <w:t xml:space="preserve"> </w:t>
      </w:r>
    </w:p>
    <w:p w:rsidR="001B03C2" w:rsidRDefault="009B166E">
      <w:pPr>
        <w:spacing w:line="480" w:lineRule="auto"/>
        <w:jc w:val="both"/>
        <w:rPr>
          <w:rFonts w:ascii="Times New Roman" w:hAnsi="Times New Roman" w:cs="Times New Roman"/>
        </w:rPr>
      </w:pPr>
      <w:r>
        <w:rPr>
          <w:rFonts w:ascii="Times New Roman" w:hAnsi="Times New Roman" w:cs="Times New Roman"/>
        </w:rPr>
        <w:t xml:space="preserve">Fundación de la Comunidad </w:t>
      </w:r>
      <w:r>
        <w:rPr>
          <w:rFonts w:ascii="Times New Roman" w:hAnsi="Times New Roman" w:cs="Times New Roman"/>
        </w:rPr>
        <w:t>Valenciana Hospital Provincial de Castellón (FCVHPC).</w:t>
      </w:r>
      <w:r>
        <w:rPr>
          <w:rFonts w:ascii="Times New Roman" w:eastAsia="Times New Roman" w:hAnsi="Times New Roman" w:cs="Times New Roman"/>
        </w:rPr>
        <w:t xml:space="preserve"> </w:t>
      </w:r>
      <w:r>
        <w:rPr>
          <w:rFonts w:ascii="Times New Roman" w:hAnsi="Times New Roman" w:cs="Times New Roman"/>
        </w:rPr>
        <w:t>Av. Doctor Clará 19, Castellón de la Plana. Teléfono 964 354 309.</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t>Fármaco experimental:</w:t>
      </w:r>
      <w:r>
        <w:rPr>
          <w:rFonts w:ascii="Times New Roman" w:hAnsi="Times New Roman"/>
        </w:rPr>
        <w:t xml:space="preserve"> </w:t>
      </w:r>
    </w:p>
    <w:p w:rsidR="001B03C2" w:rsidRDefault="009B166E">
      <w:pPr>
        <w:spacing w:line="480" w:lineRule="auto"/>
        <w:jc w:val="both"/>
        <w:rPr>
          <w:rFonts w:ascii="Times New Roman" w:hAnsi="Times New Roman"/>
        </w:rPr>
      </w:pPr>
      <w:r>
        <w:rPr>
          <w:rFonts w:ascii="Times New Roman" w:hAnsi="Times New Roman"/>
        </w:rPr>
        <w:t>Sevoflurano.</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bCs/>
        </w:rPr>
      </w:pPr>
      <w:r>
        <w:rPr>
          <w:rFonts w:ascii="Times New Roman" w:hAnsi="Times New Roman"/>
          <w:b/>
          <w:bCs/>
        </w:rPr>
        <w:t xml:space="preserve">Indicación: </w:t>
      </w:r>
    </w:p>
    <w:p w:rsidR="001B03C2" w:rsidRDefault="009B166E">
      <w:pPr>
        <w:spacing w:line="480" w:lineRule="auto"/>
        <w:jc w:val="both"/>
        <w:rPr>
          <w:rFonts w:ascii="Times New Roman" w:hAnsi="Times New Roman"/>
        </w:rPr>
      </w:pPr>
      <w:r>
        <w:rPr>
          <w:rFonts w:ascii="Times New Roman" w:hAnsi="Times New Roman"/>
        </w:rPr>
        <w:t>Anestésico inhalatorio que pertenece al grupo de los hidrocarburos halogenados que se</w:t>
      </w:r>
      <w:r>
        <w:rPr>
          <w:rFonts w:ascii="Times New Roman" w:hAnsi="Times New Roman"/>
        </w:rPr>
        <w:t xml:space="preserve"> utiliza para la inducción y mantenimiento de la anestesia general en adultos y niños hospitalizados o ambulatorios.</w:t>
      </w:r>
    </w:p>
    <w:p w:rsidR="001B03C2" w:rsidRDefault="001B03C2">
      <w:pPr>
        <w:spacing w:line="480" w:lineRule="auto"/>
        <w:jc w:val="both"/>
        <w:rPr>
          <w:rFonts w:ascii="Times New Roman" w:hAnsi="Times New Roman"/>
          <w:b/>
          <w:bCs/>
        </w:rPr>
      </w:pPr>
    </w:p>
    <w:p w:rsidR="001B03C2" w:rsidRDefault="009B166E">
      <w:pPr>
        <w:spacing w:line="480" w:lineRule="auto"/>
        <w:jc w:val="both"/>
        <w:rPr>
          <w:rFonts w:ascii="Times New Roman" w:hAnsi="Times New Roman"/>
        </w:rPr>
      </w:pPr>
      <w:r>
        <w:rPr>
          <w:rFonts w:ascii="Times New Roman" w:hAnsi="Times New Roman"/>
          <w:b/>
          <w:bCs/>
        </w:rPr>
        <w:t>Código del protocolo:</w:t>
      </w:r>
      <w:r>
        <w:rPr>
          <w:rFonts w:ascii="Times New Roman" w:hAnsi="Times New Roman"/>
        </w:rPr>
        <w:t xml:space="preserve">  </w:t>
      </w:r>
    </w:p>
    <w:p w:rsidR="001B03C2" w:rsidRDefault="009B166E">
      <w:pPr>
        <w:spacing w:line="480" w:lineRule="auto"/>
        <w:jc w:val="both"/>
        <w:rPr>
          <w:rFonts w:ascii="Times New Roman" w:hAnsi="Times New Roman" w:cs="Times New Roman"/>
        </w:rPr>
      </w:pPr>
      <w:r>
        <w:rPr>
          <w:rFonts w:ascii="Times New Roman" w:hAnsi="Times New Roman" w:cs="Times New Roman"/>
        </w:rPr>
        <w:t>FCVHPC-2013-01</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t>Código EudraCT:</w:t>
      </w:r>
      <w:r>
        <w:rPr>
          <w:rFonts w:ascii="Times New Roman" w:hAnsi="Times New Roman"/>
        </w:rPr>
        <w:t xml:space="preserve"> </w:t>
      </w:r>
    </w:p>
    <w:p w:rsidR="001B03C2" w:rsidRDefault="009B166E">
      <w:pPr>
        <w:spacing w:line="480" w:lineRule="auto"/>
        <w:jc w:val="both"/>
        <w:rPr>
          <w:rFonts w:ascii="Times New Roman" w:hAnsi="Times New Roman" w:cs="Times New Roman"/>
        </w:rPr>
      </w:pPr>
      <w:r>
        <w:rPr>
          <w:rFonts w:ascii="Times New Roman" w:hAnsi="Times New Roman" w:cs="Times New Roman"/>
        </w:rPr>
        <w:t>2013-000290-73.</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lastRenderedPageBreak/>
        <w:t>Fase del ensayo clínico:</w:t>
      </w:r>
      <w:r>
        <w:rPr>
          <w:rFonts w:ascii="Times New Roman" w:hAnsi="Times New Roman"/>
        </w:rPr>
        <w:t xml:space="preserve"> IV</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t>Fecha de inicio (inclusión del prim</w:t>
      </w:r>
      <w:r>
        <w:rPr>
          <w:rFonts w:ascii="Times New Roman" w:hAnsi="Times New Roman"/>
          <w:b/>
          <w:bCs/>
        </w:rPr>
        <w:t xml:space="preserve">er paciente): </w:t>
      </w:r>
      <w:r>
        <w:rPr>
          <w:rFonts w:ascii="Times New Roman" w:hAnsi="Times New Roman"/>
        </w:rPr>
        <w:t>02/ 07/ 2013</w:t>
      </w:r>
    </w:p>
    <w:p w:rsidR="001B03C2" w:rsidRDefault="001B03C2">
      <w:pPr>
        <w:spacing w:line="480" w:lineRule="auto"/>
        <w:jc w:val="both"/>
        <w:rPr>
          <w:rFonts w:ascii="Times New Roman" w:hAnsi="Times New Roman"/>
          <w:b/>
          <w:bCs/>
        </w:rPr>
      </w:pPr>
    </w:p>
    <w:p w:rsidR="001B03C2" w:rsidRDefault="009B166E">
      <w:pPr>
        <w:spacing w:line="480" w:lineRule="auto"/>
        <w:jc w:val="both"/>
        <w:rPr>
          <w:rFonts w:ascii="Times New Roman" w:hAnsi="Times New Roman"/>
        </w:rPr>
      </w:pPr>
      <w:r>
        <w:rPr>
          <w:rFonts w:ascii="Times New Roman" w:hAnsi="Times New Roman"/>
          <w:b/>
          <w:bCs/>
        </w:rPr>
        <w:t>Fecha de finalización (última observación del último paciente):</w:t>
      </w:r>
      <w:r>
        <w:rPr>
          <w:rFonts w:ascii="Times New Roman" w:hAnsi="Times New Roman"/>
        </w:rPr>
        <w:t xml:space="preserve"> 19/ 12/ 2013</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shd w:val="clear" w:color="auto" w:fill="FFFF00"/>
        </w:rPr>
      </w:pPr>
      <w:r>
        <w:rPr>
          <w:rFonts w:ascii="Times New Roman" w:hAnsi="Times New Roman"/>
          <w:shd w:val="clear" w:color="auto" w:fill="FFFF00"/>
        </w:rPr>
        <w:t>**Fecha de finalización prematura: NA</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t>Investigador coordinador:</w:t>
      </w:r>
      <w:r>
        <w:rPr>
          <w:rFonts w:ascii="Times New Roman" w:hAnsi="Times New Roman"/>
        </w:rPr>
        <w:t xml:space="preserve"> </w:t>
      </w:r>
    </w:p>
    <w:p w:rsidR="001B03C2" w:rsidRDefault="009B166E">
      <w:pPr>
        <w:spacing w:line="480" w:lineRule="auto"/>
        <w:jc w:val="both"/>
        <w:rPr>
          <w:rFonts w:ascii="Times New Roman" w:hAnsi="Times New Roman" w:cs="Times New Roman"/>
        </w:rPr>
      </w:pPr>
      <w:r>
        <w:rPr>
          <w:rFonts w:ascii="Times New Roman" w:hAnsi="Times New Roman"/>
        </w:rPr>
        <w:t xml:space="preserve">Dr. </w:t>
      </w:r>
      <w:r>
        <w:rPr>
          <w:rFonts w:ascii="Times New Roman" w:hAnsi="Times New Roman" w:cs="Times New Roman"/>
        </w:rPr>
        <w:t xml:space="preserve">David Peral Sánchez, anestesiólogo. Servicio de Anestesiología, Reanimación y </w:t>
      </w:r>
      <w:r>
        <w:rPr>
          <w:rFonts w:ascii="Times New Roman" w:hAnsi="Times New Roman" w:cs="Times New Roman"/>
        </w:rPr>
        <w:t>Terapia del Dolor.</w:t>
      </w:r>
      <w:r>
        <w:rPr>
          <w:rFonts w:ascii="Times New Roman" w:eastAsia="Times New Roman" w:hAnsi="Times New Roman" w:cs="Times New Roman"/>
        </w:rPr>
        <w:t xml:space="preserve"> </w:t>
      </w:r>
      <w:r>
        <w:rPr>
          <w:rFonts w:ascii="Times New Roman" w:hAnsi="Times New Roman" w:cs="Times New Roman"/>
        </w:rPr>
        <w:t>Consorcio Hospitalario Provincial de Castellón. Av. Doctor Clará 19, Castellón de la Plana. Teléfono 964 354 309</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bCs/>
          <w:shd w:val="clear" w:color="auto" w:fill="FFFF00"/>
        </w:rPr>
      </w:pPr>
      <w:r>
        <w:rPr>
          <w:rFonts w:ascii="Times New Roman" w:hAnsi="Times New Roman"/>
          <w:b/>
          <w:bCs/>
          <w:shd w:val="clear" w:color="auto" w:fill="FFFF00"/>
        </w:rPr>
        <w:t>**</w:t>
      </w:r>
      <w:commentRangeStart w:id="0"/>
      <w:r>
        <w:rPr>
          <w:rFonts w:ascii="Times New Roman" w:hAnsi="Times New Roman"/>
          <w:b/>
          <w:bCs/>
          <w:shd w:val="clear" w:color="auto" w:fill="FFFF00"/>
        </w:rPr>
        <w:t>Monitorización</w:t>
      </w:r>
      <w:commentRangeEnd w:id="0"/>
      <w:r w:rsidR="00AA2F17">
        <w:rPr>
          <w:rStyle w:val="Refdecomentario"/>
        </w:rPr>
        <w:commentReference w:id="0"/>
      </w:r>
      <w:r>
        <w:rPr>
          <w:rFonts w:ascii="Times New Roman" w:hAnsi="Times New Roman"/>
          <w:b/>
          <w:bCs/>
          <w:shd w:val="clear" w:color="auto" w:fill="FFFF00"/>
        </w:rPr>
        <w:t xml:space="preserve">: </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b/>
          <w:bCs/>
        </w:rPr>
        <w:t>Fecha informe:</w:t>
      </w:r>
      <w:r>
        <w:rPr>
          <w:rFonts w:ascii="Times New Roman" w:hAnsi="Times New Roman"/>
        </w:rPr>
        <w:t xml:space="preserve"> 30-Septiembre-2014</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rPr>
        <w:t xml:space="preserve">Este estudio se realizó conforme a las normas de </w:t>
      </w:r>
      <w:r>
        <w:rPr>
          <w:rFonts w:ascii="Times New Roman" w:hAnsi="Times New Roman"/>
          <w:i/>
        </w:rPr>
        <w:t>Buena Práctica Clín</w:t>
      </w:r>
      <w:r>
        <w:rPr>
          <w:rFonts w:ascii="Times New Roman" w:hAnsi="Times New Roman"/>
          <w:i/>
        </w:rPr>
        <w:t>ica (BPC)</w:t>
      </w:r>
      <w:r>
        <w:rPr>
          <w:rFonts w:ascii="Times New Roman" w:hAnsi="Times New Roman"/>
        </w:rPr>
        <w:t>, incluyendo el</w:t>
      </w:r>
    </w:p>
    <w:p w:rsidR="001B03C2" w:rsidRDefault="009B166E">
      <w:pPr>
        <w:spacing w:line="480" w:lineRule="auto"/>
        <w:jc w:val="both"/>
        <w:rPr>
          <w:rFonts w:ascii="Times New Roman" w:hAnsi="Times New Roman"/>
        </w:rPr>
      </w:pPr>
      <w:r>
        <w:rPr>
          <w:rFonts w:ascii="Times New Roman" w:hAnsi="Times New Roman"/>
        </w:rPr>
        <w:t>archivo de documentos fundamentales</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bCs/>
        </w:rPr>
      </w:pPr>
      <w:r>
        <w:rPr>
          <w:rFonts w:ascii="Times New Roman" w:hAnsi="Times New Roman"/>
        </w:rPr>
        <w:lastRenderedPageBreak/>
        <w:tab/>
      </w:r>
      <w:r>
        <w:rPr>
          <w:rFonts w:ascii="Times New Roman" w:hAnsi="Times New Roman"/>
          <w:b/>
          <w:bCs/>
        </w:rPr>
        <w:t>FIRMAS</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eastAsia="Times New Roman" w:hAnsi="Times New Roman" w:cs="Times New Roman"/>
        </w:rPr>
      </w:pPr>
      <w:r>
        <w:rPr>
          <w:rFonts w:ascii="Times New Roman" w:hAnsi="Times New Roman"/>
          <w:b/>
          <w:bCs/>
        </w:rPr>
        <w:t>Promotor:</w:t>
      </w:r>
      <w:r>
        <w:rPr>
          <w:rFonts w:ascii="Times New Roman" w:hAnsi="Times New Roman"/>
        </w:rPr>
        <w:t xml:space="preserve"> </w:t>
      </w:r>
      <w:r>
        <w:rPr>
          <w:rFonts w:ascii="Times New Roman" w:eastAsia="Times New Roman" w:hAnsi="Times New Roman" w:cs="Times New Roman"/>
        </w:rPr>
        <w:t xml:space="preserve"> </w:t>
      </w:r>
    </w:p>
    <w:p w:rsidR="001B03C2" w:rsidRDefault="009B166E">
      <w:pPr>
        <w:spacing w:line="480" w:lineRule="auto"/>
        <w:jc w:val="both"/>
        <w:rPr>
          <w:rFonts w:ascii="Times New Roman" w:hAnsi="Times New Roman" w:cs="Times New Roman"/>
        </w:rPr>
      </w:pPr>
      <w:r>
        <w:rPr>
          <w:rFonts w:ascii="Times New Roman" w:hAnsi="Times New Roman" w:cs="Times New Roman"/>
        </w:rPr>
        <w:t>Fundación de la Comunidad Valenciana Hospital Provincial de Castellón (FCVHPC)</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Times New Roman"/>
        </w:rPr>
      </w:pPr>
      <w:r>
        <w:rPr>
          <w:rFonts w:ascii="Times New Roman" w:hAnsi="Times New Roman" w:cs="Times New Roman"/>
        </w:rPr>
        <w:t>Aprobado por:</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Times New Roman"/>
        </w:rPr>
      </w:pPr>
      <w:r>
        <w:rPr>
          <w:rFonts w:ascii="Times New Roman" w:hAnsi="Times New Roman" w:cs="Times New Roman"/>
        </w:rPr>
        <w:t xml:space="preserve">__________________________________________________              </w:t>
      </w:r>
      <w:r>
        <w:rPr>
          <w:rFonts w:ascii="Times New Roman" w:hAnsi="Times New Roman" w:cs="Times New Roman"/>
        </w:rPr>
        <w:t>________________________</w:t>
      </w:r>
    </w:p>
    <w:p w:rsidR="001B03C2" w:rsidRDefault="009B166E">
      <w:pPr>
        <w:spacing w:line="480" w:lineRule="auto"/>
        <w:jc w:val="both"/>
        <w:rPr>
          <w:rFonts w:ascii="Times New Roman" w:hAnsi="Times New Roman" w:cs="Times New Roman"/>
        </w:rPr>
      </w:pPr>
      <w:r>
        <w:rPr>
          <w:rFonts w:ascii="Times New Roman" w:hAnsi="Times New Roman" w:cs="Times New Roman"/>
        </w:rPr>
        <w:t>Nombre y puesto                                                                                        Fecha</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Times New Roman"/>
          <w:b/>
          <w:u w:val="single"/>
        </w:rPr>
      </w:pPr>
      <w:r>
        <w:rPr>
          <w:rFonts w:ascii="Times New Roman" w:hAnsi="Times New Roman" w:cs="Times New Roman"/>
          <w:b/>
          <w:u w:val="single"/>
        </w:rPr>
        <w:lastRenderedPageBreak/>
        <w:t>2. RESUMEN</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rPr>
      </w:pPr>
      <w:r>
        <w:rPr>
          <w:rFonts w:ascii="Times New Roman" w:hAnsi="Times New Roman"/>
          <w:b/>
        </w:rPr>
        <w:t>Título del estudio</w:t>
      </w:r>
    </w:p>
    <w:p w:rsidR="001B03C2" w:rsidRDefault="009B166E">
      <w:pPr>
        <w:spacing w:line="480" w:lineRule="auto"/>
        <w:ind w:left="142"/>
        <w:jc w:val="both"/>
        <w:rPr>
          <w:rFonts w:ascii="Times New Roman" w:hAnsi="Times New Roman" w:cs="Times New Roman"/>
        </w:rPr>
      </w:pPr>
      <w:r>
        <w:rPr>
          <w:rFonts w:ascii="Times New Roman" w:hAnsi="Times New Roman" w:cs="Times New Roman"/>
        </w:rPr>
        <w:t xml:space="preserve">Ensayo clínico fase IV aleatorizado doble ciego para comparar la efectividad de </w:t>
      </w:r>
      <w:r>
        <w:rPr>
          <w:rFonts w:ascii="Times New Roman" w:hAnsi="Times New Roman" w:cs="Times New Roman"/>
        </w:rPr>
        <w:t>dos métodos de  sedación en pacientes programados para colonoscopia diagnóstico-terapéutica en régimen ambulatorio.</w:t>
      </w:r>
    </w:p>
    <w:p w:rsidR="001B03C2" w:rsidRDefault="009B166E">
      <w:pPr>
        <w:spacing w:line="480" w:lineRule="auto"/>
        <w:jc w:val="both"/>
        <w:rPr>
          <w:rFonts w:ascii="Times New Roman" w:hAnsi="Times New Roman"/>
          <w:b/>
        </w:rPr>
      </w:pPr>
      <w:r>
        <w:rPr>
          <w:rFonts w:ascii="Times New Roman" w:hAnsi="Times New Roman"/>
          <w:b/>
        </w:rPr>
        <w:t>Investigadores y centros participantes</w:t>
      </w:r>
    </w:p>
    <w:p w:rsidR="001B03C2" w:rsidRDefault="009B166E">
      <w:pPr>
        <w:spacing w:line="480" w:lineRule="auto"/>
        <w:jc w:val="both"/>
        <w:rPr>
          <w:rFonts w:ascii="Times New Roman" w:hAnsi="Times New Roman"/>
          <w:shd w:val="clear" w:color="auto" w:fill="FFFF00"/>
        </w:rPr>
      </w:pPr>
      <w:commentRangeStart w:id="1"/>
      <w:r>
        <w:rPr>
          <w:rFonts w:ascii="Times New Roman" w:hAnsi="Times New Roman"/>
          <w:shd w:val="clear" w:color="auto" w:fill="FFFF00"/>
        </w:rPr>
        <w:t>En el estudio participó 1 centro español.</w:t>
      </w:r>
      <w:commentRangeEnd w:id="1"/>
      <w:r w:rsidR="00AA2F17">
        <w:rPr>
          <w:rStyle w:val="Refdecomentario"/>
        </w:rPr>
        <w:commentReference w:id="1"/>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rPr>
      </w:pPr>
      <w:r>
        <w:rPr>
          <w:rFonts w:ascii="Times New Roman" w:hAnsi="Times New Roman"/>
          <w:b/>
        </w:rPr>
        <w:t>Duración del estudio</w:t>
      </w:r>
    </w:p>
    <w:p w:rsidR="001B03C2" w:rsidRDefault="009B166E">
      <w:pPr>
        <w:spacing w:line="480" w:lineRule="auto"/>
        <w:jc w:val="both"/>
        <w:rPr>
          <w:rFonts w:ascii="Times New Roman" w:hAnsi="Times New Roman"/>
        </w:rPr>
      </w:pPr>
      <w:r>
        <w:rPr>
          <w:rFonts w:ascii="Times New Roman" w:hAnsi="Times New Roman"/>
        </w:rPr>
        <w:t>Inicio: 02-07-2013 (primer paciente i</w:t>
      </w:r>
      <w:r>
        <w:rPr>
          <w:rFonts w:ascii="Times New Roman" w:hAnsi="Times New Roman"/>
        </w:rPr>
        <w:t>ncluido)</w:t>
      </w:r>
    </w:p>
    <w:p w:rsidR="001B03C2" w:rsidRDefault="009B166E">
      <w:pPr>
        <w:spacing w:line="480" w:lineRule="auto"/>
        <w:jc w:val="both"/>
        <w:rPr>
          <w:rFonts w:ascii="Times New Roman" w:hAnsi="Times New Roman"/>
        </w:rPr>
      </w:pPr>
      <w:r>
        <w:rPr>
          <w:rFonts w:ascii="Times New Roman" w:hAnsi="Times New Roman"/>
        </w:rPr>
        <w:t>Fin: 19-12-2013 (última visita último paciente)</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rPr>
      </w:pPr>
      <w:r>
        <w:rPr>
          <w:rFonts w:ascii="Times New Roman" w:hAnsi="Times New Roman"/>
          <w:b/>
        </w:rPr>
        <w:t>Fase de desarrollo</w:t>
      </w:r>
    </w:p>
    <w:p w:rsidR="001B03C2" w:rsidRDefault="009B166E">
      <w:pPr>
        <w:spacing w:line="480" w:lineRule="auto"/>
        <w:jc w:val="both"/>
        <w:rPr>
          <w:rFonts w:ascii="Times New Roman" w:hAnsi="Times New Roman"/>
        </w:rPr>
      </w:pPr>
      <w:r>
        <w:rPr>
          <w:rFonts w:ascii="Times New Roman" w:hAnsi="Times New Roman"/>
        </w:rPr>
        <w:t>Ensayo clínico fase IV, aleatorizado, unicéntrico, y doble ciego.</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rPr>
      </w:pPr>
      <w:r>
        <w:rPr>
          <w:rFonts w:ascii="Times New Roman" w:hAnsi="Times New Roman"/>
          <w:b/>
        </w:rPr>
        <w:t xml:space="preserve">Objetivos </w:t>
      </w:r>
    </w:p>
    <w:p w:rsidR="001B03C2" w:rsidRDefault="009B166E">
      <w:pPr>
        <w:spacing w:line="480" w:lineRule="auto"/>
        <w:jc w:val="both"/>
        <w:rPr>
          <w:rFonts w:ascii="Times New Roman" w:hAnsi="Times New Roman" w:cs="Times New Roman"/>
          <w:i/>
          <w:iCs/>
        </w:rPr>
      </w:pPr>
      <w:r>
        <w:rPr>
          <w:rFonts w:ascii="Times New Roman" w:hAnsi="Times New Roman" w:cs="Times New Roman"/>
          <w:i/>
          <w:iCs/>
        </w:rPr>
        <w:t>Objetivo primario</w:t>
      </w:r>
    </w:p>
    <w:p w:rsidR="001B03C2" w:rsidRDefault="009B166E">
      <w:pPr>
        <w:spacing w:line="480" w:lineRule="auto"/>
        <w:jc w:val="both"/>
        <w:rPr>
          <w:rFonts w:ascii="Times New Roman" w:hAnsi="Times New Roman" w:cs="Times New Roman"/>
        </w:rPr>
      </w:pPr>
      <w:r>
        <w:rPr>
          <w:rFonts w:ascii="Times New Roman" w:hAnsi="Times New Roman" w:cs="Times New Roman"/>
        </w:rPr>
        <w:t xml:space="preserve">Comparar la efectividad de la sedación mediante una técnica intravenosa </w:t>
      </w:r>
      <w:r>
        <w:rPr>
          <w:rFonts w:ascii="Times New Roman" w:hAnsi="Times New Roman" w:cs="Times New Roman"/>
        </w:rPr>
        <w:t>convencional frente a otra técnica inhalatoria pura, en pacientes programados para colonoscopia diagnóstico-terapéutica en régimen ambulatorio. Dicha efectividad vendría determinada por la calidad de la sedación según la valoración del endoscopista.</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Times New Roman"/>
          <w:i/>
          <w:iCs/>
        </w:rPr>
      </w:pPr>
      <w:r>
        <w:rPr>
          <w:rFonts w:ascii="Times New Roman" w:hAnsi="Times New Roman" w:cs="Times New Roman"/>
          <w:i/>
          <w:iCs/>
        </w:rPr>
        <w:t>Objet</w:t>
      </w:r>
      <w:r>
        <w:rPr>
          <w:rFonts w:ascii="Times New Roman" w:hAnsi="Times New Roman" w:cs="Times New Roman"/>
          <w:i/>
          <w:iCs/>
        </w:rPr>
        <w:t>ivos secundarios</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frecuencia de colonoscopias terminadas.</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lastRenderedPageBreak/>
        <w:t>Comparar la frecuencia de pacientes que presentaran desaturación arterial, apnea respiratoria o necesidad de maniobras de apertura de la vía aérea y asistencia ventilatoria.</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w:t>
      </w:r>
      <w:r>
        <w:rPr>
          <w:rFonts w:ascii="Times New Roman" w:hAnsi="Times New Roman" w:cs="Times New Roman"/>
        </w:rPr>
        <w:t>recuencia de pacientes que presentaran movimientos que dificultan la exploración.</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frecuencia de pacientes que desarrollaran complicaciones cardiopulmonares.</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frecuencia de pacientes que presentaran sobresedación.</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frecuenc</w:t>
      </w:r>
      <w:r>
        <w:rPr>
          <w:rFonts w:ascii="Times New Roman" w:hAnsi="Times New Roman" w:cs="Times New Roman"/>
        </w:rPr>
        <w:t>ia de ingresos hospitalarios.</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frecuencia de pacientes dados de alta tras la primera evaluación postanestésica.</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el grado de recuperación a las 24 horas de la exploración.</w:t>
      </w:r>
    </w:p>
    <w:p w:rsidR="001B03C2" w:rsidRDefault="009B166E">
      <w:pPr>
        <w:numPr>
          <w:ilvl w:val="0"/>
          <w:numId w:val="5"/>
        </w:numPr>
        <w:tabs>
          <w:tab w:val="left" w:pos="142"/>
        </w:tabs>
        <w:spacing w:line="480" w:lineRule="auto"/>
        <w:ind w:left="142"/>
        <w:jc w:val="both"/>
        <w:rPr>
          <w:rFonts w:ascii="Times New Roman" w:hAnsi="Times New Roman" w:cs="Times New Roman"/>
        </w:rPr>
      </w:pPr>
      <w:r>
        <w:rPr>
          <w:rFonts w:ascii="Times New Roman" w:hAnsi="Times New Roman" w:cs="Times New Roman"/>
        </w:rPr>
        <w:t>Comparar la opinión y satisfacción de los pacientes.</w:t>
      </w:r>
    </w:p>
    <w:p w:rsidR="001B03C2" w:rsidRDefault="001B03C2">
      <w:pPr>
        <w:tabs>
          <w:tab w:val="left" w:pos="142"/>
        </w:tabs>
        <w:spacing w:line="480" w:lineRule="auto"/>
        <w:ind w:left="-218"/>
        <w:jc w:val="both"/>
        <w:rPr>
          <w:rFonts w:ascii="Times New Roman" w:hAnsi="Times New Roman" w:cs="Times New Roman"/>
        </w:rPr>
      </w:pPr>
    </w:p>
    <w:p w:rsidR="001B03C2" w:rsidRDefault="009B166E">
      <w:pPr>
        <w:tabs>
          <w:tab w:val="left" w:pos="142"/>
        </w:tabs>
        <w:spacing w:line="480" w:lineRule="auto"/>
        <w:ind w:left="-218"/>
        <w:jc w:val="both"/>
        <w:rPr>
          <w:rFonts w:ascii="Times New Roman" w:hAnsi="Times New Roman" w:cs="Times New Roman"/>
          <w:b/>
          <w:bCs/>
        </w:rPr>
      </w:pPr>
      <w:r>
        <w:rPr>
          <w:rFonts w:ascii="Times New Roman" w:hAnsi="Times New Roman" w:cs="Times New Roman"/>
          <w:b/>
          <w:bCs/>
        </w:rPr>
        <w:t>Metodología</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Se trató de un ensayo clínico aleatorizado, en fase IV, controlado, doble ciego y unicéntrico, en el que se pretendería comparar la sedación inhalatoria pura con sevoflurano frente a la sedación intravenosa convencional con propofol y remifentanilo, en pa</w:t>
      </w:r>
      <w:r>
        <w:rPr>
          <w:rFonts w:ascii="Times New Roman" w:hAnsi="Times New Roman" w:cs="Arial"/>
        </w:rPr>
        <w:t xml:space="preserve">cientes sometidos a colonoscopia diagnóstico-terapéutica en régimen ambulatorio. </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Se incluiría un total de 278 pacientes. El flujo de los pacientes participantes en el estudio seguiría las recomendaciones de la guía CONSORT sobre ensayos clínicos aleatoriz</w:t>
      </w:r>
      <w:r>
        <w:rPr>
          <w:rFonts w:ascii="Times New Roman" w:hAnsi="Times New Roman" w:cs="Arial"/>
        </w:rPr>
        <w:t>ados.</w:t>
      </w:r>
    </w:p>
    <w:p w:rsidR="001B03C2" w:rsidRDefault="009B166E">
      <w:pPr>
        <w:tabs>
          <w:tab w:val="left" w:pos="142"/>
        </w:tabs>
        <w:spacing w:line="480" w:lineRule="auto"/>
        <w:ind w:left="-218"/>
        <w:jc w:val="both"/>
        <w:rPr>
          <w:rFonts w:ascii="Times New Roman" w:hAnsi="Times New Roman"/>
        </w:rPr>
      </w:pPr>
      <w:r>
        <w:rPr>
          <w:rFonts w:ascii="Times New Roman" w:hAnsi="Times New Roman" w:cs="Arial"/>
        </w:rPr>
        <w:t xml:space="preserve">Los pacientes elegibles otorgarían su consentimiento para participar en el ensayo, previo a la </w:t>
      </w:r>
      <w:r>
        <w:rPr>
          <w:rFonts w:ascii="Times New Roman" w:hAnsi="Times New Roman"/>
        </w:rPr>
        <w:t>realización de cualquier procedimiento específico del mismo.</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En ambos grupos de pacientes se procedería como explicamos a continuación, de forma que la úni</w:t>
      </w:r>
      <w:r>
        <w:rPr>
          <w:rFonts w:ascii="Times New Roman" w:hAnsi="Times New Roman" w:cs="Arial"/>
        </w:rPr>
        <w:t xml:space="preserve">ca diferencia fuera el fármaco hipnótico administrado: </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Todas las colonoscopias serían realizadas por el mismo endoscopista, con experiencia acreditada en la realización de este procedimiento ( entre 700 y 750 colonoscopias al año), usando siempre el mismo</w:t>
      </w:r>
      <w:r>
        <w:rPr>
          <w:rFonts w:ascii="Times New Roman" w:hAnsi="Times New Roman" w:cs="Arial"/>
        </w:rPr>
        <w:t xml:space="preserve"> colonoscopio ( marca Olympus, modelo EVIS EXERA III CF-HQ190L/I).</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xml:space="preserve">Las sedaciones se realizarían en su totalidad en la Unidad de endoscopias de nuestro Centro </w:t>
      </w:r>
      <w:r>
        <w:rPr>
          <w:rFonts w:ascii="Times New Roman" w:hAnsi="Times New Roman" w:cs="Arial"/>
        </w:rPr>
        <w:lastRenderedPageBreak/>
        <w:t>Hospitalario.</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Tras confirmar la identificación del paciente y el motivo de realización de la expl</w:t>
      </w:r>
      <w:r>
        <w:rPr>
          <w:rFonts w:ascii="Times New Roman" w:hAnsi="Times New Roman" w:cs="Arial"/>
        </w:rPr>
        <w:t>oración, se comprobarían los criterios de inclusión y exclusión del estudio y se obtendría la conformidad del paciente para participar en el mismo, mediante la obtención del consentimiento Informado.</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La posición del paciente sería en decúbito lateral izqui</w:t>
      </w:r>
      <w:r>
        <w:rPr>
          <w:rFonts w:ascii="Times New Roman" w:hAnsi="Times New Roman" w:cs="Arial"/>
        </w:rPr>
        <w:t>erdo para realizar la intervención. Se canalizaría un catéter venoso periférico 20G y se infundirían un total de 250 ml de suero fisiológico 0,9% durante la exploración. La monitorización consistiría en el registro continuo de pulsioximetría (SpO2), electr</w:t>
      </w:r>
      <w:r>
        <w:rPr>
          <w:rFonts w:ascii="Times New Roman" w:hAnsi="Times New Roman" w:cs="Arial"/>
        </w:rPr>
        <w:t xml:space="preserve">ocardiograma (ECG) y tensión arterial no invasiva (TANI). </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xml:space="preserve">Para el aporte de oxígeno en ambos grupos, se acoplaría una mascarilla facial transparente de la marca Rüsch empleando el tamaño apropiado para cada paciente. Dicha mascarilla se conectaría a una </w:t>
      </w:r>
      <w:r>
        <w:rPr>
          <w:rFonts w:ascii="Times New Roman" w:hAnsi="Times New Roman" w:cs="Arial"/>
        </w:rPr>
        <w:t xml:space="preserve">estación de anestesia (Dräger, modelo Fabius Tiro) en la que se programaría un flujo de gas fresco de 6 litros por minuto con mezcla de oxígeno y aire, programando una fracción inspirada de oxígeno del 50%, en modo ventilatorio espontáneo y con la válvula </w:t>
      </w:r>
      <w:r>
        <w:rPr>
          <w:rFonts w:ascii="Times New Roman" w:hAnsi="Times New Roman" w:cs="Arial"/>
        </w:rPr>
        <w:t>APL abierta para evitar la transmisión de presión al aparato respiratorio del paciente. Se realizaría la preoxigenación durante 3 minutos. Se monitorizaría, además, los parámetros ventilatorios ( frecuencia respiratoria, volumen corriente y capnografía) as</w:t>
      </w:r>
      <w:r>
        <w:rPr>
          <w:rFonts w:ascii="Times New Roman" w:hAnsi="Times New Roman" w:cs="Arial"/>
        </w:rPr>
        <w:t>í como la fracción inspirada y espirada de oxígeno en el grupo P, y de oxígeno y sevoflurano en el grupo S.</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Se iniciaría el procedimiento administrando a ambos grupos de pacientes 1.5 mg de midazolam iv, como ansiolítico, antes de comenzar la colonoscopia.</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Trascurrido 1 minuto, iniciaríamos el proceso de sedación ( intravenosa o inhalatoria según el grupo asignado) hasta lograr un plano 3 de profundidad anestésica, según la escala de sedación de Ramsay. Tras alcanzar dicho plano de sedación, se comenzaría la</w:t>
      </w:r>
      <w:r>
        <w:rPr>
          <w:rFonts w:ascii="Times New Roman" w:hAnsi="Times New Roman" w:cs="Arial"/>
        </w:rPr>
        <w:t xml:space="preserve"> colonoscopia y mantendríamos la administración de los fármacos sedantes con objeto de permanecer dentro de un plano anestésico adecuado, que sería aquel que permitiera completar la exploración sin movimientos del paciente que dificultaran la misma, y mant</w:t>
      </w:r>
      <w:r>
        <w:rPr>
          <w:rFonts w:ascii="Times New Roman" w:hAnsi="Times New Roman" w:cs="Arial"/>
        </w:rPr>
        <w:t xml:space="preserve">ener la ventilación espontánea. </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lastRenderedPageBreak/>
        <w:t>En ambos grupos, cesaríamos la administración de los fármacos tras alcanzar el ciego con el endoscopio.</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t>Durante la sedación, se permitiría modificar el tratamiento asignado a un paciente si así lo creía necesario el anestes</w:t>
      </w:r>
      <w:r>
        <w:rPr>
          <w:rFonts w:ascii="Times New Roman" w:hAnsi="Times New Roman" w:cs="Arial"/>
        </w:rPr>
        <w:t>iólogo. Este hecho se recogería en el CRD, junto con la causa que lo originó.</w:t>
      </w:r>
    </w:p>
    <w:p w:rsidR="001B03C2" w:rsidRDefault="001B03C2">
      <w:pPr>
        <w:tabs>
          <w:tab w:val="left" w:pos="142"/>
        </w:tabs>
        <w:spacing w:line="480" w:lineRule="auto"/>
        <w:jc w:val="both"/>
        <w:rPr>
          <w:rFonts w:ascii="Times New Roman" w:hAnsi="Times New Roman" w:cs="Arial"/>
        </w:rPr>
      </w:pPr>
    </w:p>
    <w:p w:rsidR="001B03C2" w:rsidRDefault="009B166E">
      <w:pPr>
        <w:tabs>
          <w:tab w:val="left" w:pos="142"/>
        </w:tabs>
        <w:spacing w:line="480" w:lineRule="auto"/>
        <w:jc w:val="both"/>
        <w:rPr>
          <w:rFonts w:ascii="Times New Roman" w:hAnsi="Times New Roman" w:cs="Arial"/>
          <w:b/>
          <w:bCs/>
        </w:rPr>
      </w:pPr>
      <w:r>
        <w:rPr>
          <w:rFonts w:ascii="Times New Roman" w:hAnsi="Times New Roman" w:cs="Arial"/>
          <w:b/>
          <w:bCs/>
        </w:rPr>
        <w:t>POBLACIÓN Y ÁMBITO.</w:t>
      </w:r>
    </w:p>
    <w:p w:rsidR="001B03C2" w:rsidRDefault="009B166E">
      <w:pPr>
        <w:spacing w:line="480" w:lineRule="auto"/>
        <w:jc w:val="both"/>
        <w:rPr>
          <w:rFonts w:ascii="Times New Roman" w:hAnsi="Times New Roman" w:cs="Arial"/>
        </w:rPr>
      </w:pPr>
      <w:r>
        <w:rPr>
          <w:rFonts w:ascii="Times New Roman" w:hAnsi="Times New Roman" w:cs="Arial"/>
        </w:rPr>
        <w:t>En el estudio se inclurían 278 pacientes. El método de muestreo utilizado sería el de selección consecutiva. La muestra se obtendría a partir  de una poblaci</w:t>
      </w:r>
      <w:r>
        <w:rPr>
          <w:rFonts w:ascii="Times New Roman" w:hAnsi="Times New Roman" w:cs="Arial"/>
        </w:rPr>
        <w:t>ón proveniente de diferentes áreas de salud de la Provincia de Castellón, formada por pacientes programados para la realización de colonoscopia diagnóstico-terapéutica  bajo sedación en el Consorcio Hospitalario Provincial de Castellón entre los meses de J</w:t>
      </w:r>
      <w:r>
        <w:rPr>
          <w:rFonts w:ascii="Times New Roman" w:hAnsi="Times New Roman" w:cs="Arial"/>
        </w:rPr>
        <w:t>ulio y Diciembre de 2013. Las exploraciones endoscópicas se realizarían tras la indicación de la misma por el médico  digestólogo, bien tras inclusión del paciente dentro del programa de detección precoz del cáncer de colon, o para control postquirúrgico o</w:t>
      </w:r>
      <w:r>
        <w:rPr>
          <w:rFonts w:ascii="Times New Roman" w:hAnsi="Times New Roman" w:cs="Arial"/>
        </w:rPr>
        <w:t xml:space="preserve"> por algún otro motivo médico. En este centro hospitalario, la mayoría de colonoscopias se realizan de forma normalizada en condiciones de sedación intravenosa por el Servicio de Anestesiología. </w:t>
      </w:r>
    </w:p>
    <w:p w:rsidR="001B03C2" w:rsidRDefault="009B166E">
      <w:pPr>
        <w:spacing w:line="480" w:lineRule="auto"/>
        <w:jc w:val="both"/>
        <w:rPr>
          <w:rFonts w:ascii="Times New Roman" w:hAnsi="Times New Roman" w:cs="Arial"/>
        </w:rPr>
      </w:pPr>
      <w:r>
        <w:rPr>
          <w:rFonts w:ascii="Times New Roman" w:hAnsi="Times New Roman" w:cs="Arial"/>
        </w:rPr>
        <w:t xml:space="preserve">La elegibilidad de los pacientes sería evaluada mediante la </w:t>
      </w:r>
      <w:r>
        <w:rPr>
          <w:rFonts w:ascii="Times New Roman" w:hAnsi="Times New Roman" w:cs="Arial"/>
        </w:rPr>
        <w:t>anamnesis y la revisión de la historia clínica.</w:t>
      </w:r>
    </w:p>
    <w:p w:rsidR="001B03C2" w:rsidRDefault="001B03C2">
      <w:pPr>
        <w:spacing w:line="480" w:lineRule="auto"/>
        <w:jc w:val="both"/>
        <w:rPr>
          <w:rFonts w:ascii="Times New Roman" w:hAnsi="Times New Roman" w:cs="Arial"/>
          <w:b/>
          <w:bCs/>
        </w:rPr>
      </w:pPr>
    </w:p>
    <w:p w:rsidR="001B03C2" w:rsidRDefault="009B166E">
      <w:pPr>
        <w:spacing w:line="480" w:lineRule="auto"/>
        <w:jc w:val="both"/>
        <w:rPr>
          <w:rFonts w:ascii="Times New Roman" w:hAnsi="Times New Roman" w:cs="Arial"/>
          <w:b/>
          <w:bCs/>
        </w:rPr>
      </w:pPr>
      <w:r>
        <w:rPr>
          <w:rFonts w:ascii="Times New Roman" w:hAnsi="Times New Roman" w:cs="Arial"/>
          <w:b/>
          <w:bCs/>
        </w:rPr>
        <w:t>SELECCIÓN DE LOS PACIENTES.</w:t>
      </w:r>
    </w:p>
    <w:p w:rsidR="001B03C2" w:rsidRDefault="009B166E">
      <w:pPr>
        <w:spacing w:line="480" w:lineRule="auto"/>
        <w:jc w:val="both"/>
        <w:rPr>
          <w:rFonts w:ascii="Times New Roman" w:hAnsi="Times New Roman" w:cs="Arial"/>
        </w:rPr>
      </w:pPr>
      <w:r>
        <w:rPr>
          <w:rFonts w:ascii="Times New Roman" w:hAnsi="Times New Roman" w:cs="Arial"/>
        </w:rPr>
        <w:t>Los criterios de inclusión para participar en el estudio serían:</w:t>
      </w:r>
    </w:p>
    <w:p w:rsidR="001B03C2" w:rsidRDefault="009B166E">
      <w:pPr>
        <w:numPr>
          <w:ilvl w:val="0"/>
          <w:numId w:val="6"/>
        </w:numPr>
        <w:spacing w:line="480" w:lineRule="auto"/>
        <w:jc w:val="both"/>
        <w:rPr>
          <w:rFonts w:ascii="Times New Roman" w:hAnsi="Times New Roman" w:cs="Arial"/>
        </w:rPr>
      </w:pPr>
      <w:r>
        <w:rPr>
          <w:rFonts w:ascii="Times New Roman" w:hAnsi="Times New Roman" w:cs="Arial"/>
        </w:rPr>
        <w:t>Paciente programado para realización de colonoscopia diagnóstico-terapéutica en régimen ambulatorio proveniente de</w:t>
      </w:r>
      <w:r>
        <w:rPr>
          <w:rFonts w:ascii="Times New Roman" w:hAnsi="Times New Roman" w:cs="Arial"/>
        </w:rPr>
        <w:t xml:space="preserve"> centros de atención primaria de la provincia de Castellón.</w:t>
      </w:r>
    </w:p>
    <w:p w:rsidR="001B03C2" w:rsidRDefault="009B166E">
      <w:pPr>
        <w:numPr>
          <w:ilvl w:val="0"/>
          <w:numId w:val="6"/>
        </w:numPr>
        <w:spacing w:line="480" w:lineRule="auto"/>
        <w:jc w:val="both"/>
        <w:rPr>
          <w:rFonts w:ascii="Times New Roman" w:hAnsi="Times New Roman" w:cs="Arial"/>
        </w:rPr>
      </w:pPr>
      <w:r>
        <w:rPr>
          <w:rFonts w:ascii="Times New Roman" w:hAnsi="Times New Roman" w:cs="Arial"/>
        </w:rPr>
        <w:t>Tener más de 18 años de edad.</w:t>
      </w:r>
    </w:p>
    <w:p w:rsidR="001B03C2" w:rsidRDefault="009B166E">
      <w:pPr>
        <w:numPr>
          <w:ilvl w:val="0"/>
          <w:numId w:val="6"/>
        </w:numPr>
        <w:spacing w:line="480" w:lineRule="auto"/>
        <w:jc w:val="both"/>
        <w:rPr>
          <w:rFonts w:ascii="Times New Roman" w:hAnsi="Times New Roman" w:cs="Arial"/>
        </w:rPr>
      </w:pPr>
      <w:r>
        <w:rPr>
          <w:rFonts w:ascii="Times New Roman" w:hAnsi="Times New Roman" w:cs="Arial"/>
        </w:rPr>
        <w:t>Presentar un estado físico ASA I-III de la American Society of Anethesiology.</w:t>
      </w:r>
    </w:p>
    <w:p w:rsidR="001B03C2" w:rsidRDefault="009B166E">
      <w:pPr>
        <w:numPr>
          <w:ilvl w:val="0"/>
          <w:numId w:val="6"/>
        </w:numPr>
        <w:spacing w:line="480" w:lineRule="auto"/>
        <w:jc w:val="both"/>
        <w:rPr>
          <w:rFonts w:ascii="Times New Roman" w:hAnsi="Times New Roman" w:cs="Arial"/>
        </w:rPr>
      </w:pPr>
      <w:r>
        <w:rPr>
          <w:rFonts w:ascii="Times New Roman" w:hAnsi="Times New Roman" w:cs="Arial"/>
        </w:rPr>
        <w:lastRenderedPageBreak/>
        <w:t>Consentimiento  Informado (CI) firmado anterior a la inclusión en el estudio.</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Los crite</w:t>
      </w:r>
      <w:r>
        <w:rPr>
          <w:rFonts w:ascii="Times New Roman" w:hAnsi="Times New Roman" w:cs="Arial"/>
        </w:rPr>
        <w:t>rios de exclusión serían:</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Rechazo del paciente a participar en el estudio.</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Menores de edad.</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Embarazo o lactancia.</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Historia de enfermedad hepática o renal crónicas.</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Historia de abuso de sustancias psicotropas.</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Enfermedad psiquiátrica.</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 xml:space="preserve">Dificultad para </w:t>
      </w:r>
      <w:r>
        <w:rPr>
          <w:rFonts w:ascii="Times New Roman" w:hAnsi="Times New Roman" w:cs="Arial"/>
        </w:rPr>
        <w:t>comunicarse con el paciente por razones de idioma o déficit intelectual.</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Dificultad para colocar la mascarilla facial y su correcto sellado (presencia de barba, heridas o malformaciones faciales).</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Doble exploración programada (gastroscopia más colonoscopia</w:t>
      </w:r>
      <w:r>
        <w:rPr>
          <w:rFonts w:ascii="Times New Roman" w:hAnsi="Times New Roman" w:cs="Arial"/>
        </w:rPr>
        <w:t>) o exploración realizada por ostoma.</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Contraindicación de administración de algunos de los fármacos del estudio.</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Alergias a alguno de los componentes de los fármacos del estudio.</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 xml:space="preserve">Situación de inestabilidad o descompensación hemodinámica o respiratoria del </w:t>
      </w:r>
      <w:r>
        <w:rPr>
          <w:rFonts w:ascii="Times New Roman" w:hAnsi="Times New Roman" w:cs="Arial"/>
        </w:rPr>
        <w:t>paciente.</w:t>
      </w:r>
    </w:p>
    <w:p w:rsidR="001B03C2" w:rsidRDefault="009B166E">
      <w:pPr>
        <w:numPr>
          <w:ilvl w:val="0"/>
          <w:numId w:val="7"/>
        </w:numPr>
        <w:spacing w:line="480" w:lineRule="auto"/>
        <w:jc w:val="both"/>
        <w:rPr>
          <w:rFonts w:ascii="Times New Roman" w:hAnsi="Times New Roman" w:cs="Arial"/>
        </w:rPr>
      </w:pPr>
      <w:r>
        <w:rPr>
          <w:rFonts w:ascii="Times New Roman" w:hAnsi="Times New Roman" w:cs="Arial"/>
        </w:rPr>
        <w:t>Agravamiento de alguna de las enfermedades concomitantes descritas en la visita basal.</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Todos estos criterios se confirmarían a través de la historia clínica y/o de la entrevista con el paciente.</w:t>
      </w:r>
    </w:p>
    <w:p w:rsidR="001B03C2" w:rsidRDefault="009B166E">
      <w:pPr>
        <w:spacing w:line="480" w:lineRule="auto"/>
        <w:jc w:val="both"/>
        <w:rPr>
          <w:rFonts w:ascii="Times New Roman" w:hAnsi="Times New Roman" w:cs="Arial"/>
        </w:rPr>
      </w:pPr>
      <w:r>
        <w:rPr>
          <w:rFonts w:ascii="Times New Roman" w:hAnsi="Times New Roman" w:cs="Arial"/>
        </w:rPr>
        <w:t>Cada sujeto se consideraría incluido en el estudio</w:t>
      </w:r>
      <w:r>
        <w:rPr>
          <w:rFonts w:ascii="Times New Roman" w:hAnsi="Times New Roman" w:cs="Arial"/>
        </w:rPr>
        <w:t xml:space="preserve"> cuando, cumpliendo con los criterios de selección, aceptara su participación en el estudio mediante la firma del CI. </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lastRenderedPageBreak/>
        <w:t>Los criterios de retirada de los sujetos del estudio serían:</w:t>
      </w:r>
    </w:p>
    <w:p w:rsidR="001B03C2" w:rsidRDefault="009B166E">
      <w:pPr>
        <w:numPr>
          <w:ilvl w:val="0"/>
          <w:numId w:val="8"/>
        </w:numPr>
        <w:tabs>
          <w:tab w:val="left" w:pos="720"/>
        </w:tabs>
        <w:spacing w:line="480" w:lineRule="auto"/>
        <w:jc w:val="both"/>
        <w:rPr>
          <w:rFonts w:ascii="Times New Roman" w:hAnsi="Times New Roman" w:cs="Arial"/>
        </w:rPr>
      </w:pPr>
      <w:r>
        <w:rPr>
          <w:rFonts w:ascii="Times New Roman" w:hAnsi="Times New Roman" w:cs="Arial"/>
        </w:rPr>
        <w:t>Revocación del consentimiento del participante en cualquier momento para f</w:t>
      </w:r>
      <w:r>
        <w:rPr>
          <w:rFonts w:ascii="Times New Roman" w:hAnsi="Times New Roman" w:cs="Arial"/>
        </w:rPr>
        <w:t>ormar parte del estudio, así como la utilización de sus datos en el análisis, sin justificar su decisión, y sin que por ello se derive responsabilidad ni perjuicio alguno.</w:t>
      </w:r>
    </w:p>
    <w:p w:rsidR="001B03C2" w:rsidRDefault="009B166E">
      <w:pPr>
        <w:numPr>
          <w:ilvl w:val="0"/>
          <w:numId w:val="8"/>
        </w:numPr>
        <w:tabs>
          <w:tab w:val="left" w:pos="720"/>
        </w:tabs>
        <w:spacing w:line="480" w:lineRule="auto"/>
        <w:jc w:val="both"/>
        <w:rPr>
          <w:rFonts w:ascii="Times New Roman" w:hAnsi="Times New Roman" w:cs="Arial"/>
        </w:rPr>
      </w:pPr>
      <w:r>
        <w:rPr>
          <w:rFonts w:ascii="Times New Roman" w:hAnsi="Times New Roman" w:cs="Arial"/>
        </w:rPr>
        <w:t>Pérdida del paciente durante el seguimiento.</w:t>
      </w:r>
    </w:p>
    <w:p w:rsidR="001B03C2" w:rsidRDefault="009B166E">
      <w:pPr>
        <w:numPr>
          <w:ilvl w:val="0"/>
          <w:numId w:val="8"/>
        </w:numPr>
        <w:tabs>
          <w:tab w:val="left" w:pos="720"/>
        </w:tabs>
        <w:spacing w:line="480" w:lineRule="auto"/>
        <w:jc w:val="both"/>
        <w:rPr>
          <w:rFonts w:ascii="Times New Roman" w:hAnsi="Times New Roman" w:cs="Arial"/>
        </w:rPr>
      </w:pPr>
      <w:r>
        <w:rPr>
          <w:rFonts w:ascii="Times New Roman" w:hAnsi="Times New Roman" w:cs="Arial"/>
        </w:rPr>
        <w:t>Cambio en la medicación administrada du</w:t>
      </w:r>
      <w:r>
        <w:rPr>
          <w:rFonts w:ascii="Times New Roman" w:hAnsi="Times New Roman" w:cs="Arial"/>
        </w:rPr>
        <w:t>rante la sedación por decisión del investigador principal.</w:t>
      </w:r>
    </w:p>
    <w:p w:rsidR="001B03C2" w:rsidRDefault="009B166E">
      <w:pPr>
        <w:numPr>
          <w:ilvl w:val="0"/>
          <w:numId w:val="8"/>
        </w:numPr>
        <w:tabs>
          <w:tab w:val="left" w:pos="720"/>
        </w:tabs>
        <w:spacing w:line="480" w:lineRule="auto"/>
        <w:jc w:val="both"/>
        <w:rPr>
          <w:rFonts w:ascii="Times New Roman" w:hAnsi="Times New Roman" w:cs="Arial"/>
        </w:rPr>
      </w:pPr>
      <w:r>
        <w:rPr>
          <w:rFonts w:ascii="Times New Roman" w:hAnsi="Times New Roman" w:cs="Arial"/>
        </w:rPr>
        <w:t>Acontecimiento Adverso Grave durante el estudio.</w:t>
      </w:r>
    </w:p>
    <w:p w:rsidR="001B03C2" w:rsidRDefault="009B166E">
      <w:pPr>
        <w:spacing w:line="480" w:lineRule="auto"/>
        <w:jc w:val="both"/>
        <w:rPr>
          <w:rFonts w:ascii="Times New Roman" w:hAnsi="Times New Roman" w:cs="Arial"/>
        </w:rPr>
      </w:pPr>
      <w:r>
        <w:rPr>
          <w:rFonts w:ascii="Times New Roman" w:hAnsi="Times New Roman" w:cs="Arial"/>
        </w:rPr>
        <w:t>Los datos y motivos por los cuales cualquier paciente interrumpiera prematuramente el estudio serían recogidos en el Cuaderno de Recogida de Datos (</w:t>
      </w:r>
      <w:r>
        <w:rPr>
          <w:rFonts w:ascii="Times New Roman" w:hAnsi="Times New Roman" w:cs="Arial"/>
        </w:rPr>
        <w:t xml:space="preserve"> CRD).</w:t>
      </w:r>
      <w:r>
        <w:rPr>
          <w:rFonts w:ascii="Times New Roman" w:hAnsi="Times New Roman" w:cs="Arial"/>
        </w:rPr>
        <w:t xml:space="preserve"> </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bCs/>
        </w:rPr>
      </w:pPr>
      <w:r>
        <w:rPr>
          <w:rFonts w:ascii="Times New Roman" w:hAnsi="Times New Roman" w:cs="Arial"/>
          <w:b/>
          <w:bCs/>
        </w:rPr>
        <w:t>CÁLCULO DEL TAMAÑO MUESTRAL.</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Se calculó el ta</w:t>
      </w:r>
      <w:r>
        <w:rPr>
          <w:rFonts w:ascii="Times New Roman" w:hAnsi="Times New Roman" w:cs="Arial"/>
        </w:rPr>
        <w:t xml:space="preserve">maño muestral en base a la evaluación del procedimiento de la colonoscopia por el endoscopista mediante escala visual analógica (EVA), para observar diferencias de 10 unidades (10%) en la EVA, </w:t>
      </w:r>
      <w:r>
        <w:rPr>
          <w:rFonts w:ascii="Times New Roman" w:hAnsi="Times New Roman" w:cs="Arial"/>
        </w:rPr>
        <w:t>suponiendo una varianza de 625. Para los cálculos se utilizaron una potencia del 90% y un nivel de significatividad del 0.05 bilateral, siguiendo el método descrito por Cohen (</w:t>
      </w:r>
      <w:r>
        <w:rPr>
          <w:rFonts w:ascii="Times New Roman" w:hAnsi="Times New Roman" w:cs="Arial"/>
          <w:i/>
          <w:iCs/>
        </w:rPr>
        <w:t xml:space="preserve">Cohen, J. (1988). </w:t>
      </w:r>
      <w:r>
        <w:rPr>
          <w:rFonts w:ascii="Times New Roman" w:hAnsi="Times New Roman" w:cs="Arial"/>
          <w:i/>
          <w:iCs/>
          <w:lang w:val="en-US"/>
        </w:rPr>
        <w:t>Statistical power analysis for the behavioral sciences (2nd ed</w:t>
      </w:r>
      <w:r>
        <w:rPr>
          <w:rFonts w:ascii="Times New Roman" w:hAnsi="Times New Roman" w:cs="Arial"/>
          <w:i/>
          <w:iCs/>
          <w:lang w:val="en-US"/>
        </w:rPr>
        <w:t>.). Hillsdale,NJ: Lawrence Erlbaum.</w:t>
      </w:r>
      <w:r>
        <w:rPr>
          <w:rFonts w:ascii="Times New Roman" w:hAnsi="Times New Roman" w:cs="Arial"/>
          <w:lang w:val="en-US"/>
        </w:rPr>
        <w:t xml:space="preserve">). </w:t>
      </w:r>
      <w:r>
        <w:rPr>
          <w:rFonts w:ascii="Times New Roman" w:hAnsi="Times New Roman" w:cs="Arial"/>
        </w:rPr>
        <w:t xml:space="preserve">Se precisaba la inclusión de 132 pacientes en cada uno de los dos brazos del estudio. Se consideró que se podía producir un 5 % de pérdidas de pacientes, por lo que se incluyeron 139 pacientes en cada brazo, es decir, </w:t>
      </w:r>
      <w:r>
        <w:rPr>
          <w:rFonts w:ascii="Times New Roman" w:hAnsi="Times New Roman" w:cs="Arial"/>
        </w:rPr>
        <w:t>un total de 278 pacientes.</w:t>
      </w:r>
    </w:p>
    <w:p w:rsidR="001B03C2" w:rsidRDefault="001B03C2">
      <w:pPr>
        <w:tabs>
          <w:tab w:val="left" w:pos="142"/>
        </w:tabs>
        <w:spacing w:line="480" w:lineRule="auto"/>
        <w:ind w:left="-218"/>
        <w:jc w:val="both"/>
        <w:rPr>
          <w:rFonts w:ascii="Times New Roman" w:hAnsi="Times New Roman" w:cs="Times New Roman"/>
        </w:rPr>
      </w:pPr>
    </w:p>
    <w:p w:rsidR="001B03C2" w:rsidRDefault="009B166E">
      <w:pPr>
        <w:tabs>
          <w:tab w:val="left" w:pos="142"/>
        </w:tabs>
        <w:spacing w:line="480" w:lineRule="auto"/>
        <w:ind w:left="-218"/>
        <w:jc w:val="both"/>
        <w:rPr>
          <w:rFonts w:ascii="Times New Roman" w:hAnsi="Times New Roman" w:cs="Times New Roman"/>
          <w:b/>
          <w:bCs/>
        </w:rPr>
      </w:pPr>
      <w:r>
        <w:rPr>
          <w:rFonts w:ascii="Times New Roman" w:hAnsi="Times New Roman" w:cs="Times New Roman"/>
          <w:b/>
          <w:bCs/>
        </w:rPr>
        <w:t>PRODUCTO EN INVESTIGACIÓN, DOSIS, MODO DE ADMINISTRACIÓN</w:t>
      </w:r>
    </w:p>
    <w:p w:rsidR="001B03C2" w:rsidRDefault="001B03C2">
      <w:pPr>
        <w:tabs>
          <w:tab w:val="left" w:pos="142"/>
        </w:tabs>
        <w:spacing w:line="480" w:lineRule="auto"/>
        <w:ind w:left="-218"/>
        <w:jc w:val="both"/>
        <w:rPr>
          <w:rFonts w:ascii="Times New Roman" w:hAnsi="Times New Roman" w:cs="Times New Roman"/>
          <w:b/>
          <w:bCs/>
        </w:rPr>
      </w:pP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Administraríamos sevoflurano inhalado a través de la mascarilla facial acoplada a la cara del paciente. Este fármaco se encuentra en estado líquido dentro del vaporizador</w:t>
      </w:r>
      <w:r>
        <w:rPr>
          <w:rFonts w:ascii="Times New Roman" w:hAnsi="Times New Roman" w:cs="Arial"/>
        </w:rPr>
        <w:t xml:space="preserve"> de la máquina de anestesia, en el </w:t>
      </w:r>
      <w:r>
        <w:rPr>
          <w:rFonts w:ascii="Times New Roman" w:hAnsi="Times New Roman" w:cs="Arial"/>
        </w:rPr>
        <w:lastRenderedPageBreak/>
        <w:t xml:space="preserve">cual se transforma a estado gaseoso, de manera que puede administrarse vía inhalatoria. Emplearíamos una concentración inicial de sevoflurano del 2% y suplementaríamos con bolos inhalatorios en los momentos más dolorosos </w:t>
      </w:r>
      <w:r>
        <w:rPr>
          <w:rFonts w:ascii="Times New Roman" w:hAnsi="Times New Roman" w:cs="Arial"/>
        </w:rPr>
        <w:t>de la exploración, aumentando la fracción inspiratoria del del gas hasta alcanzar un máximo del 8%. Tras la sedación, se registraría la concentración máxima empleada durante el procedimiento.</w:t>
      </w:r>
    </w:p>
    <w:p w:rsidR="001B03C2" w:rsidRDefault="001B03C2">
      <w:pPr>
        <w:tabs>
          <w:tab w:val="left" w:pos="142"/>
        </w:tabs>
        <w:spacing w:line="480" w:lineRule="auto"/>
        <w:ind w:left="-218"/>
        <w:jc w:val="both"/>
        <w:rPr>
          <w:rFonts w:ascii="Times New Roman" w:hAnsi="Times New Roman" w:cs="Times New Roman"/>
        </w:rPr>
      </w:pPr>
    </w:p>
    <w:p w:rsidR="001B03C2" w:rsidRDefault="009B166E">
      <w:pPr>
        <w:tabs>
          <w:tab w:val="left" w:pos="142"/>
        </w:tabs>
        <w:spacing w:line="480" w:lineRule="auto"/>
        <w:ind w:left="-218"/>
        <w:jc w:val="both"/>
        <w:rPr>
          <w:rFonts w:ascii="Times New Roman" w:hAnsi="Times New Roman" w:cs="Arial"/>
          <w:b/>
          <w:bCs/>
        </w:rPr>
      </w:pPr>
      <w:r>
        <w:rPr>
          <w:rFonts w:ascii="Times New Roman" w:hAnsi="Times New Roman" w:cs="Arial"/>
          <w:b/>
          <w:bCs/>
        </w:rPr>
        <w:t>TRATAMIENTOS DE REFERENCIA, DOSIS, FORMA DE ADMINISTRACIÓN</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Admi</w:t>
      </w:r>
      <w:r>
        <w:rPr>
          <w:rFonts w:ascii="Times New Roman" w:hAnsi="Times New Roman" w:cs="Arial"/>
        </w:rPr>
        <w:t>nistraríamos perfusión continua intravenosa de propofol (Propofol Lipuro 1%</w:t>
      </w:r>
      <w:r>
        <w:rPr>
          <w:rFonts w:ascii="Times New Roman" w:hAnsi="Times New Roman" w:cs="Arial"/>
          <w:vertAlign w:val="superscript"/>
        </w:rPr>
        <w:t>®</w:t>
      </w:r>
      <w:r>
        <w:rPr>
          <w:rFonts w:ascii="Times New Roman" w:hAnsi="Times New Roman" w:cs="Arial"/>
        </w:rPr>
        <w:t>, Braun, Melsungen, Germany) a ritmo de 4 mg/kg/h, y remifentanilo ( Ultiva</w:t>
      </w:r>
      <w:r>
        <w:rPr>
          <w:rFonts w:ascii="Times New Roman" w:hAnsi="Times New Roman" w:cs="Arial"/>
          <w:vertAlign w:val="superscript"/>
        </w:rPr>
        <w:t>®</w:t>
      </w:r>
      <w:r>
        <w:rPr>
          <w:rFonts w:ascii="Times New Roman" w:hAnsi="Times New Roman" w:cs="Arial"/>
        </w:rPr>
        <w:t>, GlaxoSmithKline, Brentford, Middlesex, UK) a ritmo entre 0.05-0.10 mcg/kg/min. Aumentaríamos la profun</w:t>
      </w:r>
      <w:r>
        <w:rPr>
          <w:rFonts w:ascii="Times New Roman" w:hAnsi="Times New Roman" w:cs="Arial"/>
        </w:rPr>
        <w:t>didad anestésica con bolos de propofol de 20 mg en los momentos de mayor estímulo doloroso. Tras la exploración, se registraría la dosis total administrada de ambos fármacos.</w:t>
      </w:r>
    </w:p>
    <w:p w:rsidR="001B03C2" w:rsidRDefault="001B03C2">
      <w:pPr>
        <w:tabs>
          <w:tab w:val="left" w:pos="142"/>
        </w:tabs>
        <w:spacing w:line="480" w:lineRule="auto"/>
        <w:ind w:left="-218"/>
        <w:jc w:val="both"/>
        <w:rPr>
          <w:rFonts w:ascii="Times New Roman" w:hAnsi="Times New Roman" w:cs="Times New Roman"/>
          <w:b/>
          <w:bCs/>
        </w:rPr>
      </w:pPr>
    </w:p>
    <w:p w:rsidR="001B03C2" w:rsidRDefault="009B166E">
      <w:pPr>
        <w:tabs>
          <w:tab w:val="left" w:pos="142"/>
        </w:tabs>
        <w:spacing w:line="480" w:lineRule="auto"/>
        <w:ind w:left="-218"/>
        <w:jc w:val="both"/>
        <w:rPr>
          <w:rFonts w:ascii="Times New Roman" w:hAnsi="Times New Roman" w:cs="Arial"/>
          <w:b/>
          <w:bCs/>
        </w:rPr>
      </w:pPr>
      <w:r>
        <w:rPr>
          <w:rFonts w:ascii="Times New Roman" w:hAnsi="Times New Roman" w:cs="Arial"/>
          <w:b/>
          <w:bCs/>
        </w:rPr>
        <w:t>CRITERIOS DE EVALUACIÓN</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VARIABLE PRINCIPAL</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La variable principal del estudio ser</w:t>
      </w:r>
      <w:r>
        <w:rPr>
          <w:rFonts w:ascii="Times New Roman" w:hAnsi="Times New Roman" w:cs="Arial"/>
        </w:rPr>
        <w:t xml:space="preserve">ía </w:t>
      </w:r>
      <w:r>
        <w:rPr>
          <w:rFonts w:ascii="Times New Roman" w:hAnsi="Times New Roman" w:cs="Arial"/>
          <w:b/>
          <w:bCs/>
          <w:i/>
          <w:iCs/>
        </w:rPr>
        <w:t>la calidad de la sedación valorada por el endoscopista</w:t>
      </w:r>
      <w:r>
        <w:rPr>
          <w:rFonts w:ascii="Times New Roman" w:hAnsi="Times New Roman" w:cs="Arial"/>
        </w:rPr>
        <w:t>, el cual tendría en cuenta su percepción de la comodidad o de molestias del paciente y la dificultad para finalizar la exploración.</w:t>
      </w:r>
    </w:p>
    <w:p w:rsidR="001B03C2" w:rsidRDefault="001B03C2">
      <w:pPr>
        <w:tabs>
          <w:tab w:val="left" w:pos="142"/>
        </w:tabs>
        <w:spacing w:line="480" w:lineRule="auto"/>
        <w:ind w:left="-218"/>
        <w:jc w:val="both"/>
        <w:rPr>
          <w:rFonts w:ascii="Times New Roman" w:hAnsi="Times New Roman" w:cs="Times New Roman"/>
        </w:rPr>
      </w:pP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VARIABLES SECUNDARIAS</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Finalización o no de la colonoscopia.</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xml:space="preserve">- </w:t>
      </w:r>
      <w:r>
        <w:rPr>
          <w:rFonts w:ascii="Times New Roman" w:hAnsi="Times New Roman" w:cs="Arial"/>
        </w:rPr>
        <w:t>Variables hemodinámicas.</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Presencia de complicaciones respiratorias.</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Necesidad de maniobras de auxilio de la vía aérea.</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Tiempo empleado en alcanzar ciego y en finalizar la exploración.</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lastRenderedPageBreak/>
        <w:t>- Presencia de sedación excesiva durante o tras el procedimiento.</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Presencia de movimientos involuntarios del paciente durante la colonoscopia.</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Grado de recuperación tras la sedación.</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Valoración de la sedación por parte del paciente.</w:t>
      </w:r>
    </w:p>
    <w:p w:rsidR="001B03C2" w:rsidRDefault="009B166E">
      <w:pPr>
        <w:tabs>
          <w:tab w:val="left" w:pos="142"/>
        </w:tabs>
        <w:spacing w:line="480" w:lineRule="auto"/>
        <w:ind w:left="-218"/>
        <w:jc w:val="both"/>
        <w:rPr>
          <w:rFonts w:ascii="Times New Roman" w:hAnsi="Times New Roman" w:cs="Arial"/>
        </w:rPr>
      </w:pPr>
      <w:r>
        <w:rPr>
          <w:rFonts w:ascii="Times New Roman" w:hAnsi="Times New Roman" w:cs="Arial"/>
        </w:rPr>
        <w:t>- Recuperación del paciente tras 24 horas del procedimiento.</w:t>
      </w:r>
    </w:p>
    <w:p w:rsidR="001B03C2" w:rsidRDefault="001B03C2">
      <w:pPr>
        <w:tabs>
          <w:tab w:val="left" w:pos="142"/>
        </w:tabs>
        <w:spacing w:line="480" w:lineRule="auto"/>
        <w:ind w:left="-218"/>
        <w:jc w:val="both"/>
        <w:rPr>
          <w:rFonts w:ascii="Times New Roman" w:hAnsi="Times New Roman" w:cs="Times New Roman"/>
        </w:rPr>
      </w:pPr>
    </w:p>
    <w:p w:rsidR="001B03C2" w:rsidRDefault="009B166E">
      <w:pPr>
        <w:tabs>
          <w:tab w:val="left" w:pos="142"/>
        </w:tabs>
        <w:spacing w:line="480" w:lineRule="auto"/>
        <w:ind w:left="-218"/>
        <w:jc w:val="both"/>
        <w:rPr>
          <w:rFonts w:ascii="Times New Roman" w:hAnsi="Times New Roman" w:cs="Arial"/>
          <w:b/>
          <w:bCs/>
        </w:rPr>
      </w:pPr>
      <w:r>
        <w:rPr>
          <w:rFonts w:ascii="Times New Roman" w:hAnsi="Times New Roman" w:cs="Arial"/>
          <w:b/>
          <w:bCs/>
        </w:rPr>
        <w:t>MÉTODOS ESTADÍSTICOS</w:t>
      </w:r>
    </w:p>
    <w:p w:rsidR="001B03C2" w:rsidRDefault="009B166E">
      <w:pPr>
        <w:spacing w:line="480" w:lineRule="auto"/>
        <w:jc w:val="both"/>
        <w:rPr>
          <w:rFonts w:ascii="Times New Roman" w:hAnsi="Times New Roman" w:cs="Arial"/>
          <w:b/>
        </w:rPr>
      </w:pPr>
      <w:r>
        <w:rPr>
          <w:rFonts w:ascii="Times New Roman" w:hAnsi="Times New Roman" w:cs="Arial"/>
          <w:b/>
        </w:rPr>
        <w:t>DESCRIPCIÓN DE LOS MÉTODOS ESTADÍSTICOS EMPLEADOS.</w:t>
      </w:r>
    </w:p>
    <w:p w:rsidR="001B03C2" w:rsidRDefault="001B03C2">
      <w:pPr>
        <w:spacing w:line="480" w:lineRule="auto"/>
        <w:ind w:left="360"/>
        <w:jc w:val="both"/>
        <w:rPr>
          <w:rFonts w:ascii="Times New Roman" w:hAnsi="Times New Roman" w:cs="Times New Roman"/>
          <w:b/>
        </w:rPr>
      </w:pPr>
    </w:p>
    <w:p w:rsidR="001B03C2" w:rsidRDefault="009B166E">
      <w:pPr>
        <w:spacing w:line="480" w:lineRule="auto"/>
        <w:jc w:val="both"/>
        <w:rPr>
          <w:rFonts w:ascii="Times New Roman" w:hAnsi="Times New Roman" w:cs="Arial"/>
        </w:rPr>
      </w:pPr>
      <w:r>
        <w:rPr>
          <w:rFonts w:ascii="Times New Roman" w:hAnsi="Times New Roman" w:cs="Arial"/>
        </w:rPr>
        <w:t xml:space="preserve">Se realizó un estudio descriptivo de las variables según la naturaleza de las mismas. Cálculo de medias, medidas de dispersión e intervalos de confianza del 95% para las variables continuas, y </w:t>
      </w:r>
      <w:r>
        <w:rPr>
          <w:rFonts w:ascii="Times New Roman" w:hAnsi="Times New Roman" w:cs="Arial"/>
        </w:rPr>
        <w:t xml:space="preserve">distribución de frecuencias y proporciones para las variables categóricas. El test de Kolgomorov-Smirnov se utilizó para determinar si los datos se ajustan a la distribución normal. Las variables cuantitativas con una distribución normal se compararon con </w:t>
      </w:r>
      <w:r>
        <w:rPr>
          <w:rFonts w:ascii="Times New Roman" w:hAnsi="Times New Roman" w:cs="Arial"/>
        </w:rPr>
        <w:t>el test de t de Student o en el caso de que no se cumpla la normalidad su alternativa no paramétrica, prueba de los rangos con signo de Wilcoxon. Las variables cualitativas se compararon con el test de Pearson y se aplicó el test exacto de Fisher cuando al</w:t>
      </w:r>
      <w:r>
        <w:rPr>
          <w:rFonts w:ascii="Times New Roman" w:hAnsi="Times New Roman" w:cs="Arial"/>
        </w:rPr>
        <w:t>guna frecuencia esperada no sea mayor de 5. Las diferencias entre los parámetros basales y los finales a la intervención, así como el</w:t>
      </w:r>
      <w:r>
        <w:rPr>
          <w:rFonts w:ascii="Times New Roman" w:hAnsi="Times New Roman" w:cs="Times New Roman"/>
        </w:rPr>
        <w:t xml:space="preserve"> </w:t>
      </w:r>
      <w:r>
        <w:rPr>
          <w:rFonts w:ascii="Times New Roman" w:hAnsi="Times New Roman" w:cs="Arial"/>
        </w:rPr>
        <w:t>estado de recuperación y la opinión del paciente se correlacionaron mediante el coeficiente de correlación de Spearman y s</w:t>
      </w:r>
      <w:r>
        <w:rPr>
          <w:rFonts w:ascii="Times New Roman" w:hAnsi="Times New Roman" w:cs="Arial"/>
        </w:rPr>
        <w:t>e compararon con el test de la t de Student para datos pareados. Para estudiar las variaciones entre basal, mitad y final de la intervención se utilizó el análisis de la varianza (ANOVA).</w:t>
      </w:r>
    </w:p>
    <w:p w:rsidR="001B03C2" w:rsidRDefault="001B03C2">
      <w:pPr>
        <w:spacing w:line="480" w:lineRule="auto"/>
        <w:ind w:left="360"/>
        <w:jc w:val="both"/>
        <w:rPr>
          <w:rFonts w:ascii="Times New Roman" w:hAnsi="Times New Roman" w:cs="Times New Roman"/>
          <w:b/>
        </w:rPr>
      </w:pPr>
    </w:p>
    <w:p w:rsidR="001B03C2" w:rsidRDefault="009B166E">
      <w:pPr>
        <w:spacing w:line="480" w:lineRule="auto"/>
        <w:jc w:val="both"/>
        <w:rPr>
          <w:rFonts w:ascii="Times New Roman" w:hAnsi="Times New Roman" w:cs="Arial"/>
          <w:b/>
        </w:rPr>
      </w:pPr>
      <w:r>
        <w:rPr>
          <w:rFonts w:ascii="Times New Roman" w:hAnsi="Times New Roman" w:cs="Arial"/>
          <w:b/>
        </w:rPr>
        <w:t>NIVEL DE SIGNIFICACIÓN.</w:t>
      </w:r>
    </w:p>
    <w:p w:rsidR="001B03C2" w:rsidRDefault="001B03C2">
      <w:pPr>
        <w:spacing w:line="480" w:lineRule="auto"/>
        <w:ind w:left="360"/>
        <w:jc w:val="both"/>
        <w:rPr>
          <w:rFonts w:ascii="Times New Roman" w:hAnsi="Times New Roman" w:cs="Arial"/>
          <w:b/>
        </w:rPr>
      </w:pPr>
    </w:p>
    <w:p w:rsidR="001B03C2" w:rsidRDefault="009B166E">
      <w:pPr>
        <w:spacing w:line="480" w:lineRule="auto"/>
        <w:jc w:val="both"/>
        <w:rPr>
          <w:rFonts w:ascii="Times New Roman" w:hAnsi="Times New Roman" w:cs="Arial"/>
        </w:rPr>
      </w:pPr>
      <w:r>
        <w:rPr>
          <w:rFonts w:ascii="Times New Roman" w:hAnsi="Times New Roman" w:cs="Arial"/>
        </w:rPr>
        <w:t xml:space="preserve">El nivel de significación fue del 5% y la </w:t>
      </w:r>
      <w:r>
        <w:rPr>
          <w:rFonts w:ascii="Times New Roman" w:hAnsi="Times New Roman" w:cs="Arial"/>
        </w:rPr>
        <w:t xml:space="preserve">potencia de las pruebas estadísticas aplicadas fue de al </w:t>
      </w:r>
      <w:r>
        <w:rPr>
          <w:rFonts w:ascii="Times New Roman" w:hAnsi="Times New Roman" w:cs="Arial"/>
        </w:rPr>
        <w:lastRenderedPageBreak/>
        <w:t>menos el 80%. Se consideraron significativos de diferencias los p-valores menores de 0.05. Todos los análisis y gráficos se realizaron con los software estadísticos SPSS v. 17, Rv.2.13 y STAT SE v.12</w:t>
      </w:r>
      <w:r>
        <w:rPr>
          <w:rFonts w:ascii="Times New Roman" w:hAnsi="Times New Roman" w:cs="Arial"/>
        </w:rPr>
        <w:t>.</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bCs/>
        </w:rPr>
      </w:pPr>
      <w:r>
        <w:rPr>
          <w:rFonts w:ascii="Times New Roman" w:hAnsi="Times New Roman" w:cs="Arial"/>
          <w:b/>
          <w:bCs/>
        </w:rPr>
        <w:t>RESUMEN DE RESULTADOS</w:t>
      </w:r>
    </w:p>
    <w:p w:rsidR="001B03C2" w:rsidRDefault="001B03C2">
      <w:pPr>
        <w:spacing w:line="480" w:lineRule="auto"/>
        <w:jc w:val="both"/>
        <w:rPr>
          <w:rFonts w:ascii="Times New Roman" w:hAnsi="Times New Roman" w:cs="Arial"/>
          <w:b/>
          <w:bCs/>
        </w:rPr>
      </w:pPr>
    </w:p>
    <w:p w:rsidR="001B03C2" w:rsidRDefault="009B166E">
      <w:pPr>
        <w:spacing w:line="480" w:lineRule="auto"/>
        <w:ind w:left="142"/>
        <w:jc w:val="both"/>
        <w:rPr>
          <w:rFonts w:ascii="Times New Roman" w:hAnsi="Times New Roman" w:cs="Arial"/>
        </w:rPr>
      </w:pPr>
      <w:r>
        <w:rPr>
          <w:rFonts w:ascii="Times New Roman" w:hAnsi="Times New Roman" w:cs="Arial"/>
        </w:rPr>
        <w:t>Un total de 316 pacientes fueros evaluados inicialmente para poder ser incluidos en el estudio. Tras esa evaluación inicial, 38 sujetos fueron excluidos.</w:t>
      </w:r>
    </w:p>
    <w:p w:rsidR="001B03C2" w:rsidRDefault="009B166E">
      <w:pPr>
        <w:spacing w:line="480" w:lineRule="auto"/>
        <w:ind w:left="142"/>
        <w:jc w:val="both"/>
        <w:rPr>
          <w:rFonts w:ascii="Times New Roman" w:hAnsi="Times New Roman" w:cs="Arial"/>
        </w:rPr>
      </w:pPr>
      <w:r>
        <w:rPr>
          <w:rFonts w:ascii="Times New Roman" w:hAnsi="Times New Roman" w:cs="Arial"/>
        </w:rPr>
        <w:t>Finalmente, 278 sujetos fueron aleatoriamente asignados a uno de los siguien</w:t>
      </w:r>
      <w:r>
        <w:rPr>
          <w:rFonts w:ascii="Times New Roman" w:hAnsi="Times New Roman" w:cs="Arial"/>
        </w:rPr>
        <w:t>tes grupos: grupo S ( sedación inhalatoria pura con sevoflurano) o grupo P ( sedación intravenosa con propofol y remifentanilo)</w:t>
      </w:r>
    </w:p>
    <w:p w:rsidR="001B03C2" w:rsidRDefault="001B03C2">
      <w:pPr>
        <w:spacing w:line="480" w:lineRule="auto"/>
        <w:ind w:left="142"/>
        <w:jc w:val="both"/>
        <w:rPr>
          <w:rFonts w:ascii="Times New Roman" w:hAnsi="Times New Roman" w:cs="Arial"/>
        </w:rPr>
      </w:pPr>
    </w:p>
    <w:p w:rsidR="001B03C2" w:rsidRDefault="009B166E">
      <w:pPr>
        <w:spacing w:line="480" w:lineRule="auto"/>
        <w:jc w:val="both"/>
        <w:rPr>
          <w:rFonts w:ascii="Times New Roman" w:hAnsi="Times New Roman" w:cs="Arial"/>
          <w:b/>
          <w:bCs/>
        </w:rPr>
      </w:pPr>
      <w:r>
        <w:rPr>
          <w:rFonts w:ascii="Times New Roman" w:hAnsi="Times New Roman" w:cs="Arial"/>
          <w:b/>
          <w:bCs/>
        </w:rPr>
        <w:t>Análisis descriptivo del total de la muestra.</w:t>
      </w:r>
    </w:p>
    <w:p w:rsidR="001B03C2" w:rsidRDefault="001B03C2">
      <w:pPr>
        <w:spacing w:line="480" w:lineRule="auto"/>
        <w:ind w:left="142"/>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 xml:space="preserve">Estaba compuesta por 278 pacientes. La edad media fue de 59.55 +/- 13.04 años, </w:t>
      </w:r>
      <w:r>
        <w:rPr>
          <w:rFonts w:ascii="Times New Roman" w:hAnsi="Times New Roman" w:cs="Arial"/>
        </w:rPr>
        <w:t>un 46.4% eran hombres y un 53.6% mujeres. La mayoría de pacientes fueron clasificados como ASA I y II, la patología más frecuente fue la de tipo cardiovascular y la medicación más utilizada fueron los ansiolíticos. Dentro de los factores posibles modificad</w:t>
      </w:r>
      <w:r>
        <w:rPr>
          <w:rFonts w:ascii="Times New Roman" w:hAnsi="Times New Roman" w:cs="Arial"/>
        </w:rPr>
        <w:t>ores del umbral de dolor destacó la presencia de cirugía abdominal previa.</w:t>
      </w:r>
    </w:p>
    <w:p w:rsidR="001B03C2" w:rsidRDefault="009B166E">
      <w:pPr>
        <w:shd w:val="clear" w:color="auto" w:fill="FFFFFF"/>
        <w:spacing w:line="480" w:lineRule="auto"/>
        <w:jc w:val="both"/>
        <w:rPr>
          <w:rFonts w:ascii="Times New Roman" w:hAnsi="Times New Roman" w:cs="Arial"/>
          <w:color w:val="000000"/>
          <w:shd w:val="clear" w:color="auto" w:fill="FFFFFF"/>
        </w:rPr>
      </w:pPr>
      <w:r>
        <w:rPr>
          <w:rFonts w:ascii="Times New Roman" w:eastAsia="SimSun;宋体" w:hAnsi="Times New Roman" w:cs="Arial"/>
        </w:rPr>
        <w:t>Ambos grupos fueron comparables en cuanto a las características demográficas ( edad, peso, talla, sexo e IMC). Para las variables de comorbilidad, sólo se encontraron diferencias es</w:t>
      </w:r>
      <w:r>
        <w:rPr>
          <w:rFonts w:ascii="Times New Roman" w:eastAsia="SimSun;宋体" w:hAnsi="Times New Roman" w:cs="Arial"/>
        </w:rPr>
        <w:t xml:space="preserve">tadísticamente significativas en la presencia de enfermedad cardiovascular </w:t>
      </w:r>
      <w:r>
        <w:rPr>
          <w:rFonts w:ascii="Times New Roman" w:hAnsi="Times New Roman" w:cs="Arial"/>
          <w:color w:val="000000"/>
          <w:shd w:val="clear" w:color="auto" w:fill="FFFFFF"/>
        </w:rPr>
        <w:t>(10.8% de los pacientes del grupo S frente al 19.4% del grupo P).</w:t>
      </w:r>
    </w:p>
    <w:p w:rsidR="001B03C2" w:rsidRDefault="009B166E">
      <w:pPr>
        <w:shd w:val="clear" w:color="auto" w:fill="FFFFFF"/>
        <w:spacing w:line="480" w:lineRule="auto"/>
        <w:jc w:val="both"/>
        <w:rPr>
          <w:rFonts w:ascii="Times New Roman" w:hAnsi="Times New Roman" w:cs="Arial"/>
          <w:color w:val="000000"/>
          <w:shd w:val="clear" w:color="auto" w:fill="FFFFFF"/>
        </w:rPr>
      </w:pPr>
      <w:r>
        <w:rPr>
          <w:rFonts w:ascii="Times New Roman" w:hAnsi="Times New Roman" w:cs="Arial"/>
          <w:color w:val="000000"/>
          <w:shd w:val="clear" w:color="auto" w:fill="FFFFFF"/>
        </w:rPr>
        <w:t>No hubo diferencias en cuanto al número de pacientes que habían recibido sedación en alguna colonoscopia previa, ni</w:t>
      </w:r>
      <w:r>
        <w:rPr>
          <w:rFonts w:ascii="Times New Roman" w:hAnsi="Times New Roman" w:cs="Arial"/>
          <w:color w:val="000000"/>
          <w:shd w:val="clear" w:color="auto" w:fill="FFFFFF"/>
        </w:rPr>
        <w:t xml:space="preserve"> en la distribución del tipo de recuerdo de los pacientes con experiencia </w:t>
      </w:r>
      <w:r>
        <w:rPr>
          <w:rFonts w:ascii="Times New Roman" w:hAnsi="Times New Roman" w:cs="Arial"/>
          <w:color w:val="000000"/>
          <w:shd w:val="clear" w:color="auto" w:fill="FFFFFF"/>
        </w:rPr>
        <w:lastRenderedPageBreak/>
        <w:t>previa en colonoscopias. Tampoco  hubo diferencias en la distribución del tipo de indicación de colonoscopia, ni en los factores que pueden alterar el umbral de percepción del dolor.</w:t>
      </w:r>
    </w:p>
    <w:p w:rsidR="001B03C2" w:rsidRDefault="001B03C2">
      <w:pPr>
        <w:shd w:val="clear" w:color="auto" w:fill="FFFFFF"/>
        <w:spacing w:line="480" w:lineRule="auto"/>
        <w:jc w:val="both"/>
        <w:rPr>
          <w:rFonts w:ascii="Times New Roman" w:hAnsi="Times New Roman" w:cs="Arial"/>
          <w:color w:val="000000"/>
        </w:rPr>
      </w:pPr>
    </w:p>
    <w:p w:rsidR="001B03C2" w:rsidRDefault="009B166E">
      <w:pPr>
        <w:shd w:val="clear" w:color="auto" w:fill="FFFFFF"/>
        <w:spacing w:line="480" w:lineRule="auto"/>
        <w:jc w:val="both"/>
        <w:rPr>
          <w:rFonts w:ascii="Times New Roman" w:hAnsi="Times New Roman" w:cs="Arial"/>
          <w:b/>
          <w:bCs/>
          <w:color w:val="000000"/>
          <w:shd w:val="clear" w:color="auto" w:fill="FFFFFF"/>
        </w:rPr>
      </w:pPr>
      <w:r>
        <w:rPr>
          <w:rFonts w:ascii="Times New Roman" w:hAnsi="Times New Roman" w:cs="Arial"/>
          <w:b/>
          <w:bCs/>
          <w:color w:val="000000"/>
          <w:shd w:val="clear" w:color="auto" w:fill="FFFFFF"/>
        </w:rPr>
        <w:t>Efectividad de los dos tipos de sedación.</w:t>
      </w:r>
    </w:p>
    <w:p w:rsidR="001B03C2" w:rsidRDefault="001B03C2">
      <w:pPr>
        <w:shd w:val="clear" w:color="auto" w:fill="FFFFFF"/>
        <w:spacing w:line="480" w:lineRule="auto"/>
        <w:jc w:val="both"/>
        <w:rPr>
          <w:rFonts w:ascii="Times New Roman" w:hAnsi="Times New Roman" w:cs="Arial"/>
          <w:b/>
          <w:bCs/>
          <w:color w:val="000000"/>
        </w:rPr>
      </w:pP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 xml:space="preserve">No se encontraron diferencias estadísticamente significativas ya que la puntuación dada  por el endoscopista a la sedación a través de la EVA fue similar para ambas técnicas. En el grupo S la valoración fue de </w:t>
      </w:r>
      <w:r>
        <w:rPr>
          <w:rFonts w:ascii="Times New Roman" w:eastAsia="SimSun;宋体" w:hAnsi="Times New Roman" w:cs="Arial"/>
          <w:color w:val="000000"/>
          <w:shd w:val="clear" w:color="auto" w:fill="FFFFFF"/>
        </w:rPr>
        <w:t>95.40 (+/- 7.92), frente al grupo P, que  fue de 95.27 (+/- 7.91), (U de Mann-Whitney= 9879.5; p=0.733).</w:t>
      </w:r>
    </w:p>
    <w:p w:rsidR="001B03C2" w:rsidRDefault="001B03C2">
      <w:pPr>
        <w:shd w:val="clear" w:color="auto" w:fill="FFFFFF"/>
        <w:spacing w:line="480" w:lineRule="auto"/>
        <w:jc w:val="both"/>
        <w:rPr>
          <w:rFonts w:ascii="Times New Roman" w:hAnsi="Times New Roman" w:cs="Arial"/>
          <w:color w:val="000000"/>
        </w:rPr>
      </w:pPr>
    </w:p>
    <w:p w:rsidR="001B03C2" w:rsidRDefault="009B166E">
      <w:pPr>
        <w:shd w:val="clear" w:color="auto" w:fill="FFFFFF"/>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Finalización de la exploración y tiempo empleado.</w:t>
      </w:r>
    </w:p>
    <w:p w:rsidR="001B03C2" w:rsidRDefault="001B03C2">
      <w:pPr>
        <w:shd w:val="clear" w:color="auto" w:fill="FFFFFF"/>
        <w:spacing w:line="480" w:lineRule="auto"/>
        <w:jc w:val="both"/>
        <w:rPr>
          <w:rFonts w:ascii="Times New Roman" w:hAnsi="Times New Roman" w:cs="Arial"/>
          <w:b/>
          <w:bCs/>
          <w:color w:val="000000"/>
        </w:rPr>
      </w:pP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No se encontraron diferencias significativas entre los grupos de estudio en relación al tiempo empl</w:t>
      </w:r>
      <w:r>
        <w:rPr>
          <w:rFonts w:ascii="Times New Roman" w:eastAsia="SimSun;宋体" w:hAnsi="Times New Roman" w:cs="Arial"/>
          <w:color w:val="000000"/>
          <w:shd w:val="clear" w:color="auto" w:fill="FFFFFF"/>
        </w:rPr>
        <w:t>eado en alcanzar la válvula ileo-cecal y al tiempo total en completar la colonoscopia.</w:t>
      </w: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Tampoco se hallaron diferencias estadísticamente significativas entre ambos grupos en cuanto a la tasa de exploraciones finalizadas, (128 colonoscopias finalizadas en el</w:t>
      </w:r>
      <w:r>
        <w:rPr>
          <w:rFonts w:ascii="Times New Roman" w:eastAsia="SimSun;宋体" w:hAnsi="Times New Roman" w:cs="Arial"/>
          <w:color w:val="000000"/>
          <w:shd w:val="clear" w:color="auto" w:fill="FFFFFF"/>
        </w:rPr>
        <w:t xml:space="preserve"> grupo S (92%) frente a 130 en el grupo P (93.5%),( Chi-cuadrado= 0.216; p= 0.642).</w:t>
      </w:r>
    </w:p>
    <w:p w:rsidR="001B03C2" w:rsidRDefault="001B03C2">
      <w:pPr>
        <w:shd w:val="clear" w:color="auto" w:fill="FFFFFF"/>
        <w:spacing w:line="480" w:lineRule="auto"/>
        <w:jc w:val="both"/>
        <w:rPr>
          <w:rFonts w:ascii="Times New Roman" w:eastAsia="SimSun;宋体" w:hAnsi="Times New Roman" w:cs="Arial"/>
          <w:color w:val="000000"/>
        </w:rPr>
      </w:pPr>
    </w:p>
    <w:p w:rsidR="001B03C2" w:rsidRDefault="009B166E">
      <w:pPr>
        <w:shd w:val="clear" w:color="auto" w:fill="FFFFFF"/>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Movimientos de los pacientes durante la exploración.</w:t>
      </w:r>
    </w:p>
    <w:p w:rsidR="001B03C2" w:rsidRDefault="001B03C2">
      <w:pPr>
        <w:shd w:val="clear" w:color="auto" w:fill="FFFFFF"/>
        <w:spacing w:line="480" w:lineRule="auto"/>
        <w:jc w:val="both"/>
        <w:rPr>
          <w:rFonts w:ascii="Times New Roman" w:eastAsia="SimSun;宋体" w:hAnsi="Times New Roman" w:cs="Arial"/>
          <w:b/>
          <w:bCs/>
          <w:color w:val="000000"/>
        </w:rPr>
      </w:pP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La mayor parte de los pacientes de ambos grupos presentaron movimientos clasificados como grados que no influyeron en</w:t>
      </w:r>
      <w:r>
        <w:rPr>
          <w:rFonts w:ascii="Times New Roman" w:eastAsia="SimSun;宋体" w:hAnsi="Times New Roman" w:cs="Arial"/>
          <w:color w:val="000000"/>
          <w:shd w:val="clear" w:color="auto" w:fill="FFFFFF"/>
        </w:rPr>
        <w:t xml:space="preserve"> la realización de la colonoscopia. La presencia de movimientos que dificultaron la exploración resultó más frecuente en el grupo S, pero sin significación estadística: 12 pacientes presentaron movimientos que dificultaron la realización de la colonoscopia</w:t>
      </w:r>
      <w:r>
        <w:rPr>
          <w:rFonts w:ascii="Times New Roman" w:eastAsia="SimSun;宋体" w:hAnsi="Times New Roman" w:cs="Arial"/>
          <w:color w:val="000000"/>
          <w:shd w:val="clear" w:color="auto" w:fill="FFFFFF"/>
        </w:rPr>
        <w:t xml:space="preserve"> en el grupo S (8.6%), frente a 7 pacientes en el grupo P (5.3%)  (test Chi cuadrado= 1.412; g.d.l.= 1; p-valor = </w:t>
      </w:r>
      <w:r>
        <w:rPr>
          <w:rFonts w:ascii="Times New Roman" w:eastAsia="SimSun;宋体" w:hAnsi="Times New Roman" w:cs="Arial"/>
          <w:color w:val="000000"/>
          <w:shd w:val="clear" w:color="auto" w:fill="FFFFFF"/>
        </w:rPr>
        <w:lastRenderedPageBreak/>
        <w:t>0.235).</w:t>
      </w:r>
    </w:p>
    <w:p w:rsidR="001B03C2" w:rsidRDefault="001B03C2">
      <w:pPr>
        <w:shd w:val="clear" w:color="auto" w:fill="FFFFFF"/>
        <w:spacing w:line="480" w:lineRule="auto"/>
        <w:jc w:val="both"/>
        <w:rPr>
          <w:rFonts w:ascii="Times New Roman" w:eastAsia="SimSun;宋体" w:hAnsi="Times New Roman" w:cs="Arial"/>
          <w:color w:val="000000"/>
        </w:rPr>
      </w:pPr>
    </w:p>
    <w:p w:rsidR="001B03C2" w:rsidRDefault="009B166E">
      <w:pPr>
        <w:shd w:val="clear" w:color="auto" w:fill="FFFFFF"/>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Complicaciones respiratorias y maniobras de auxilio de la vía aérea.</w:t>
      </w:r>
    </w:p>
    <w:p w:rsidR="001B03C2" w:rsidRDefault="001B03C2">
      <w:pPr>
        <w:shd w:val="clear" w:color="auto" w:fill="FFFFFF"/>
        <w:spacing w:line="480" w:lineRule="auto"/>
        <w:jc w:val="both"/>
        <w:rPr>
          <w:rFonts w:ascii="Times New Roman" w:eastAsia="SimSun;宋体" w:hAnsi="Times New Roman" w:cs="Arial"/>
          <w:b/>
          <w:bCs/>
          <w:color w:val="000000"/>
        </w:rPr>
      </w:pP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La aparición de “</w:t>
      </w:r>
      <w:r>
        <w:rPr>
          <w:rFonts w:ascii="Times New Roman" w:eastAsia="SimSun;宋体" w:hAnsi="Times New Roman" w:cs="Arial"/>
          <w:i/>
          <w:iCs/>
          <w:color w:val="000000"/>
        </w:rPr>
        <w:t>desaturación arterial”</w:t>
      </w:r>
      <w:r>
        <w:rPr>
          <w:rFonts w:ascii="Times New Roman" w:eastAsia="SimSun;宋体" w:hAnsi="Times New Roman" w:cs="Arial"/>
          <w:color w:val="000000"/>
        </w:rPr>
        <w:t xml:space="preserve"> con cifras por debajo del 90% resultó similar para ambos grupos, así como la aparición de “</w:t>
      </w:r>
      <w:r>
        <w:rPr>
          <w:rFonts w:ascii="Times New Roman" w:eastAsia="SimSun;宋体" w:hAnsi="Times New Roman" w:cs="Arial"/>
          <w:i/>
          <w:iCs/>
          <w:color w:val="000000"/>
        </w:rPr>
        <w:t>sudoración”</w:t>
      </w:r>
      <w:r>
        <w:rPr>
          <w:rFonts w:ascii="Times New Roman" w:eastAsia="SimSun;宋体" w:hAnsi="Times New Roman" w:cs="Arial"/>
          <w:color w:val="000000"/>
        </w:rPr>
        <w:t xml:space="preserve"> como signo de hipoventilación de los pacientes. Sin embargo, sí se encontraron diferencias estadísticamente significativas entre los grupos en cuanto a </w:t>
      </w:r>
      <w:r>
        <w:rPr>
          <w:rFonts w:ascii="Times New Roman" w:eastAsia="SimSun;宋体" w:hAnsi="Times New Roman" w:cs="Arial"/>
          <w:color w:val="000000"/>
        </w:rPr>
        <w:t xml:space="preserve">la  variable </w:t>
      </w:r>
      <w:r>
        <w:rPr>
          <w:rFonts w:ascii="Times New Roman" w:eastAsia="SimSun;宋体" w:hAnsi="Times New Roman" w:cs="Arial"/>
          <w:i/>
          <w:iCs/>
          <w:color w:val="000000"/>
        </w:rPr>
        <w:t>“apnea respiratoria”</w:t>
      </w:r>
      <w:r>
        <w:rPr>
          <w:rFonts w:ascii="Times New Roman" w:eastAsia="SimSun;宋体" w:hAnsi="Times New Roman" w:cs="Arial"/>
          <w:color w:val="000000"/>
        </w:rPr>
        <w:t xml:space="preserve"> </w:t>
      </w:r>
      <w:r>
        <w:rPr>
          <w:rFonts w:ascii="Times New Roman" w:eastAsia="SimSun;宋体" w:hAnsi="Times New Roman" w:cs="Arial"/>
          <w:color w:val="000000"/>
          <w:shd w:val="clear" w:color="auto" w:fill="FFFFFF"/>
        </w:rPr>
        <w:t>.</w:t>
      </w:r>
      <w:r>
        <w:rPr>
          <w:rFonts w:ascii="Times New Roman" w:eastAsia="SimSun;宋体" w:hAnsi="Times New Roman" w:cs="Arial"/>
          <w:color w:val="000000"/>
        </w:rPr>
        <w:t xml:space="preserve"> En el grupo S hubo un sólo caso de apnea ( 0,7%), mientras que en el grupo P hubo 13 casos ( 9.4%)</w:t>
      </w:r>
      <w:r>
        <w:rPr>
          <w:rFonts w:ascii="Times New Roman" w:eastAsia="SimSun;宋体" w:hAnsi="Times New Roman" w:cs="Arial"/>
          <w:color w:val="000000"/>
          <w:shd w:val="clear" w:color="auto" w:fill="FFFFFF"/>
        </w:rPr>
        <w:t xml:space="preserve"> ( test Chi cuadrado mediante test exacto de Fisher= 10.831; g.d.l = 1; p-valor= 0.001)</w:t>
      </w: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En cuanto a las maniobras de auxil</w:t>
      </w:r>
      <w:r>
        <w:rPr>
          <w:rFonts w:ascii="Times New Roman" w:eastAsia="SimSun;宋体" w:hAnsi="Times New Roman" w:cs="Arial"/>
          <w:color w:val="000000"/>
          <w:shd w:val="clear" w:color="auto" w:fill="FFFFFF"/>
        </w:rPr>
        <w:t>io de la vía aérea, el empleo de la “</w:t>
      </w:r>
      <w:r>
        <w:rPr>
          <w:rFonts w:ascii="Times New Roman" w:eastAsia="SimSun;宋体" w:hAnsi="Times New Roman" w:cs="Arial"/>
          <w:i/>
          <w:iCs/>
          <w:color w:val="000000"/>
          <w:shd w:val="clear" w:color="auto" w:fill="FFFFFF"/>
        </w:rPr>
        <w:t>subluxación mandibular”</w:t>
      </w:r>
      <w:r>
        <w:rPr>
          <w:rFonts w:ascii="Times New Roman" w:eastAsia="SimSun;宋体" w:hAnsi="Times New Roman" w:cs="Arial"/>
          <w:color w:val="000000"/>
          <w:shd w:val="clear" w:color="auto" w:fill="FFFFFF"/>
        </w:rPr>
        <w:t xml:space="preserve"> también resultó diferente entre los grupos de forma estadísticamente significativa, siendo 33 los casos que precisaron esta maniobra en el grupo S ( 23.7%) frente a 18 en el grupo P ( 12.9%),  (C</w:t>
      </w:r>
      <w:r>
        <w:rPr>
          <w:rFonts w:ascii="Times New Roman" w:eastAsia="SimSun;宋体" w:hAnsi="Times New Roman" w:cs="Arial"/>
          <w:color w:val="000000"/>
          <w:shd w:val="clear" w:color="auto" w:fill="FFFFFF"/>
        </w:rPr>
        <w:t>hi cuadrado mediante test exacto de Fisher= 5.403; g.d.l = 1; p-valor = 0.020). Para el resto de maniobras las diferencias resultaron no significativas.</w:t>
      </w:r>
    </w:p>
    <w:p w:rsidR="001B03C2" w:rsidRDefault="001B03C2">
      <w:pPr>
        <w:shd w:val="clear" w:color="auto" w:fill="FFFFFF"/>
        <w:spacing w:line="480" w:lineRule="auto"/>
        <w:jc w:val="both"/>
        <w:rPr>
          <w:rFonts w:ascii="Times New Roman" w:eastAsia="SimSun;宋体" w:hAnsi="Times New Roman" w:cs="Arial"/>
          <w:color w:val="000000"/>
        </w:rPr>
      </w:pPr>
    </w:p>
    <w:p w:rsidR="001B03C2" w:rsidRDefault="009B166E">
      <w:pPr>
        <w:shd w:val="clear" w:color="auto" w:fill="FFFFFF"/>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Parámetros hemodinámicos.</w:t>
      </w:r>
    </w:p>
    <w:p w:rsidR="001B03C2" w:rsidRDefault="001B03C2">
      <w:pPr>
        <w:shd w:val="clear" w:color="auto" w:fill="FFFFFF"/>
        <w:spacing w:line="480" w:lineRule="auto"/>
        <w:jc w:val="both"/>
        <w:rPr>
          <w:rFonts w:ascii="Times New Roman" w:eastAsia="SimSun;宋体" w:hAnsi="Times New Roman" w:cs="Arial"/>
          <w:b/>
          <w:bCs/>
          <w:color w:val="000000"/>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 xml:space="preserve">No se encontraron diferencias en los valores  de TA y FC obtenidos </w:t>
      </w:r>
      <w:r>
        <w:rPr>
          <w:rFonts w:ascii="Times New Roman" w:eastAsia="SimSun;宋体" w:hAnsi="Times New Roman" w:cs="Arial"/>
          <w:color w:val="000000"/>
          <w:shd w:val="clear" w:color="auto" w:fill="FFFFFF"/>
        </w:rPr>
        <w:t>previamente a iniciar la sedación, ni tampoco tras finalizarla. Sin embargo sí se detectaron diferencias estadísticamente significativas entre ambos grupos en las cifras de TAS, TAD y TAM obtenidas tras intubar ciego. En ese momento, los valores  resultaro</w:t>
      </w:r>
      <w:r>
        <w:rPr>
          <w:rFonts w:ascii="Times New Roman" w:eastAsia="SimSun;宋体" w:hAnsi="Times New Roman" w:cs="Arial"/>
          <w:color w:val="000000"/>
          <w:shd w:val="clear" w:color="auto" w:fill="FFFFFF"/>
        </w:rPr>
        <w:t>n 5 mmHg inferiores en el grupo P respecto al grupo S. Y al observar el porcentaje de descenso respecto a los valores inciales en las cifras de TAS, TAD y TAM, éste descenso resulta menor para el grupo S (caída de un 20% en la TAS, 23% en la TAD y 21% en l</w:t>
      </w:r>
      <w:r>
        <w:rPr>
          <w:rFonts w:ascii="Times New Roman" w:eastAsia="SimSun;宋体" w:hAnsi="Times New Roman" w:cs="Arial"/>
          <w:color w:val="000000"/>
          <w:shd w:val="clear" w:color="auto" w:fill="FFFFFF"/>
        </w:rPr>
        <w:t xml:space="preserve">a TAM) frente al grupo P ( caída de un 25% en la TAS, 30% en la TAD y 28% en la TAM). Los </w:t>
      </w:r>
      <w:r>
        <w:rPr>
          <w:rFonts w:ascii="Times New Roman" w:eastAsia="SimSun;宋体" w:hAnsi="Times New Roman" w:cs="Arial"/>
          <w:color w:val="000000"/>
          <w:shd w:val="clear" w:color="auto" w:fill="FFFFFF"/>
        </w:rPr>
        <w:lastRenderedPageBreak/>
        <w:t>valores de FC resultaron similares en ambos grupos en los tres momentos de medición.</w:t>
      </w:r>
    </w:p>
    <w:p w:rsidR="001B03C2" w:rsidRDefault="001B03C2">
      <w:pPr>
        <w:shd w:val="clear" w:color="auto" w:fill="FFFFFF"/>
        <w:tabs>
          <w:tab w:val="left" w:pos="6495"/>
        </w:tabs>
        <w:spacing w:line="480" w:lineRule="auto"/>
        <w:jc w:val="both"/>
        <w:rPr>
          <w:rFonts w:ascii="Times New Roman" w:eastAsia="SimSun;宋体" w:hAnsi="Times New Roman" w:cs="Arial"/>
          <w:color w:val="000000"/>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Sedación excesiva.</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Se encontraron diferencias estadísticamente significativas e</w:t>
      </w:r>
      <w:r>
        <w:rPr>
          <w:rFonts w:ascii="Times New Roman" w:eastAsia="SimSun;宋体" w:hAnsi="Times New Roman" w:cs="Arial"/>
          <w:color w:val="000000"/>
          <w:shd w:val="clear" w:color="auto" w:fill="FFFFFF"/>
        </w:rPr>
        <w:t>ntre los grupos</w:t>
      </w:r>
      <w:r>
        <w:rPr>
          <w:rFonts w:ascii="Times New Roman" w:eastAsia="SimSun;宋体" w:hAnsi="Times New Roman" w:cs="Arial"/>
          <w:color w:val="000000"/>
          <w:shd w:val="clear" w:color="auto" w:fill="FFFFFF"/>
        </w:rPr>
        <w:t xml:space="preserve">. </w:t>
      </w:r>
      <w:r>
        <w:rPr>
          <w:rFonts w:ascii="Times New Roman" w:eastAsia="SimSun;宋体" w:hAnsi="Times New Roman" w:cs="Arial"/>
          <w:color w:val="000000"/>
          <w:shd w:val="clear" w:color="auto" w:fill="FFFFFF"/>
        </w:rPr>
        <w:t>En el grupo S, 61 pacientes presentaron sobresedación ( 43.9%), mientras que 22 pacientes la presentaron en el grupo P ( 15.8%) (test Chi-cuadrado mediante el test exacto de Fisher= 26.125; g.d.l.= 1; p-valor &lt;0.001).</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Recuperación precoz.</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No se obtuvieron diferencias en ninguno de las variables que componen la escala de valoración de recuperación a los 30 minutos de finalizado el procedimiento. La puntuación obtenida en cuanto a signos vitales, capacidad de deambulación, dolor, NVPO y san</w:t>
      </w:r>
      <w:r>
        <w:rPr>
          <w:rFonts w:ascii="Times New Roman" w:eastAsia="SimSun;宋体" w:hAnsi="Times New Roman" w:cs="Arial"/>
          <w:color w:val="000000"/>
          <w:shd w:val="clear" w:color="auto" w:fill="FFFFFF"/>
        </w:rPr>
        <w:t>grado, fue similar en ambos grupos.</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Evaluación por parte de los pacientes.</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 xml:space="preserve">La calidad de la sedación valorada por el paciente a los 30 minutos de finalizada la misma fue muy parecida en ambos grupos, sin diferencias significativas. En el grupo S, la </w:t>
      </w:r>
      <w:r>
        <w:rPr>
          <w:rFonts w:ascii="Times New Roman" w:eastAsia="SimSun;宋体" w:hAnsi="Times New Roman" w:cs="Arial"/>
          <w:color w:val="000000"/>
          <w:shd w:val="clear" w:color="auto" w:fill="FFFFFF"/>
        </w:rPr>
        <w:t>puntuación dada por los pacientes fue de 91.99 +/- 11.02, mientras que en el grupo P fue de 90.92 +/- 9.44 (test U de Mann-Whitney = 8349; p-valor=0.386).</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Ingreso hospitalario.</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No hubo ningún ingreso en ninguno de los grupos.</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lastRenderedPageBreak/>
        <w:t>Alta precoz.</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No existieron</w:t>
      </w:r>
      <w:r>
        <w:rPr>
          <w:rFonts w:ascii="Times New Roman" w:eastAsia="SimSun;宋体" w:hAnsi="Times New Roman" w:cs="Arial"/>
          <w:color w:val="000000"/>
          <w:shd w:val="clear" w:color="auto" w:fill="FFFFFF"/>
        </w:rPr>
        <w:t xml:space="preserve"> diferencias entre los grupos en esta variable. Sólo hubo 2 pacientes en el grupo P que no pudieron ser dados de alta a los 30 minutos, siendo dados de alta a los 60 minutos sin referir complicaciones.</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Grado de recuperación tras 24horas.</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No hubo diferenc</w:t>
      </w:r>
      <w:r>
        <w:rPr>
          <w:rFonts w:ascii="Times New Roman" w:eastAsia="SimSun;宋体" w:hAnsi="Times New Roman" w:cs="Arial"/>
          <w:color w:val="000000"/>
          <w:shd w:val="clear" w:color="auto" w:fill="FFFFFF"/>
        </w:rPr>
        <w:t>ias significativas en las variables valoradas mediante la encuesta telefónica (dolor, nauseas o vómitos, tolerancia oral y desorientación). La media de horas transcurridas hasta que los sujetos consideraban encontrarse en condiciones normales fue similar e</w:t>
      </w:r>
      <w:r>
        <w:rPr>
          <w:rFonts w:ascii="Times New Roman" w:eastAsia="SimSun;宋体" w:hAnsi="Times New Roman" w:cs="Arial"/>
          <w:color w:val="000000"/>
          <w:shd w:val="clear" w:color="auto" w:fill="FFFFFF"/>
        </w:rPr>
        <w:t>n ambos grupos ( 4.35 +/- 6.09 horas en el grupo S y 4.14 +/- 6.38 horas en el grupo P, (t-student, t=-0.241; g.d.l.=249; p-valor= 0.810), así como la cantidad de pacientes que volverían a repetir la prueba con el mismo modo de sedación ( 123 casos en el G</w:t>
      </w:r>
      <w:r>
        <w:rPr>
          <w:rFonts w:ascii="Times New Roman" w:eastAsia="SimSun;宋体" w:hAnsi="Times New Roman" w:cs="Arial"/>
          <w:color w:val="000000"/>
          <w:shd w:val="clear" w:color="auto" w:fill="FFFFFF"/>
        </w:rPr>
        <w:t>rupo S (97.6%) y 122 casos en el Grupo P( 96.8%), (Chi cuadrado-test exacto de Fisher= 0.188; g.d.l.=1; p-valor = 0.508). La puntuación obtenida en la valoración telefónica realizada por los pacientes de ambos grupos resultó también similar (9.58 +/- 1.038</w:t>
      </w:r>
      <w:r>
        <w:rPr>
          <w:rFonts w:ascii="Times New Roman" w:eastAsia="SimSun;宋体" w:hAnsi="Times New Roman" w:cs="Arial"/>
          <w:color w:val="000000"/>
          <w:shd w:val="clear" w:color="auto" w:fill="FFFFFF"/>
        </w:rPr>
        <w:t xml:space="preserve"> puntos en el Grupo S y 9.68 +/- 0.739 puntos en el Grupo P, (t-student, t=-0.859; g.d.l.=248; p-valor= 0.391).</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CONCLUSIÓN</w:t>
      </w:r>
    </w:p>
    <w:p w:rsidR="001B03C2" w:rsidRDefault="001B03C2">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 xml:space="preserve">La sedación inhalatoria pura con sevoflurano administrado a través de mascarilla facial en los pacientes sometidos a sedación para </w:t>
      </w:r>
      <w:r>
        <w:rPr>
          <w:rFonts w:ascii="Times New Roman" w:eastAsia="SimSun;宋体" w:hAnsi="Times New Roman" w:cs="Arial"/>
          <w:color w:val="000000"/>
          <w:shd w:val="clear" w:color="auto" w:fill="FFFFFF"/>
        </w:rPr>
        <w:t xml:space="preserve">realización de colonoscopia en régimen ambulatorio proporciona unas condiciones similares a aquellas obtenidas mediante la sedación intravenosa convencional. La calidad de la sedación valorada por el endoscopista encargado de la colonoscopia </w:t>
      </w:r>
      <w:r>
        <w:rPr>
          <w:rFonts w:ascii="Times New Roman" w:eastAsia="SimSun;宋体" w:hAnsi="Times New Roman" w:cs="Arial"/>
          <w:color w:val="000000"/>
          <w:shd w:val="clear" w:color="auto" w:fill="FFFFFF"/>
        </w:rPr>
        <w:lastRenderedPageBreak/>
        <w:t>resultó simila</w:t>
      </w:r>
      <w:r>
        <w:rPr>
          <w:rFonts w:ascii="Times New Roman" w:eastAsia="SimSun;宋体" w:hAnsi="Times New Roman" w:cs="Arial"/>
          <w:color w:val="000000"/>
          <w:shd w:val="clear" w:color="auto" w:fill="FFFFFF"/>
        </w:rPr>
        <w:t>r. En cuanto a las variables secundarias analizadas, en general no hubo diferencias  de relevancia clínica, excepto en la aparición de apnea respiratoria. Serían necesarios estudios con mayor número de pacientes y de carácter multicéntrico para ampliar los</w:t>
      </w:r>
      <w:r>
        <w:rPr>
          <w:rFonts w:ascii="Times New Roman" w:eastAsia="SimSun;宋体" w:hAnsi="Times New Roman" w:cs="Arial"/>
          <w:color w:val="000000"/>
          <w:shd w:val="clear" w:color="auto" w:fill="FFFFFF"/>
        </w:rPr>
        <w:t xml:space="preserve"> datos obtenidos.</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bookmarkStart w:id="2" w:name="__DdeLink__3776_833485799"/>
      <w:bookmarkEnd w:id="2"/>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1B03C2">
      <w:pPr>
        <w:spacing w:line="480" w:lineRule="auto"/>
        <w:jc w:val="both"/>
        <w:rPr>
          <w:rFonts w:ascii="Times New Roman" w:hAnsi="Times New Roman" w:cs="Arial"/>
          <w:b/>
          <w:u w:val="single"/>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u w:val="single"/>
        </w:rPr>
      </w:pPr>
      <w:r>
        <w:rPr>
          <w:rFonts w:ascii="Times New Roman" w:hAnsi="Times New Roman" w:cs="Arial"/>
          <w:b/>
          <w:u w:val="single"/>
        </w:rPr>
        <w:t>3. ÍNDICE DE CONTENIDOS</w:t>
      </w:r>
    </w:p>
    <w:p w:rsidR="001B03C2" w:rsidRDefault="009B166E">
      <w:pPr>
        <w:spacing w:line="480" w:lineRule="auto"/>
        <w:jc w:val="both"/>
        <w:rPr>
          <w:rFonts w:ascii="Times New Roman" w:hAnsi="Times New Roman" w:cs="Arial"/>
          <w:b/>
        </w:rPr>
      </w:pPr>
      <w:r>
        <w:rPr>
          <w:rFonts w:ascii="Times New Roman" w:hAnsi="Times New Roman" w:cs="Arial"/>
          <w:b/>
        </w:rPr>
        <w:t>1. TÍTULO...........................................................................................................................................1</w:t>
      </w:r>
    </w:p>
    <w:p w:rsidR="001B03C2" w:rsidRDefault="009B166E">
      <w:pPr>
        <w:spacing w:line="480" w:lineRule="auto"/>
        <w:jc w:val="both"/>
        <w:rPr>
          <w:rFonts w:ascii="Times New Roman" w:hAnsi="Times New Roman" w:cs="Arial"/>
          <w:b/>
        </w:rPr>
      </w:pPr>
      <w:r>
        <w:rPr>
          <w:rFonts w:ascii="Times New Roman" w:hAnsi="Times New Roman" w:cs="Arial"/>
          <w:b/>
        </w:rPr>
        <w:t xml:space="preserve">2. </w:t>
      </w:r>
      <w:r>
        <w:rPr>
          <w:rFonts w:ascii="Times New Roman" w:hAnsi="Times New Roman" w:cs="Arial"/>
          <w:b/>
        </w:rPr>
        <w:t>RESUMEN......................................................................................................................................4</w:t>
      </w:r>
    </w:p>
    <w:p w:rsidR="001B03C2" w:rsidRDefault="009B166E">
      <w:pPr>
        <w:spacing w:line="480" w:lineRule="auto"/>
        <w:jc w:val="both"/>
        <w:rPr>
          <w:rFonts w:ascii="Times New Roman" w:hAnsi="Times New Roman" w:cs="Arial"/>
          <w:b/>
        </w:rPr>
      </w:pPr>
      <w:r>
        <w:rPr>
          <w:rFonts w:ascii="Times New Roman" w:hAnsi="Times New Roman" w:cs="Arial"/>
          <w:b/>
        </w:rPr>
        <w:lastRenderedPageBreak/>
        <w:t>3. ÍNDICE DE CONTENIDOS..........................................................................................</w:t>
      </w:r>
      <w:r>
        <w:rPr>
          <w:rFonts w:ascii="Times New Roman" w:hAnsi="Times New Roman" w:cs="Arial"/>
          <w:b/>
        </w:rPr>
        <w:t>.............18</w:t>
      </w:r>
    </w:p>
    <w:p w:rsidR="001B03C2" w:rsidRDefault="009B166E">
      <w:pPr>
        <w:spacing w:line="480" w:lineRule="auto"/>
        <w:jc w:val="both"/>
        <w:rPr>
          <w:rFonts w:ascii="Times New Roman" w:hAnsi="Times New Roman" w:cs="Arial"/>
          <w:b/>
        </w:rPr>
      </w:pPr>
      <w:r>
        <w:rPr>
          <w:rFonts w:ascii="Times New Roman" w:hAnsi="Times New Roman" w:cs="Arial"/>
          <w:b/>
        </w:rPr>
        <w:t>4. ASPECTOS ÉTICOS...................................................................................................................22</w:t>
      </w:r>
    </w:p>
    <w:p w:rsidR="001B03C2" w:rsidRDefault="009B166E">
      <w:pPr>
        <w:spacing w:line="480" w:lineRule="auto"/>
        <w:jc w:val="both"/>
        <w:rPr>
          <w:rFonts w:ascii="Times New Roman" w:hAnsi="Times New Roman" w:cs="Arial"/>
          <w:b/>
        </w:rPr>
      </w:pPr>
      <w:r>
        <w:rPr>
          <w:rFonts w:ascii="Times New Roman" w:hAnsi="Times New Roman" w:cs="Arial"/>
          <w:b/>
        </w:rPr>
        <w:t>5. INVESTIGADORES Y ESTRUCTURA ADMINISTRATIVA DEL ENSAYO......................25</w:t>
      </w:r>
    </w:p>
    <w:p w:rsidR="001B03C2" w:rsidRDefault="009B166E">
      <w:pPr>
        <w:spacing w:line="480" w:lineRule="auto"/>
        <w:jc w:val="both"/>
        <w:rPr>
          <w:rFonts w:ascii="Times New Roman" w:hAnsi="Times New Roman" w:cs="Arial"/>
          <w:b/>
        </w:rPr>
      </w:pPr>
      <w:r>
        <w:rPr>
          <w:rFonts w:ascii="Times New Roman" w:hAnsi="Times New Roman" w:cs="Arial"/>
          <w:b/>
        </w:rPr>
        <w:t xml:space="preserve">6. </w:t>
      </w:r>
      <w:r>
        <w:rPr>
          <w:rFonts w:ascii="Times New Roman" w:hAnsi="Times New Roman" w:cs="Arial"/>
          <w:b/>
        </w:rPr>
        <w:t>INTRODUCCIÓN........................................................................................................................26</w:t>
      </w:r>
    </w:p>
    <w:p w:rsidR="001B03C2" w:rsidRDefault="009B166E">
      <w:pPr>
        <w:spacing w:line="480" w:lineRule="auto"/>
        <w:jc w:val="both"/>
        <w:rPr>
          <w:rFonts w:ascii="Times New Roman" w:hAnsi="Times New Roman" w:cs="Arial"/>
        </w:rPr>
      </w:pPr>
      <w:r>
        <w:rPr>
          <w:rFonts w:ascii="Times New Roman" w:hAnsi="Times New Roman" w:cs="Arial"/>
        </w:rPr>
        <w:t>6.1. COLONOSCOPIA.</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1.1   GENERALIDADES.....................................................................</w:t>
      </w:r>
      <w:r>
        <w:rPr>
          <w:rFonts w:ascii="Times New Roman" w:hAnsi="Times New Roman" w:cs="Arial"/>
        </w:rPr>
        <w:t>...............................26</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1.2   INDICACIONES DE COLONOSCOPIA..................................................................27</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1.3   COMPLICACIONES Y LIMITACIONES........................................................</w:t>
      </w:r>
      <w:r>
        <w:rPr>
          <w:rFonts w:ascii="Times New Roman" w:hAnsi="Times New Roman" w:cs="Arial"/>
        </w:rPr>
        <w:t>.........28</w:t>
      </w:r>
    </w:p>
    <w:p w:rsidR="001B03C2" w:rsidRDefault="009B166E">
      <w:pPr>
        <w:spacing w:line="480" w:lineRule="auto"/>
        <w:jc w:val="both"/>
        <w:rPr>
          <w:rFonts w:ascii="Times New Roman" w:eastAsia="Arial" w:hAnsi="Times New Roman" w:cs="Arial"/>
        </w:rPr>
      </w:pPr>
      <w:r>
        <w:rPr>
          <w:rFonts w:ascii="Times New Roman" w:eastAsia="Arial" w:hAnsi="Times New Roman" w:cs="Arial"/>
        </w:rPr>
        <w:t>6.2. JUSTIFICACIÓN DE LA SEDACIÓN EN COLONOSCOPIAS..............................................30</w:t>
      </w:r>
    </w:p>
    <w:p w:rsidR="001B03C2" w:rsidRDefault="009B166E">
      <w:pPr>
        <w:spacing w:line="480" w:lineRule="auto"/>
        <w:jc w:val="both"/>
        <w:rPr>
          <w:rFonts w:ascii="Times New Roman" w:hAnsi="Times New Roman" w:cs="Arial"/>
        </w:rPr>
      </w:pPr>
      <w:r>
        <w:rPr>
          <w:rFonts w:ascii="Times New Roman" w:hAnsi="Times New Roman" w:cs="Arial"/>
        </w:rPr>
        <w:t>6.3. ASPECTOS PRÁCTICOS SOBRE SEDACIÓN EN COLONOSCOPIAS...............................35</w:t>
      </w:r>
    </w:p>
    <w:p w:rsidR="001B03C2" w:rsidRDefault="009B166E">
      <w:pPr>
        <w:spacing w:line="480" w:lineRule="auto"/>
        <w:jc w:val="both"/>
        <w:rPr>
          <w:rFonts w:ascii="Times New Roman" w:hAnsi="Times New Roman" w:cs="Arial"/>
        </w:rPr>
      </w:pPr>
      <w:r>
        <w:rPr>
          <w:rFonts w:ascii="Times New Roman" w:hAnsi="Times New Roman" w:cs="Arial"/>
        </w:rPr>
        <w:t>6.3.1 LUGAR DE REALIZACIÓN..............................</w:t>
      </w:r>
      <w:r>
        <w:rPr>
          <w:rFonts w:ascii="Times New Roman" w:hAnsi="Times New Roman" w:cs="Arial"/>
        </w:rPr>
        <w:t>.....................................................................35</w:t>
      </w:r>
    </w:p>
    <w:p w:rsidR="001B03C2" w:rsidRDefault="009B166E">
      <w:pPr>
        <w:spacing w:line="480" w:lineRule="auto"/>
        <w:jc w:val="both"/>
        <w:rPr>
          <w:rFonts w:ascii="Times New Roman" w:hAnsi="Times New Roman" w:cs="Arial"/>
        </w:rPr>
      </w:pPr>
      <w:r>
        <w:rPr>
          <w:rFonts w:ascii="Times New Roman" w:hAnsi="Times New Roman" w:cs="Arial"/>
        </w:rPr>
        <w:t>6.3.2 EVALUACIÓN PREVIA DE LOS PACIENTES.....................................................................36</w:t>
      </w:r>
    </w:p>
    <w:p w:rsidR="001B03C2" w:rsidRDefault="009B166E">
      <w:pPr>
        <w:spacing w:line="480" w:lineRule="auto"/>
        <w:jc w:val="both"/>
        <w:rPr>
          <w:rFonts w:ascii="Times New Roman" w:hAnsi="Times New Roman" w:cs="Arial"/>
        </w:rPr>
      </w:pPr>
      <w:r>
        <w:rPr>
          <w:rFonts w:ascii="Times New Roman" w:hAnsi="Times New Roman" w:cs="Arial"/>
        </w:rPr>
        <w:t>6.3.3 PROFUNDIDAD DE LA SEDACIÓN........................................</w:t>
      </w:r>
      <w:r>
        <w:rPr>
          <w:rFonts w:ascii="Times New Roman" w:hAnsi="Times New Roman" w:cs="Arial"/>
        </w:rPr>
        <w:t>.............................................38</w:t>
      </w:r>
    </w:p>
    <w:p w:rsidR="001B03C2" w:rsidRDefault="009B166E">
      <w:pPr>
        <w:spacing w:line="480" w:lineRule="auto"/>
        <w:jc w:val="both"/>
        <w:rPr>
          <w:rFonts w:ascii="Times New Roman" w:hAnsi="Times New Roman" w:cs="Arial"/>
        </w:rPr>
      </w:pPr>
      <w:r>
        <w:rPr>
          <w:rFonts w:ascii="Times New Roman" w:hAnsi="Times New Roman" w:cs="Arial"/>
        </w:rPr>
        <w:t>6.3.4 COMPLICACIONES DURANTE LA SEDACIÓN.................................................................39</w:t>
      </w:r>
    </w:p>
    <w:p w:rsidR="001B03C2" w:rsidRDefault="009B166E">
      <w:pPr>
        <w:spacing w:line="480" w:lineRule="auto"/>
        <w:jc w:val="both"/>
        <w:rPr>
          <w:rFonts w:ascii="Times New Roman" w:hAnsi="Times New Roman" w:cs="Arial"/>
        </w:rPr>
      </w:pPr>
      <w:r>
        <w:rPr>
          <w:rFonts w:ascii="Times New Roman" w:hAnsi="Times New Roman" w:cs="Arial"/>
        </w:rPr>
        <w:t xml:space="preserve">6.3.5 RECUPERACIÓN </w:t>
      </w:r>
      <w:r>
        <w:rPr>
          <w:rFonts w:ascii="Times New Roman" w:hAnsi="Times New Roman" w:cs="Arial"/>
        </w:rPr>
        <w:t>POSTANESTÉSICA..................................................................................41</w:t>
      </w:r>
    </w:p>
    <w:p w:rsidR="001B03C2" w:rsidRDefault="009B166E">
      <w:pPr>
        <w:spacing w:line="480" w:lineRule="auto"/>
        <w:jc w:val="both"/>
        <w:rPr>
          <w:rFonts w:ascii="Times New Roman" w:hAnsi="Times New Roman" w:cs="Arial"/>
        </w:rPr>
      </w:pPr>
      <w:r>
        <w:rPr>
          <w:rFonts w:ascii="Times New Roman" w:hAnsi="Times New Roman" w:cs="Arial"/>
        </w:rPr>
        <w:t>6.4. FARMACOS EMPLEADOS PARA REALIZAR SEDACIONES.............................................43</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.4.1 SEDACIÓN INTRAVENOSA.</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6.4.1</w:t>
      </w:r>
      <w:r>
        <w:rPr>
          <w:rFonts w:ascii="Times New Roman" w:hAnsi="Times New Roman" w:cs="Arial"/>
        </w:rPr>
        <w:t>.1 PROPOFOL.....................................................................................................43</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6.4.1</w:t>
      </w:r>
      <w:r>
        <w:rPr>
          <w:rFonts w:ascii="Times New Roman" w:hAnsi="Times New Roman" w:cs="Arial"/>
        </w:rPr>
        <w:t>.2 FOSPROPOFOL.............................................................................................46</w:t>
      </w:r>
    </w:p>
    <w:p w:rsidR="001B03C2" w:rsidRDefault="009B166E">
      <w:pPr>
        <w:spacing w:line="480" w:lineRule="auto"/>
        <w:jc w:val="both"/>
        <w:rPr>
          <w:rFonts w:ascii="Times New Roman" w:hAnsi="Times New Roman" w:cs="Arial"/>
        </w:rPr>
      </w:pPr>
      <w:r>
        <w:rPr>
          <w:rFonts w:ascii="Times New Roman" w:eastAsia="Arial" w:hAnsi="Times New Roman" w:cs="Arial"/>
        </w:rPr>
        <w:lastRenderedPageBreak/>
        <w:t xml:space="preserve">   </w:t>
      </w:r>
      <w:r>
        <w:rPr>
          <w:rFonts w:ascii="Times New Roman" w:eastAsia="Arial" w:hAnsi="Times New Roman" w:cs="Arial"/>
        </w:rPr>
        <w:t xml:space="preserve">                    6.4.1</w:t>
      </w:r>
      <w:r>
        <w:rPr>
          <w:rFonts w:ascii="Times New Roman" w:hAnsi="Times New Roman" w:cs="Arial"/>
        </w:rPr>
        <w:t>.3 DEXMEDETOMIDINA.................................................................................47</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6.4.1</w:t>
      </w:r>
      <w:r>
        <w:rPr>
          <w:rFonts w:ascii="Times New Roman" w:hAnsi="Times New Roman" w:cs="Arial"/>
        </w:rPr>
        <w:t>.4 KETAMINA..........................................................................................</w:t>
      </w:r>
      <w:r>
        <w:rPr>
          <w:rFonts w:ascii="Times New Roman" w:hAnsi="Times New Roman" w:cs="Arial"/>
        </w:rPr>
        <w:t>..........48</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6.4.1</w:t>
      </w:r>
      <w:r>
        <w:rPr>
          <w:rFonts w:ascii="Times New Roman" w:hAnsi="Times New Roman" w:cs="Arial"/>
        </w:rPr>
        <w:t>.5 BENZODIACEPINAS....................................................................................49</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6.4.1</w:t>
      </w:r>
      <w:r>
        <w:rPr>
          <w:rFonts w:ascii="Times New Roman" w:hAnsi="Times New Roman" w:cs="Arial"/>
        </w:rPr>
        <w:t>.6 OPIÁCEOS.......................................................................</w:t>
      </w:r>
      <w:r>
        <w:rPr>
          <w:rFonts w:ascii="Times New Roman" w:hAnsi="Times New Roman" w:cs="Arial"/>
        </w:rPr>
        <w:t>...............................49</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.4.2 SEDACIÓN INHALATORIA..............................................................................................50</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6.4.2</w:t>
      </w:r>
      <w:r>
        <w:rPr>
          <w:rFonts w:ascii="Times New Roman" w:hAnsi="Times New Roman" w:cs="Arial"/>
        </w:rPr>
        <w:t>.1 INTRODUCCIÓN................................................................</w:t>
      </w:r>
      <w:r>
        <w:rPr>
          <w:rFonts w:ascii="Times New Roman" w:hAnsi="Times New Roman" w:cs="Arial"/>
        </w:rPr>
        <w:t>........................................50</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6.4.2</w:t>
      </w:r>
      <w:r>
        <w:rPr>
          <w:rFonts w:ascii="Times New Roman" w:hAnsi="Times New Roman" w:cs="Arial"/>
        </w:rPr>
        <w:t>.2 CONCEPTOS BÁSICOS DE ANESTESIA INHALATORIA....................................51</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6.4.2</w:t>
      </w:r>
      <w:r>
        <w:rPr>
          <w:rFonts w:ascii="Times New Roman" w:hAnsi="Times New Roman" w:cs="Arial"/>
        </w:rPr>
        <w:t>.3 ÓXIDO NITROSO...................................................................................</w:t>
      </w:r>
      <w:r>
        <w:rPr>
          <w:rFonts w:ascii="Times New Roman" w:hAnsi="Times New Roman" w:cs="Arial"/>
        </w:rPr>
        <w:t>....................54</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6</w:t>
      </w:r>
      <w:r>
        <w:rPr>
          <w:rFonts w:ascii="Times New Roman" w:hAnsi="Times New Roman" w:cs="Arial"/>
        </w:rPr>
        <w:t>.4.2.4 SEVOFLURANO........................................................................................................55</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rPr>
      </w:pPr>
      <w:r>
        <w:rPr>
          <w:rFonts w:ascii="Times New Roman" w:hAnsi="Times New Roman" w:cs="Arial"/>
          <w:b/>
          <w:bCs/>
        </w:rPr>
        <w:t xml:space="preserve">7. </w:t>
      </w:r>
      <w:r>
        <w:rPr>
          <w:rFonts w:ascii="Times New Roman" w:hAnsi="Times New Roman" w:cs="Arial"/>
          <w:b/>
        </w:rPr>
        <w:t xml:space="preserve">HIPÓTESIS Y </w:t>
      </w:r>
      <w:r>
        <w:rPr>
          <w:rFonts w:ascii="Times New Roman" w:hAnsi="Times New Roman" w:cs="Arial"/>
          <w:b/>
        </w:rPr>
        <w:t>OBJETIVOS.......................................................................................................59</w:t>
      </w:r>
    </w:p>
    <w:p w:rsidR="001B03C2" w:rsidRDefault="009B166E">
      <w:pPr>
        <w:spacing w:line="480" w:lineRule="auto"/>
        <w:jc w:val="both"/>
        <w:rPr>
          <w:rFonts w:ascii="Times New Roman" w:hAnsi="Times New Roman" w:cs="Arial"/>
        </w:rPr>
      </w:pPr>
      <w:r>
        <w:rPr>
          <w:rFonts w:ascii="Times New Roman" w:hAnsi="Times New Roman" w:cs="Arial"/>
        </w:rPr>
        <w:t>7.1 HIPÓTESIS DE TRABAJO.........................................................................................................59</w:t>
      </w:r>
    </w:p>
    <w:p w:rsidR="001B03C2" w:rsidRDefault="009B166E">
      <w:pPr>
        <w:spacing w:line="480" w:lineRule="auto"/>
        <w:jc w:val="both"/>
        <w:rPr>
          <w:rFonts w:ascii="Times New Roman" w:hAnsi="Times New Roman" w:cs="Arial"/>
        </w:rPr>
      </w:pPr>
      <w:r>
        <w:rPr>
          <w:rFonts w:ascii="Times New Roman" w:hAnsi="Times New Roman" w:cs="Arial"/>
        </w:rPr>
        <w:t>7.2 OBJET</w:t>
      </w:r>
      <w:r>
        <w:rPr>
          <w:rFonts w:ascii="Times New Roman" w:hAnsi="Times New Roman" w:cs="Arial"/>
        </w:rPr>
        <w:t>IVO PRINCIPAL..............................................................................................................59</w:t>
      </w:r>
    </w:p>
    <w:p w:rsidR="001B03C2" w:rsidRDefault="009B166E">
      <w:pPr>
        <w:spacing w:line="480" w:lineRule="auto"/>
        <w:jc w:val="both"/>
        <w:rPr>
          <w:rFonts w:ascii="Times New Roman" w:hAnsi="Times New Roman" w:cs="Arial"/>
        </w:rPr>
      </w:pPr>
      <w:r>
        <w:rPr>
          <w:rFonts w:ascii="Times New Roman" w:hAnsi="Times New Roman" w:cs="Arial"/>
        </w:rPr>
        <w:t>7.3 OBJETIVOS SECUNDARIOS....................................................................................................60</w:t>
      </w:r>
    </w:p>
    <w:p w:rsidR="001B03C2" w:rsidRDefault="009B166E">
      <w:pPr>
        <w:spacing w:line="480" w:lineRule="auto"/>
        <w:jc w:val="both"/>
        <w:rPr>
          <w:rFonts w:ascii="Times New Roman" w:hAnsi="Times New Roman" w:cs="Arial"/>
          <w:b/>
          <w:bCs/>
        </w:rPr>
      </w:pPr>
      <w:r>
        <w:rPr>
          <w:rFonts w:ascii="Times New Roman" w:hAnsi="Times New Roman" w:cs="Arial"/>
          <w:b/>
          <w:bCs/>
        </w:rPr>
        <w:t>8.</w:t>
      </w:r>
      <w:r>
        <w:rPr>
          <w:rFonts w:ascii="Times New Roman" w:hAnsi="Times New Roman" w:cs="Arial"/>
          <w:b/>
          <w:bCs/>
        </w:rPr>
        <w:t xml:space="preserve"> METODOLOGÍA.........................................................................................................................61</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.1 DISEÑO DEL ESTUDIO........................................................................................</w:t>
      </w:r>
      <w:r>
        <w:rPr>
          <w:rFonts w:ascii="Times New Roman" w:hAnsi="Times New Roman" w:cs="Arial"/>
        </w:rPr>
        <w:t>...........61</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.2 POBLACIÓN Y ÁMBITO.................................................................................................63</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.2.1 SELECCIÓN DE LOS PACIENTES....................................................................</w:t>
      </w:r>
      <w:r>
        <w:rPr>
          <w:rFonts w:ascii="Times New Roman" w:hAnsi="Times New Roman" w:cs="Arial"/>
        </w:rPr>
        <w:t>..........63</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.2.2 CÁLCULO DEL TAMAÑO MUESTRAL.....................................................................65</w:t>
      </w:r>
    </w:p>
    <w:p w:rsidR="001B03C2" w:rsidRDefault="009B166E">
      <w:pPr>
        <w:spacing w:line="480" w:lineRule="auto"/>
        <w:jc w:val="both"/>
        <w:rPr>
          <w:rFonts w:ascii="Times New Roman" w:hAnsi="Times New Roman" w:cs="Arial"/>
        </w:rPr>
      </w:pPr>
      <w:r>
        <w:rPr>
          <w:rFonts w:ascii="Times New Roman" w:hAnsi="Times New Roman" w:cs="Arial"/>
        </w:rPr>
        <w:t>8.3 VARIABLES E INSTRUMENTACIÓN......................................................................................66</w:t>
      </w:r>
    </w:p>
    <w:p w:rsidR="001B03C2" w:rsidRDefault="009B166E">
      <w:pPr>
        <w:spacing w:line="480" w:lineRule="auto"/>
        <w:jc w:val="both"/>
        <w:rPr>
          <w:rFonts w:ascii="Times New Roman" w:hAnsi="Times New Roman" w:cs="Arial"/>
        </w:rPr>
      </w:pPr>
      <w:r>
        <w:rPr>
          <w:rFonts w:ascii="Times New Roman" w:eastAsia="Arial" w:hAnsi="Times New Roman" w:cs="Arial"/>
        </w:rPr>
        <w:lastRenderedPageBreak/>
        <w:t xml:space="preserve">        </w:t>
      </w:r>
      <w:r>
        <w:rPr>
          <w:rFonts w:ascii="Times New Roman" w:eastAsia="Arial" w:hAnsi="Times New Roman" w:cs="Arial"/>
        </w:rPr>
        <w:t xml:space="preserve"> 8</w:t>
      </w:r>
      <w:r>
        <w:rPr>
          <w:rFonts w:ascii="Times New Roman" w:hAnsi="Times New Roman" w:cs="Arial"/>
        </w:rPr>
        <w:t>.3.1 VARIABLE PRINCIPAL.................................................................................................66</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.3.2 VARIABLES SECUNDARIAS.......................................................................................66</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w:t>
      </w:r>
      <w:r>
        <w:rPr>
          <w:rFonts w:ascii="Times New Roman" w:eastAsia="Arial" w:hAnsi="Times New Roman" w:cs="Arial"/>
        </w:rPr>
        <w:t xml:space="preserve">    8</w:t>
      </w:r>
      <w:r>
        <w:rPr>
          <w:rFonts w:ascii="Times New Roman" w:hAnsi="Times New Roman" w:cs="Arial"/>
        </w:rPr>
        <w:t>.3.3 VARIABLES CONTROL................................................................................................70</w:t>
      </w:r>
    </w:p>
    <w:p w:rsidR="001B03C2" w:rsidRDefault="009B166E">
      <w:pPr>
        <w:spacing w:line="480" w:lineRule="auto"/>
        <w:jc w:val="both"/>
        <w:rPr>
          <w:rFonts w:ascii="Times New Roman" w:hAnsi="Times New Roman" w:cs="Arial"/>
        </w:rPr>
      </w:pPr>
      <w:r>
        <w:rPr>
          <w:rFonts w:ascii="Times New Roman" w:hAnsi="Times New Roman" w:cs="Arial"/>
        </w:rPr>
        <w:t>8.4 MEDIDAS PARA MINIMIZAR O EVITAR SESGOS...............................................................71</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 xml:space="preserve">.4.1 </w:t>
      </w:r>
      <w:r>
        <w:rPr>
          <w:rFonts w:ascii="Times New Roman" w:hAnsi="Times New Roman" w:cs="Arial"/>
        </w:rPr>
        <w:t>ALEATORIZACIÓN.............................................................................................................71</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.4.2 ENMASCARAMIENTO.......................................................................................................72</w:t>
      </w:r>
    </w:p>
    <w:p w:rsidR="001B03C2" w:rsidRDefault="009B166E">
      <w:pPr>
        <w:spacing w:line="480" w:lineRule="auto"/>
        <w:jc w:val="both"/>
        <w:rPr>
          <w:rFonts w:ascii="Times New Roman" w:hAnsi="Times New Roman" w:cs="Arial"/>
        </w:rPr>
      </w:pPr>
      <w:r>
        <w:rPr>
          <w:rFonts w:ascii="Times New Roman" w:hAnsi="Times New Roman" w:cs="Arial"/>
        </w:rPr>
        <w:t>8.5 CONSIDERACIONES ÉTICAS..................................................................................................73</w:t>
      </w:r>
    </w:p>
    <w:p w:rsidR="001B03C2" w:rsidRDefault="009B166E">
      <w:pPr>
        <w:spacing w:line="480" w:lineRule="auto"/>
        <w:jc w:val="both"/>
        <w:rPr>
          <w:rFonts w:ascii="Times New Roman" w:hAnsi="Times New Roman" w:cs="Arial"/>
        </w:rPr>
      </w:pPr>
      <w:r>
        <w:rPr>
          <w:rFonts w:ascii="Times New Roman" w:hAnsi="Times New Roman" w:cs="Arial"/>
        </w:rPr>
        <w:t>8.6 ANÁLISIS ESTADÍSTICO........................................................................................................</w:t>
      </w:r>
      <w:r>
        <w:rPr>
          <w:rFonts w:ascii="Times New Roman" w:hAnsi="Times New Roman" w:cs="Arial"/>
        </w:rPr>
        <w:t>..74</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.6.1 DESCRIPCIÓN DE LOS MÉTODOS ESTADÍSTICOS EMPLEADOS............................74</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.6.2 NIVEL DE SIGNIFICACIÓN..............................................................................................74</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8</w:t>
      </w:r>
      <w:r>
        <w:rPr>
          <w:rFonts w:ascii="Times New Roman" w:hAnsi="Times New Roman" w:cs="Arial"/>
        </w:rPr>
        <w:t>.6.3 CÁLCULO DEL TAMAÑO MUE</w:t>
      </w:r>
      <w:r>
        <w:rPr>
          <w:rFonts w:ascii="Times New Roman" w:hAnsi="Times New Roman" w:cs="Arial"/>
        </w:rPr>
        <w:t>STRAL..........................................................................75</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rPr>
      </w:pPr>
      <w:r>
        <w:rPr>
          <w:rFonts w:ascii="Times New Roman" w:hAnsi="Times New Roman" w:cs="Arial"/>
          <w:b/>
          <w:bCs/>
        </w:rPr>
        <w:t>9.</w:t>
      </w:r>
      <w:r>
        <w:rPr>
          <w:rFonts w:ascii="Times New Roman" w:hAnsi="Times New Roman" w:cs="Arial"/>
        </w:rPr>
        <w:t xml:space="preserve"> </w:t>
      </w:r>
      <w:r>
        <w:rPr>
          <w:rFonts w:ascii="Times New Roman" w:hAnsi="Times New Roman" w:cs="Arial"/>
          <w:b/>
        </w:rPr>
        <w:t>RESULTADOS..............................................................................................................................76</w:t>
      </w:r>
    </w:p>
    <w:p w:rsidR="001B03C2" w:rsidRDefault="009B166E">
      <w:pPr>
        <w:spacing w:line="480" w:lineRule="auto"/>
        <w:jc w:val="both"/>
        <w:rPr>
          <w:rFonts w:ascii="Times New Roman" w:hAnsi="Times New Roman" w:cs="Arial"/>
        </w:rPr>
      </w:pPr>
      <w:r>
        <w:rPr>
          <w:rFonts w:ascii="Times New Roman" w:hAnsi="Times New Roman" w:cs="Arial"/>
        </w:rPr>
        <w:t>9.1 SUJETOS DEL ESTUDIO........</w:t>
      </w:r>
      <w:r>
        <w:rPr>
          <w:rFonts w:ascii="Times New Roman" w:hAnsi="Times New Roman" w:cs="Arial"/>
        </w:rPr>
        <w:t>...................................................................................................76</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9</w:t>
      </w:r>
      <w:r>
        <w:rPr>
          <w:rFonts w:ascii="Times New Roman" w:hAnsi="Times New Roman" w:cs="Arial"/>
        </w:rPr>
        <w:t>.1.1 DIAGRAMA DE FLUJO DE LA MUESTRA DE PACIENTES.........................................76</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9</w:t>
      </w:r>
      <w:r>
        <w:rPr>
          <w:rFonts w:ascii="Times New Roman" w:hAnsi="Times New Roman" w:cs="Arial"/>
        </w:rPr>
        <w:t xml:space="preserve">.1.2 ANÁLISIS DESCRIPTIVO DEL TOTAL DE LA </w:t>
      </w:r>
      <w:r>
        <w:rPr>
          <w:rFonts w:ascii="Times New Roman" w:hAnsi="Times New Roman" w:cs="Arial"/>
        </w:rPr>
        <w:t>MUESTRA...........................................77</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9</w:t>
      </w:r>
      <w:r>
        <w:rPr>
          <w:rFonts w:ascii="Times New Roman" w:hAnsi="Times New Roman" w:cs="Arial"/>
        </w:rPr>
        <w:t>.1.2.1 Descripción de la muestra..............................................................................................77</w:t>
      </w:r>
    </w:p>
    <w:p w:rsidR="001B03C2" w:rsidRDefault="009B166E">
      <w:pPr>
        <w:spacing w:line="480" w:lineRule="auto"/>
        <w:jc w:val="both"/>
        <w:rPr>
          <w:rFonts w:ascii="Times New Roman" w:hAnsi="Times New Roman" w:cs="Arial"/>
        </w:rPr>
      </w:pPr>
      <w:r>
        <w:rPr>
          <w:rFonts w:ascii="Times New Roman" w:eastAsia="Arial" w:hAnsi="Times New Roman" w:cs="Arial"/>
        </w:rPr>
        <w:lastRenderedPageBreak/>
        <w:t xml:space="preserve">        9</w:t>
      </w:r>
      <w:r>
        <w:rPr>
          <w:rFonts w:ascii="Times New Roman" w:hAnsi="Times New Roman" w:cs="Arial"/>
        </w:rPr>
        <w:t>.1.2.2 Comparabilidad inicial de los grupos del estudio.</w:t>
      </w:r>
      <w:r>
        <w:rPr>
          <w:rFonts w:ascii="Times New Roman" w:hAnsi="Times New Roman" w:cs="Arial"/>
        </w:rPr>
        <w:t>.........................................................78</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9</w:t>
      </w:r>
      <w:r>
        <w:rPr>
          <w:rFonts w:ascii="Times New Roman" w:hAnsi="Times New Roman" w:cs="Arial"/>
        </w:rPr>
        <w:t>.1.2.3 Comparabilidad inicial en cuanto a los factores que afectan al umbral de dolor...........80</w:t>
      </w:r>
    </w:p>
    <w:p w:rsidR="001B03C2" w:rsidRDefault="009B166E">
      <w:pPr>
        <w:spacing w:line="480" w:lineRule="auto"/>
        <w:jc w:val="both"/>
        <w:rPr>
          <w:rFonts w:ascii="Times New Roman" w:hAnsi="Times New Roman" w:cs="Arial"/>
        </w:rPr>
      </w:pPr>
      <w:r>
        <w:rPr>
          <w:rFonts w:ascii="Times New Roman" w:eastAsia="Arial" w:hAnsi="Times New Roman" w:cs="Arial"/>
        </w:rPr>
        <w:t xml:space="preserve">        9</w:t>
      </w:r>
      <w:r>
        <w:rPr>
          <w:rFonts w:ascii="Times New Roman" w:hAnsi="Times New Roman" w:cs="Arial"/>
        </w:rPr>
        <w:t>.1.2.4 Dosificación de los fármacos en cada grupo..............................</w:t>
      </w:r>
      <w:r>
        <w:rPr>
          <w:rFonts w:ascii="Times New Roman" w:hAnsi="Times New Roman" w:cs="Arial"/>
        </w:rPr>
        <w:t>....................................83</w:t>
      </w:r>
    </w:p>
    <w:p w:rsidR="001B03C2" w:rsidRDefault="009B166E">
      <w:pPr>
        <w:spacing w:line="480" w:lineRule="auto"/>
        <w:jc w:val="both"/>
        <w:rPr>
          <w:rFonts w:ascii="Times New Roman" w:hAnsi="Times New Roman" w:cs="Arial"/>
        </w:rPr>
      </w:pPr>
      <w:r>
        <w:rPr>
          <w:rFonts w:ascii="Times New Roman" w:hAnsi="Times New Roman" w:cs="Arial"/>
        </w:rPr>
        <w:t>9.2 EFECTIVIDAD DE LOS MÉTODOS DE SEDACIÓN.............................................................84</w:t>
      </w:r>
    </w:p>
    <w:p w:rsidR="001B03C2" w:rsidRDefault="009B166E">
      <w:pPr>
        <w:spacing w:line="480" w:lineRule="auto"/>
        <w:jc w:val="both"/>
        <w:rPr>
          <w:rFonts w:ascii="Times New Roman" w:eastAsia="SimSun;宋体" w:hAnsi="Times New Roman" w:cs="Arial"/>
          <w:color w:val="000000"/>
        </w:rPr>
      </w:pPr>
      <w:r>
        <w:rPr>
          <w:rFonts w:ascii="Times New Roman" w:hAnsi="Times New Roman" w:cs="Arial"/>
        </w:rPr>
        <w:t xml:space="preserve">9.3 </w:t>
      </w:r>
      <w:r>
        <w:rPr>
          <w:rFonts w:ascii="Times New Roman" w:eastAsia="SimSun;宋体" w:hAnsi="Times New Roman" w:cs="Arial"/>
          <w:color w:val="000000"/>
        </w:rPr>
        <w:t xml:space="preserve"> FINALIZACIÓN DE LA EXPLORACIÓN Y TIEMPO EMPLEADO.....................................85</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9.4 MOVIMIENTOS DE</w:t>
      </w:r>
      <w:r>
        <w:rPr>
          <w:rFonts w:ascii="Times New Roman" w:eastAsia="SimSun;宋体" w:hAnsi="Times New Roman" w:cs="Arial"/>
          <w:color w:val="000000"/>
        </w:rPr>
        <w:t xml:space="preserve"> LOS PACIENTES DURANTE LA EXPLORACIÓN.............................88</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9.5 COMPLICACIONES RESPIRATORIAS Y  MANIOBRAS DE AUXILIO DE LA VÍA AÉREA...................................................................................................................</w:t>
      </w:r>
      <w:r>
        <w:rPr>
          <w:rFonts w:ascii="Times New Roman" w:eastAsia="SimSun;宋体" w:hAnsi="Times New Roman" w:cs="Arial"/>
          <w:color w:val="000000"/>
        </w:rPr>
        <w:t>............................89</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9.6 PARÁMETROS HEMODINÁMICOS........................................................................................91</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9.7 SEDACIÓN EXCESIVA.....................................................................................</w:t>
      </w:r>
      <w:r>
        <w:rPr>
          <w:rFonts w:ascii="Times New Roman" w:eastAsia="SimSun;宋体" w:hAnsi="Times New Roman" w:cs="Arial"/>
          <w:color w:val="000000"/>
        </w:rPr>
        <w:t>........................94</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9.8 RECUPERACIÓN PRECOZ.......................................................................................................95</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9.9 EVALUACIÓN POR PARTE DE LOS PACIENTES...........................................................</w:t>
      </w:r>
      <w:r>
        <w:rPr>
          <w:rFonts w:ascii="Times New Roman" w:eastAsia="SimSun;宋体" w:hAnsi="Times New Roman" w:cs="Arial"/>
          <w:color w:val="000000"/>
        </w:rPr>
        <w:t>......96</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9.10 INGRESO HOSPITALARIO....................................................................................................98</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9.11 ALTA PRECOZ.......................................................................................................</w:t>
      </w:r>
      <w:r>
        <w:rPr>
          <w:rFonts w:ascii="Times New Roman" w:eastAsia="SimSun;宋体" w:hAnsi="Times New Roman" w:cs="Arial"/>
          <w:color w:val="000000"/>
        </w:rPr>
        <w:t>...................98</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9.12 GRADO DE RECUPERACIÓN TRAS 24 HORAS.................................................................98</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rPr>
      </w:pPr>
      <w:r>
        <w:rPr>
          <w:rFonts w:ascii="Times New Roman" w:hAnsi="Times New Roman" w:cs="Arial"/>
          <w:b/>
        </w:rPr>
        <w:t xml:space="preserve">10. </w:t>
      </w:r>
      <w:r>
        <w:rPr>
          <w:rFonts w:ascii="Times New Roman" w:hAnsi="Times New Roman" w:cs="Arial"/>
          <w:b/>
        </w:rPr>
        <w:t>CONCLUSIONES....................................................................................................................100</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rPr>
      </w:pPr>
      <w:r>
        <w:rPr>
          <w:rFonts w:ascii="Times New Roman" w:hAnsi="Times New Roman" w:cs="Arial"/>
          <w:b/>
        </w:rPr>
        <w:t>11. REFERENCIAS BIBLIOGRÁFICAS....................................................................................102</w:t>
      </w:r>
    </w:p>
    <w:p w:rsidR="001B03C2" w:rsidRDefault="009B166E">
      <w:pPr>
        <w:spacing w:line="480" w:lineRule="auto"/>
        <w:jc w:val="both"/>
        <w:rPr>
          <w:rFonts w:ascii="Times New Roman" w:hAnsi="Times New Roman" w:cs="Arial"/>
          <w:b/>
          <w:shd w:val="clear" w:color="auto" w:fill="FFFF00"/>
        </w:rPr>
      </w:pPr>
      <w:commentRangeStart w:id="3"/>
      <w:r>
        <w:rPr>
          <w:rFonts w:ascii="Times New Roman" w:hAnsi="Times New Roman" w:cs="Arial"/>
          <w:b/>
          <w:shd w:val="clear" w:color="auto" w:fill="FFFF00"/>
        </w:rPr>
        <w:t xml:space="preserve">12. </w:t>
      </w:r>
      <w:r>
        <w:rPr>
          <w:rFonts w:ascii="Times New Roman" w:hAnsi="Times New Roman" w:cs="Arial"/>
          <w:b/>
          <w:shd w:val="clear" w:color="auto" w:fill="FFFF00"/>
        </w:rPr>
        <w:t>ANEXOS.</w:t>
      </w:r>
    </w:p>
    <w:p w:rsidR="001B03C2" w:rsidRDefault="001B03C2">
      <w:pPr>
        <w:spacing w:line="480" w:lineRule="auto"/>
        <w:jc w:val="both"/>
        <w:rPr>
          <w:rFonts w:ascii="Times New Roman" w:hAnsi="Times New Roman" w:cs="Arial"/>
          <w:shd w:val="clear" w:color="auto" w:fill="FFFF00"/>
        </w:rPr>
      </w:pPr>
    </w:p>
    <w:p w:rsidR="001B03C2" w:rsidRDefault="009B166E">
      <w:pPr>
        <w:spacing w:line="480" w:lineRule="auto"/>
        <w:jc w:val="both"/>
        <w:rPr>
          <w:rFonts w:ascii="Times New Roman" w:hAnsi="Times New Roman" w:cs="Arial"/>
          <w:shd w:val="clear" w:color="auto" w:fill="FFFF00"/>
        </w:rPr>
      </w:pPr>
      <w:r>
        <w:rPr>
          <w:rFonts w:ascii="Times New Roman" w:hAnsi="Times New Roman" w:cs="Arial"/>
          <w:shd w:val="clear" w:color="auto" w:fill="FFFF00"/>
        </w:rPr>
        <w:lastRenderedPageBreak/>
        <w:t>12.1 CONSENTIMIENTO INFORMADO.?</w:t>
      </w:r>
    </w:p>
    <w:p w:rsidR="001B03C2" w:rsidRDefault="009B166E">
      <w:pPr>
        <w:spacing w:line="480" w:lineRule="auto"/>
        <w:jc w:val="both"/>
        <w:rPr>
          <w:rFonts w:ascii="Times New Roman" w:hAnsi="Times New Roman" w:cs="Arial"/>
          <w:shd w:val="clear" w:color="auto" w:fill="FFFF00"/>
        </w:rPr>
      </w:pPr>
      <w:r>
        <w:rPr>
          <w:rFonts w:ascii="Times New Roman" w:hAnsi="Times New Roman" w:cs="Arial"/>
          <w:shd w:val="clear" w:color="auto" w:fill="FFFF00"/>
        </w:rPr>
        <w:t>12.3 INFORME APTO DEL CEIC.?</w:t>
      </w:r>
    </w:p>
    <w:p w:rsidR="001B03C2" w:rsidRDefault="009B166E">
      <w:pPr>
        <w:spacing w:line="480" w:lineRule="auto"/>
        <w:jc w:val="both"/>
        <w:rPr>
          <w:rFonts w:ascii="Times New Roman" w:hAnsi="Times New Roman" w:cs="Arial"/>
          <w:shd w:val="clear" w:color="auto" w:fill="FFFF00"/>
        </w:rPr>
      </w:pPr>
      <w:r>
        <w:rPr>
          <w:rFonts w:ascii="Times New Roman" w:hAnsi="Times New Roman" w:cs="Arial"/>
          <w:shd w:val="clear" w:color="auto" w:fill="FFFF00"/>
        </w:rPr>
        <w:t>12.4 INFORME APTO DE LA AEMPS.?</w:t>
      </w: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00"/>
        </w:rPr>
      </w:pPr>
      <w:r>
        <w:rPr>
          <w:rFonts w:ascii="Times New Roman" w:eastAsia="SimSun;宋体" w:hAnsi="Times New Roman" w:cs="Arial"/>
          <w:color w:val="000000"/>
          <w:shd w:val="clear" w:color="auto" w:fill="FFFF00"/>
        </w:rPr>
        <w:t>12.6 COPIA DEL SEGURO DE RESP CIVIL?</w:t>
      </w: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00"/>
        </w:rPr>
      </w:pPr>
      <w:r>
        <w:rPr>
          <w:rFonts w:ascii="Times New Roman" w:eastAsia="SimSun;宋体" w:hAnsi="Times New Roman" w:cs="Arial"/>
          <w:color w:val="000000"/>
          <w:shd w:val="clear" w:color="auto" w:fill="FFFF00"/>
        </w:rPr>
        <w:t>12.7 PROTOCOLO DEL ESTUDIO.</w:t>
      </w:r>
    </w:p>
    <w:commentRangeEnd w:id="3"/>
    <w:p w:rsidR="001B03C2" w:rsidRDefault="00AA2F17">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Style w:val="Refdecomentario"/>
        </w:rPr>
        <w:commentReference w:id="3"/>
      </w:r>
      <w:r w:rsidR="009B166E">
        <w:rPr>
          <w:rFonts w:ascii="Times New Roman" w:eastAsia="SimSun;宋体" w:hAnsi="Times New Roman" w:cs="Arial"/>
          <w:b/>
          <w:bCs/>
          <w:color w:val="000000"/>
          <w:shd w:val="clear" w:color="auto" w:fill="FFFFFF"/>
        </w:rPr>
        <w:t xml:space="preserve"> </w:t>
      </w: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4. ASPECTOS ÉTICOS.</w:t>
      </w:r>
    </w:p>
    <w:p w:rsidR="001B03C2" w:rsidRDefault="001B03C2">
      <w:pPr>
        <w:shd w:val="clear" w:color="auto" w:fill="FFFFFF"/>
        <w:tabs>
          <w:tab w:val="left" w:pos="6495"/>
        </w:tabs>
        <w:spacing w:line="480" w:lineRule="auto"/>
        <w:jc w:val="both"/>
        <w:rPr>
          <w:rFonts w:hint="eastAsia"/>
        </w:rPr>
      </w:pPr>
    </w:p>
    <w:p w:rsidR="001B03C2" w:rsidRDefault="009B166E">
      <w:pPr>
        <w:shd w:val="clear" w:color="auto" w:fill="FFFFFF"/>
        <w:tabs>
          <w:tab w:val="left" w:pos="6495"/>
        </w:tabs>
        <w:spacing w:line="480" w:lineRule="auto"/>
        <w:jc w:val="both"/>
        <w:rPr>
          <w:rFonts w:ascii="Times New Roman" w:hAnsi="Times New Roman"/>
          <w:b/>
        </w:rPr>
      </w:pPr>
      <w:r>
        <w:rPr>
          <w:rFonts w:ascii="Times New Roman" w:eastAsia="SimSun;宋体" w:hAnsi="Times New Roman" w:cs="Arial"/>
          <w:color w:val="000000"/>
          <w:shd w:val="clear" w:color="auto" w:fill="FFFFFF"/>
        </w:rPr>
        <w:t>4.1</w:t>
      </w:r>
      <w:r>
        <w:rPr>
          <w:rFonts w:ascii="Times New Roman" w:hAnsi="Times New Roman"/>
          <w:b/>
        </w:rPr>
        <w:t>Comité ético de Investigación Clínica</w:t>
      </w:r>
    </w:p>
    <w:p w:rsidR="001B03C2" w:rsidRDefault="009B166E">
      <w:pPr>
        <w:spacing w:line="480" w:lineRule="auto"/>
        <w:jc w:val="both"/>
        <w:rPr>
          <w:rFonts w:ascii="Times New Roman" w:hAnsi="Times New Roman"/>
        </w:rPr>
      </w:pPr>
      <w:r>
        <w:rPr>
          <w:rFonts w:ascii="Times New Roman" w:hAnsi="Times New Roman"/>
        </w:rPr>
        <w:t xml:space="preserve">Antes del </w:t>
      </w:r>
      <w:r>
        <w:rPr>
          <w:rFonts w:ascii="Times New Roman" w:hAnsi="Times New Roman"/>
        </w:rPr>
        <w:t>inicio del estudio se debía obtener por escrito la aprobación u opinión favorable por</w:t>
      </w:r>
    </w:p>
    <w:p w:rsidR="001B03C2" w:rsidRDefault="009B166E">
      <w:pPr>
        <w:spacing w:line="480" w:lineRule="auto"/>
        <w:jc w:val="both"/>
        <w:rPr>
          <w:rFonts w:ascii="Times New Roman" w:hAnsi="Times New Roman"/>
        </w:rPr>
      </w:pPr>
      <w:r>
        <w:rPr>
          <w:rFonts w:ascii="Times New Roman" w:hAnsi="Times New Roman"/>
        </w:rPr>
        <w:t>parte del Comité Ético de Investigación Clínica (CEIC) del presente protocolo, la hoja de</w:t>
      </w:r>
    </w:p>
    <w:p w:rsidR="001B03C2" w:rsidRDefault="009B166E">
      <w:pPr>
        <w:spacing w:line="480" w:lineRule="auto"/>
        <w:jc w:val="both"/>
        <w:rPr>
          <w:rFonts w:ascii="Times New Roman" w:hAnsi="Times New Roman"/>
        </w:rPr>
      </w:pPr>
      <w:r>
        <w:rPr>
          <w:rFonts w:ascii="Times New Roman" w:hAnsi="Times New Roman"/>
        </w:rPr>
        <w:lastRenderedPageBreak/>
        <w:t xml:space="preserve">información al paciente, el formulario del consentimiento informado y cualquier </w:t>
      </w:r>
      <w:r>
        <w:rPr>
          <w:rFonts w:ascii="Times New Roman" w:hAnsi="Times New Roman"/>
        </w:rPr>
        <w:t>documento</w:t>
      </w:r>
    </w:p>
    <w:p w:rsidR="001B03C2" w:rsidRDefault="009B166E">
      <w:pPr>
        <w:spacing w:line="480" w:lineRule="auto"/>
        <w:jc w:val="both"/>
        <w:rPr>
          <w:rFonts w:ascii="Times New Roman" w:hAnsi="Times New Roman"/>
        </w:rPr>
      </w:pPr>
      <w:r>
        <w:rPr>
          <w:rFonts w:ascii="Times New Roman" w:hAnsi="Times New Roman"/>
        </w:rPr>
        <w:t>utilizado para el reclutamiento de pacientes. También se proporcionó al CEIC el manual del</w:t>
      </w:r>
    </w:p>
    <w:p w:rsidR="001B03C2" w:rsidRDefault="009B166E">
      <w:pPr>
        <w:spacing w:line="480" w:lineRule="auto"/>
        <w:jc w:val="both"/>
        <w:rPr>
          <w:rFonts w:ascii="Times New Roman" w:hAnsi="Times New Roman"/>
        </w:rPr>
      </w:pPr>
      <w:r>
        <w:rPr>
          <w:rFonts w:ascii="Times New Roman" w:hAnsi="Times New Roman"/>
        </w:rPr>
        <w:t>investigador y cualquier actualización de los documentos anteriormente especificados siguiendo</w:t>
      </w:r>
    </w:p>
    <w:p w:rsidR="001B03C2" w:rsidRDefault="009B166E">
      <w:pPr>
        <w:spacing w:line="480" w:lineRule="auto"/>
        <w:jc w:val="both"/>
        <w:rPr>
          <w:rFonts w:ascii="Times New Roman" w:hAnsi="Times New Roman"/>
        </w:rPr>
      </w:pPr>
      <w:r>
        <w:rPr>
          <w:rFonts w:ascii="Times New Roman" w:hAnsi="Times New Roman"/>
        </w:rPr>
        <w:t>el procedimiento establecido en la normativa vigente (Real D</w:t>
      </w:r>
      <w:r>
        <w:rPr>
          <w:rFonts w:ascii="Times New Roman" w:hAnsi="Times New Roman"/>
        </w:rPr>
        <w:t>ecreto 223/2004 y Directrices</w:t>
      </w:r>
    </w:p>
    <w:p w:rsidR="001B03C2" w:rsidRDefault="009B166E">
      <w:pPr>
        <w:spacing w:line="480" w:lineRule="auto"/>
        <w:jc w:val="both"/>
        <w:rPr>
          <w:rFonts w:ascii="Times New Roman" w:hAnsi="Times New Roman"/>
        </w:rPr>
      </w:pPr>
      <w:r>
        <w:rPr>
          <w:rFonts w:ascii="Times New Roman" w:hAnsi="Times New Roman"/>
        </w:rPr>
        <w:t>europeas) e instrucciones dadas por las autoridades sanitarias.</w:t>
      </w:r>
    </w:p>
    <w:p w:rsidR="001B03C2" w:rsidRDefault="009B166E">
      <w:pPr>
        <w:spacing w:line="480" w:lineRule="auto"/>
        <w:jc w:val="both"/>
        <w:rPr>
          <w:rFonts w:ascii="Times New Roman" w:hAnsi="Times New Roman"/>
        </w:rPr>
      </w:pPr>
      <w:r>
        <w:rPr>
          <w:rFonts w:ascii="Times New Roman" w:hAnsi="Times New Roman"/>
        </w:rPr>
        <w:t>El promotor del estudio envió al CEIC los informes, actualizaciones y cualquier otra información</w:t>
      </w:r>
    </w:p>
    <w:p w:rsidR="001B03C2" w:rsidRDefault="009B166E">
      <w:pPr>
        <w:spacing w:line="480" w:lineRule="auto"/>
        <w:jc w:val="both"/>
        <w:rPr>
          <w:rFonts w:ascii="Times New Roman" w:hAnsi="Times New Roman"/>
        </w:rPr>
      </w:pPr>
      <w:r>
        <w:rPr>
          <w:rFonts w:ascii="Times New Roman" w:hAnsi="Times New Roman"/>
        </w:rPr>
        <w:t>como los informes de seguridad, enmiendas del protocolo, cartas a</w:t>
      </w:r>
      <w:r>
        <w:rPr>
          <w:rFonts w:ascii="Times New Roman" w:hAnsi="Times New Roman"/>
        </w:rPr>
        <w:t>dministrativas de acuerdo con</w:t>
      </w:r>
    </w:p>
    <w:p w:rsidR="001B03C2" w:rsidRDefault="009B166E">
      <w:pPr>
        <w:spacing w:line="480" w:lineRule="auto"/>
        <w:jc w:val="both"/>
        <w:rPr>
          <w:rFonts w:ascii="Times New Roman" w:hAnsi="Times New Roman"/>
        </w:rPr>
      </w:pPr>
      <w:r>
        <w:rPr>
          <w:rFonts w:ascii="Times New Roman" w:hAnsi="Times New Roman"/>
        </w:rPr>
        <w:t>los requisitos de las autoridades reguladoras o procedimientos de la institución.</w:t>
      </w:r>
    </w:p>
    <w:p w:rsidR="001B03C2" w:rsidRDefault="009B166E">
      <w:pPr>
        <w:spacing w:line="480" w:lineRule="auto"/>
        <w:jc w:val="both"/>
        <w:rPr>
          <w:rFonts w:ascii="Times New Roman" w:hAnsi="Times New Roman"/>
        </w:rPr>
      </w:pPr>
      <w:r>
        <w:rPr>
          <w:rFonts w:ascii="Times New Roman" w:hAnsi="Times New Roman"/>
        </w:rPr>
        <w:t>Antes del inicio del estudio, el protocolo y cualquier enmienda relevante, así como la hoja de</w:t>
      </w:r>
    </w:p>
    <w:p w:rsidR="001B03C2" w:rsidRDefault="009B166E">
      <w:pPr>
        <w:spacing w:line="480" w:lineRule="auto"/>
        <w:jc w:val="both"/>
        <w:rPr>
          <w:rFonts w:ascii="Times New Roman" w:hAnsi="Times New Roman"/>
        </w:rPr>
      </w:pPr>
      <w:r>
        <w:rPr>
          <w:rFonts w:ascii="Times New Roman" w:hAnsi="Times New Roman"/>
        </w:rPr>
        <w:t>información al paciente sujeto y el consentimient</w:t>
      </w:r>
      <w:r>
        <w:rPr>
          <w:rFonts w:ascii="Times New Roman" w:hAnsi="Times New Roman"/>
        </w:rPr>
        <w:t>o informado recibieron la aprobación/opinión</w:t>
      </w:r>
    </w:p>
    <w:p w:rsidR="001B03C2" w:rsidRDefault="009B166E">
      <w:pPr>
        <w:spacing w:line="480" w:lineRule="auto"/>
        <w:jc w:val="both"/>
        <w:rPr>
          <w:rFonts w:ascii="Times New Roman" w:hAnsi="Times New Roman"/>
        </w:rPr>
      </w:pPr>
      <w:r>
        <w:rPr>
          <w:rFonts w:ascii="Times New Roman" w:hAnsi="Times New Roman"/>
        </w:rPr>
        <w:t>favorable del CEIC de referencia (CEIC del Hospital Provincial de Castellón) el  27de Febrero</w:t>
      </w:r>
    </w:p>
    <w:p w:rsidR="001B03C2" w:rsidRDefault="009B166E">
      <w:pPr>
        <w:spacing w:line="480" w:lineRule="auto"/>
        <w:jc w:val="both"/>
        <w:rPr>
          <w:rFonts w:ascii="Times New Roman" w:hAnsi="Times New Roman"/>
        </w:rPr>
      </w:pPr>
      <w:r>
        <w:rPr>
          <w:rFonts w:ascii="Times New Roman" w:hAnsi="Times New Roman"/>
        </w:rPr>
        <w:t>2013 y de la Agencia Española del Medicamento y Productos Sanitarios (AEMPS) (21 Junio</w:t>
      </w:r>
    </w:p>
    <w:p w:rsidR="001B03C2" w:rsidRDefault="009B166E">
      <w:pPr>
        <w:spacing w:line="480" w:lineRule="auto"/>
        <w:jc w:val="both"/>
        <w:rPr>
          <w:rFonts w:ascii="Times New Roman" w:hAnsi="Times New Roman"/>
        </w:rPr>
      </w:pPr>
      <w:r>
        <w:rPr>
          <w:rFonts w:ascii="Times New Roman" w:hAnsi="Times New Roman"/>
        </w:rPr>
        <w:t>2013). Para las enmiendas no r</w:t>
      </w:r>
      <w:r>
        <w:rPr>
          <w:rFonts w:ascii="Times New Roman" w:hAnsi="Times New Roman"/>
        </w:rPr>
        <w:t>elevantes se siguieron los procedimientos indicados en la</w:t>
      </w:r>
    </w:p>
    <w:p w:rsidR="001B03C2" w:rsidRDefault="009B166E">
      <w:pPr>
        <w:spacing w:line="480" w:lineRule="auto"/>
        <w:jc w:val="both"/>
        <w:rPr>
          <w:rFonts w:ascii="Times New Roman" w:hAnsi="Times New Roman"/>
        </w:rPr>
      </w:pPr>
      <w:r>
        <w:rPr>
          <w:rFonts w:ascii="Times New Roman" w:hAnsi="Times New Roman"/>
        </w:rPr>
        <w:t>legislación vigente.</w:t>
      </w:r>
    </w:p>
    <w:p w:rsidR="001B03C2" w:rsidRDefault="009B166E">
      <w:pPr>
        <w:spacing w:line="480" w:lineRule="auto"/>
        <w:jc w:val="both"/>
        <w:rPr>
          <w:rFonts w:ascii="Times New Roman" w:hAnsi="Times New Roman"/>
        </w:rPr>
      </w:pPr>
      <w:r>
        <w:rPr>
          <w:rFonts w:ascii="Times New Roman" w:hAnsi="Times New Roman"/>
        </w:rPr>
        <w:t>Las revisiones del presente protocolo (enmiendas) que surgieron durante la marcha del mismo</w:t>
      </w:r>
    </w:p>
    <w:p w:rsidR="001B03C2" w:rsidRDefault="009B166E">
      <w:pPr>
        <w:spacing w:line="480" w:lineRule="auto"/>
        <w:jc w:val="both"/>
        <w:rPr>
          <w:rFonts w:ascii="Times New Roman" w:hAnsi="Times New Roman"/>
        </w:rPr>
      </w:pPr>
      <w:r>
        <w:rPr>
          <w:rFonts w:ascii="Times New Roman" w:hAnsi="Times New Roman"/>
        </w:rPr>
        <w:t>fueron sometidas a la consideración de la Agencia Española del Medicamento del Minist</w:t>
      </w:r>
      <w:r>
        <w:rPr>
          <w:rFonts w:ascii="Times New Roman" w:hAnsi="Times New Roman"/>
        </w:rPr>
        <w:t>erio de</w:t>
      </w:r>
    </w:p>
    <w:p w:rsidR="001B03C2" w:rsidRDefault="009B166E">
      <w:pPr>
        <w:spacing w:line="480" w:lineRule="auto"/>
        <w:jc w:val="both"/>
        <w:rPr>
          <w:rFonts w:ascii="Times New Roman" w:hAnsi="Times New Roman"/>
        </w:rPr>
      </w:pPr>
      <w:r>
        <w:rPr>
          <w:rFonts w:ascii="Times New Roman" w:hAnsi="Times New Roman"/>
        </w:rPr>
        <w:t>Sanidad y del CEIC del Hospital Provincial de Castellón.</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b/>
        </w:rPr>
      </w:pPr>
      <w:r>
        <w:rPr>
          <w:rFonts w:ascii="Times New Roman" w:hAnsi="Times New Roman"/>
        </w:rPr>
        <w:t xml:space="preserve">4.2 </w:t>
      </w:r>
      <w:r>
        <w:rPr>
          <w:rFonts w:ascii="Times New Roman" w:hAnsi="Times New Roman"/>
          <w:b/>
        </w:rPr>
        <w:t>Consideraciones éticas generales</w:t>
      </w:r>
    </w:p>
    <w:p w:rsidR="001B03C2" w:rsidRDefault="009B166E">
      <w:pPr>
        <w:spacing w:line="480" w:lineRule="auto"/>
        <w:jc w:val="both"/>
        <w:rPr>
          <w:rFonts w:ascii="Times New Roman" w:hAnsi="Times New Roman"/>
        </w:rPr>
      </w:pPr>
      <w:r>
        <w:rPr>
          <w:rFonts w:ascii="Times New Roman" w:hAnsi="Times New Roman"/>
        </w:rPr>
        <w:t>El estudio se llevó a cabo siguiendo las normas especificadas en la Declaración de Helsinki, las</w:t>
      </w:r>
    </w:p>
    <w:p w:rsidR="001B03C2" w:rsidRDefault="009B166E">
      <w:pPr>
        <w:spacing w:line="480" w:lineRule="auto"/>
        <w:jc w:val="both"/>
        <w:rPr>
          <w:rFonts w:ascii="Times New Roman" w:hAnsi="Times New Roman"/>
        </w:rPr>
      </w:pPr>
      <w:r>
        <w:rPr>
          <w:rFonts w:ascii="Times New Roman" w:hAnsi="Times New Roman"/>
        </w:rPr>
        <w:t xml:space="preserve">Normas de Buena Práctica Clínica, las directrices ICH </w:t>
      </w:r>
      <w:r>
        <w:rPr>
          <w:rFonts w:ascii="Times New Roman" w:hAnsi="Times New Roman"/>
        </w:rPr>
        <w:t>(International Conference on</w:t>
      </w:r>
    </w:p>
    <w:p w:rsidR="001B03C2" w:rsidRDefault="009B166E">
      <w:pPr>
        <w:spacing w:line="480" w:lineRule="auto"/>
        <w:jc w:val="both"/>
        <w:rPr>
          <w:rFonts w:ascii="Times New Roman" w:hAnsi="Times New Roman"/>
        </w:rPr>
      </w:pPr>
      <w:r>
        <w:rPr>
          <w:rFonts w:ascii="Times New Roman" w:hAnsi="Times New Roman"/>
        </w:rPr>
        <w:t>Harmonisation) y cumpliendo la legislación vigente.</w:t>
      </w:r>
    </w:p>
    <w:p w:rsidR="001B03C2" w:rsidRDefault="009B166E">
      <w:pPr>
        <w:spacing w:line="480" w:lineRule="auto"/>
        <w:jc w:val="both"/>
        <w:rPr>
          <w:rFonts w:ascii="Times New Roman" w:hAnsi="Times New Roman"/>
        </w:rPr>
      </w:pPr>
      <w:r>
        <w:rPr>
          <w:rFonts w:ascii="Times New Roman" w:hAnsi="Times New Roman"/>
        </w:rPr>
        <w:t>El estudio también se llevó a cabo cumpliendo los requisitos del protocolo. El consentimiento</w:t>
      </w:r>
    </w:p>
    <w:p w:rsidR="001B03C2" w:rsidRDefault="009B166E">
      <w:pPr>
        <w:spacing w:line="480" w:lineRule="auto"/>
        <w:jc w:val="both"/>
        <w:rPr>
          <w:rFonts w:ascii="Times New Roman" w:hAnsi="Times New Roman"/>
        </w:rPr>
      </w:pPr>
      <w:r>
        <w:rPr>
          <w:rFonts w:ascii="Times New Roman" w:hAnsi="Times New Roman"/>
        </w:rPr>
        <w:t>informado de cada sujeto se obtuvo por escrito y fue otorgado libremente antes de</w:t>
      </w:r>
      <w:r>
        <w:rPr>
          <w:rFonts w:ascii="Times New Roman" w:hAnsi="Times New Roman"/>
        </w:rPr>
        <w:t xml:space="preserve"> su</w:t>
      </w:r>
    </w:p>
    <w:p w:rsidR="001B03C2" w:rsidRDefault="009B166E">
      <w:pPr>
        <w:spacing w:line="480" w:lineRule="auto"/>
        <w:jc w:val="both"/>
        <w:rPr>
          <w:rFonts w:ascii="Times New Roman" w:hAnsi="Times New Roman"/>
        </w:rPr>
      </w:pPr>
      <w:r>
        <w:rPr>
          <w:rFonts w:ascii="Times New Roman" w:hAnsi="Times New Roman"/>
        </w:rPr>
        <w:t>participación en el ensayo clínico.</w:t>
      </w:r>
    </w:p>
    <w:p w:rsidR="001B03C2" w:rsidRDefault="009B166E">
      <w:pPr>
        <w:spacing w:line="480" w:lineRule="auto"/>
        <w:jc w:val="both"/>
        <w:rPr>
          <w:rFonts w:ascii="Times New Roman" w:hAnsi="Times New Roman"/>
        </w:rPr>
      </w:pPr>
      <w:r>
        <w:rPr>
          <w:rFonts w:ascii="Times New Roman" w:hAnsi="Times New Roman"/>
        </w:rPr>
        <w:lastRenderedPageBreak/>
        <w:t>Los derechos, la seguridad y el bienestar de los sujetos del ensayo debían prevalecer sobre los</w:t>
      </w:r>
    </w:p>
    <w:p w:rsidR="001B03C2" w:rsidRDefault="009B166E">
      <w:pPr>
        <w:spacing w:line="480" w:lineRule="auto"/>
        <w:jc w:val="both"/>
        <w:rPr>
          <w:rFonts w:ascii="Times New Roman" w:hAnsi="Times New Roman"/>
        </w:rPr>
      </w:pPr>
      <w:r>
        <w:rPr>
          <w:rFonts w:ascii="Times New Roman" w:hAnsi="Times New Roman"/>
        </w:rPr>
        <w:t>intereses de la ciencia y de la sociedad.</w:t>
      </w:r>
    </w:p>
    <w:p w:rsidR="001B03C2" w:rsidRDefault="009B166E">
      <w:pPr>
        <w:spacing w:line="480" w:lineRule="auto"/>
        <w:jc w:val="both"/>
        <w:rPr>
          <w:rFonts w:ascii="Times New Roman" w:hAnsi="Times New Roman"/>
        </w:rPr>
      </w:pPr>
      <w:r>
        <w:rPr>
          <w:rFonts w:ascii="Times New Roman" w:hAnsi="Times New Roman"/>
        </w:rPr>
        <w:t>El personal del estudio involucrado en la realización de este ensayo debía est</w:t>
      </w:r>
      <w:r>
        <w:rPr>
          <w:rFonts w:ascii="Times New Roman" w:hAnsi="Times New Roman"/>
        </w:rPr>
        <w:t>ar cualificado para</w:t>
      </w:r>
    </w:p>
    <w:p w:rsidR="001B03C2" w:rsidRDefault="009B166E">
      <w:pPr>
        <w:spacing w:line="480" w:lineRule="auto"/>
        <w:jc w:val="both"/>
        <w:rPr>
          <w:rFonts w:ascii="Times New Roman" w:hAnsi="Times New Roman"/>
        </w:rPr>
      </w:pPr>
      <w:r>
        <w:rPr>
          <w:rFonts w:ascii="Times New Roman" w:hAnsi="Times New Roman"/>
        </w:rPr>
        <w:t>llevar a cabo las tareas asignadas y no podría participar en él personal que hubiera sido</w:t>
      </w:r>
    </w:p>
    <w:p w:rsidR="001B03C2" w:rsidRDefault="009B166E">
      <w:pPr>
        <w:spacing w:line="480" w:lineRule="auto"/>
        <w:jc w:val="both"/>
        <w:rPr>
          <w:rFonts w:ascii="Times New Roman" w:hAnsi="Times New Roman"/>
        </w:rPr>
      </w:pPr>
      <w:r>
        <w:rPr>
          <w:rFonts w:ascii="Times New Roman" w:hAnsi="Times New Roman"/>
        </w:rPr>
        <w:t>sancionado y/o suspendido por fraude científico o mala práctica clínica.</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b/>
        </w:rPr>
      </w:pPr>
      <w:r>
        <w:rPr>
          <w:rFonts w:ascii="Times New Roman" w:hAnsi="Times New Roman"/>
        </w:rPr>
        <w:t xml:space="preserve">4.3 </w:t>
      </w:r>
      <w:r>
        <w:rPr>
          <w:rFonts w:ascii="Times New Roman" w:hAnsi="Times New Roman"/>
          <w:b/>
        </w:rPr>
        <w:t>Información a los sujetos y tipo de consentimiento solicitado</w:t>
      </w:r>
    </w:p>
    <w:p w:rsidR="001B03C2" w:rsidRDefault="009B166E">
      <w:pPr>
        <w:spacing w:line="480" w:lineRule="auto"/>
        <w:jc w:val="both"/>
        <w:rPr>
          <w:rFonts w:ascii="Times New Roman" w:hAnsi="Times New Roman"/>
        </w:rPr>
      </w:pPr>
      <w:r>
        <w:rPr>
          <w:rFonts w:ascii="Times New Roman" w:hAnsi="Times New Roman"/>
        </w:rPr>
        <w:t>La obt</w:t>
      </w:r>
      <w:r>
        <w:rPr>
          <w:rFonts w:ascii="Times New Roman" w:hAnsi="Times New Roman"/>
        </w:rPr>
        <w:t>ención del consentimiento informado tuvo en cuenta la legislación vigente y la</w:t>
      </w:r>
    </w:p>
    <w:p w:rsidR="001B03C2" w:rsidRDefault="009B166E">
      <w:pPr>
        <w:spacing w:line="480" w:lineRule="auto"/>
        <w:jc w:val="both"/>
        <w:rPr>
          <w:rFonts w:ascii="Times New Roman" w:hAnsi="Times New Roman"/>
        </w:rPr>
      </w:pPr>
      <w:r>
        <w:rPr>
          <w:rFonts w:ascii="Times New Roman" w:hAnsi="Times New Roman"/>
        </w:rPr>
        <w:t>Declaración de Helsinki y sus modificaciones.</w:t>
      </w:r>
    </w:p>
    <w:p w:rsidR="001B03C2" w:rsidRDefault="009B166E">
      <w:pPr>
        <w:spacing w:line="480" w:lineRule="auto"/>
        <w:jc w:val="both"/>
        <w:rPr>
          <w:rFonts w:ascii="Times New Roman" w:hAnsi="Times New Roman"/>
        </w:rPr>
      </w:pPr>
      <w:r>
        <w:rPr>
          <w:rFonts w:ascii="Times New Roman" w:hAnsi="Times New Roman"/>
        </w:rPr>
        <w:t>Antes de incluir al paciente en el presente ensayo, el investigador debía informar debidamente al</w:t>
      </w:r>
    </w:p>
    <w:p w:rsidR="001B03C2" w:rsidRDefault="009B166E">
      <w:pPr>
        <w:spacing w:line="480" w:lineRule="auto"/>
        <w:jc w:val="both"/>
        <w:rPr>
          <w:rFonts w:ascii="Times New Roman" w:hAnsi="Times New Roman"/>
        </w:rPr>
      </w:pPr>
      <w:r>
        <w:rPr>
          <w:rFonts w:ascii="Times New Roman" w:hAnsi="Times New Roman"/>
        </w:rPr>
        <w:t>paciente. El paciente debía expre</w:t>
      </w:r>
      <w:r>
        <w:rPr>
          <w:rFonts w:ascii="Times New Roman" w:hAnsi="Times New Roman"/>
        </w:rPr>
        <w:t>sar su consentimiento después de haberle dado toda la</w:t>
      </w:r>
    </w:p>
    <w:p w:rsidR="001B03C2" w:rsidRDefault="009B166E">
      <w:pPr>
        <w:spacing w:line="480" w:lineRule="auto"/>
        <w:jc w:val="both"/>
        <w:rPr>
          <w:rFonts w:ascii="Times New Roman" w:hAnsi="Times New Roman"/>
        </w:rPr>
      </w:pPr>
      <w:r>
        <w:rPr>
          <w:rFonts w:ascii="Times New Roman" w:hAnsi="Times New Roman"/>
        </w:rPr>
        <w:t>información pertinente adaptada a su nivel de entendimiento, y se debía documentar mediante</w:t>
      </w:r>
    </w:p>
    <w:p w:rsidR="001B03C2" w:rsidRDefault="009B166E">
      <w:pPr>
        <w:spacing w:line="480" w:lineRule="auto"/>
        <w:jc w:val="both"/>
        <w:rPr>
          <w:rFonts w:ascii="Times New Roman" w:hAnsi="Times New Roman"/>
        </w:rPr>
      </w:pPr>
      <w:r>
        <w:rPr>
          <w:rFonts w:ascii="Times New Roman" w:hAnsi="Times New Roman"/>
        </w:rPr>
        <w:t>una hoja de información para el paciente y el documento de consentimiento. El consentimiento</w:t>
      </w:r>
    </w:p>
    <w:p w:rsidR="001B03C2" w:rsidRDefault="009B166E">
      <w:pPr>
        <w:spacing w:line="480" w:lineRule="auto"/>
        <w:jc w:val="both"/>
        <w:rPr>
          <w:rFonts w:ascii="Times New Roman" w:hAnsi="Times New Roman"/>
        </w:rPr>
      </w:pPr>
      <w:r>
        <w:rPr>
          <w:rFonts w:ascii="Times New Roman" w:hAnsi="Times New Roman"/>
        </w:rPr>
        <w:t>reflejaba la pres</w:t>
      </w:r>
      <w:r>
        <w:rPr>
          <w:rFonts w:ascii="Times New Roman" w:hAnsi="Times New Roman"/>
        </w:rPr>
        <w:t>unta voluntad del sujeto y que podía ser retirado en cualquier momento sin</w:t>
      </w:r>
    </w:p>
    <w:p w:rsidR="001B03C2" w:rsidRDefault="009B166E">
      <w:pPr>
        <w:spacing w:line="480" w:lineRule="auto"/>
        <w:jc w:val="both"/>
        <w:rPr>
          <w:rFonts w:ascii="Times New Roman" w:hAnsi="Times New Roman"/>
        </w:rPr>
      </w:pPr>
      <w:r>
        <w:rPr>
          <w:rFonts w:ascii="Times New Roman" w:hAnsi="Times New Roman"/>
        </w:rPr>
        <w:t>perjuicio para éste. Aquellos sujetos que aceptaron participar también en el subestudio molecular</w:t>
      </w:r>
    </w:p>
    <w:p w:rsidR="001B03C2" w:rsidRDefault="009B166E">
      <w:pPr>
        <w:spacing w:line="480" w:lineRule="auto"/>
        <w:jc w:val="both"/>
        <w:rPr>
          <w:rFonts w:ascii="Times New Roman" w:hAnsi="Times New Roman"/>
        </w:rPr>
      </w:pPr>
      <w:r>
        <w:rPr>
          <w:rFonts w:ascii="Times New Roman" w:hAnsi="Times New Roman"/>
        </w:rPr>
        <w:t>firmaron, además, otro consentimiento informado específico.</w:t>
      </w:r>
    </w:p>
    <w:p w:rsidR="001B03C2" w:rsidRDefault="009B166E">
      <w:pPr>
        <w:spacing w:line="480" w:lineRule="auto"/>
        <w:jc w:val="both"/>
        <w:rPr>
          <w:rFonts w:ascii="Times New Roman" w:hAnsi="Times New Roman"/>
        </w:rPr>
      </w:pPr>
      <w:r>
        <w:rPr>
          <w:rFonts w:ascii="Times New Roman" w:hAnsi="Times New Roman"/>
        </w:rPr>
        <w:t>El investigador debía c</w:t>
      </w:r>
      <w:r>
        <w:rPr>
          <w:rFonts w:ascii="Times New Roman" w:hAnsi="Times New Roman"/>
        </w:rPr>
        <w:t>onceder al sujeto el tiempo para preguntar sobre los detalles del estudio. A</w:t>
      </w:r>
    </w:p>
    <w:p w:rsidR="001B03C2" w:rsidRDefault="009B166E">
      <w:pPr>
        <w:spacing w:line="480" w:lineRule="auto"/>
        <w:jc w:val="both"/>
        <w:rPr>
          <w:rFonts w:ascii="Times New Roman" w:hAnsi="Times New Roman"/>
        </w:rPr>
      </w:pPr>
      <w:r>
        <w:rPr>
          <w:rFonts w:ascii="Times New Roman" w:hAnsi="Times New Roman"/>
        </w:rPr>
        <w:t>continuación el sujeto firmaría y fecharía el consentimiento informado personalmente. El</w:t>
      </w:r>
    </w:p>
    <w:p w:rsidR="001B03C2" w:rsidRDefault="009B166E">
      <w:pPr>
        <w:spacing w:line="480" w:lineRule="auto"/>
        <w:jc w:val="both"/>
        <w:rPr>
          <w:rFonts w:ascii="Times New Roman" w:hAnsi="Times New Roman"/>
        </w:rPr>
      </w:pPr>
      <w:r>
        <w:rPr>
          <w:rFonts w:ascii="Times New Roman" w:hAnsi="Times New Roman"/>
        </w:rPr>
        <w:t>investigador debía suministrar al sujeto copia del formulario de consentimiento y de la ho</w:t>
      </w:r>
      <w:r>
        <w:rPr>
          <w:rFonts w:ascii="Times New Roman" w:hAnsi="Times New Roman"/>
        </w:rPr>
        <w:t>ja de</w:t>
      </w:r>
    </w:p>
    <w:p w:rsidR="001B03C2" w:rsidRDefault="009B166E">
      <w:pPr>
        <w:spacing w:line="480" w:lineRule="auto"/>
        <w:jc w:val="both"/>
        <w:rPr>
          <w:rFonts w:ascii="Times New Roman" w:hAnsi="Times New Roman"/>
        </w:rPr>
      </w:pPr>
      <w:r>
        <w:rPr>
          <w:rFonts w:ascii="Times New Roman" w:hAnsi="Times New Roman"/>
        </w:rPr>
        <w:t>información al paciente.</w:t>
      </w:r>
    </w:p>
    <w:p w:rsidR="001B03C2" w:rsidRDefault="009B166E">
      <w:pPr>
        <w:spacing w:line="480" w:lineRule="auto"/>
        <w:jc w:val="both"/>
        <w:rPr>
          <w:rFonts w:ascii="Times New Roman" w:hAnsi="Times New Roman"/>
        </w:rPr>
      </w:pPr>
      <w:r>
        <w:rPr>
          <w:rFonts w:ascii="Times New Roman" w:hAnsi="Times New Roman"/>
        </w:rPr>
        <w:t>El consentimiento informado y cualquier otra información proporcionada a los sujetos debían ser</w:t>
      </w:r>
    </w:p>
    <w:p w:rsidR="001B03C2" w:rsidRDefault="009B166E">
      <w:pPr>
        <w:spacing w:line="480" w:lineRule="auto"/>
        <w:jc w:val="both"/>
        <w:rPr>
          <w:rFonts w:ascii="Times New Roman" w:hAnsi="Times New Roman"/>
        </w:rPr>
      </w:pPr>
      <w:r>
        <w:rPr>
          <w:rFonts w:ascii="Times New Roman" w:hAnsi="Times New Roman"/>
        </w:rPr>
        <w:t>revisados siempre que se dispusiera de nueva información relevante respecto a la participación</w:t>
      </w:r>
    </w:p>
    <w:p w:rsidR="001B03C2" w:rsidRDefault="009B166E">
      <w:pPr>
        <w:spacing w:line="480" w:lineRule="auto"/>
        <w:jc w:val="both"/>
        <w:rPr>
          <w:rFonts w:ascii="Times New Roman" w:hAnsi="Times New Roman"/>
        </w:rPr>
      </w:pPr>
      <w:r>
        <w:rPr>
          <w:rFonts w:ascii="Times New Roman" w:hAnsi="Times New Roman"/>
        </w:rPr>
        <w:t>voluntaria del sujeto, y debían re</w:t>
      </w:r>
      <w:r>
        <w:rPr>
          <w:rFonts w:ascii="Times New Roman" w:hAnsi="Times New Roman"/>
        </w:rPr>
        <w:t>cibir la aprobación/opinión favorable del CEIC antes de su</w:t>
      </w:r>
    </w:p>
    <w:p w:rsidR="001B03C2" w:rsidRDefault="009B166E">
      <w:pPr>
        <w:spacing w:line="480" w:lineRule="auto"/>
        <w:jc w:val="both"/>
        <w:rPr>
          <w:rFonts w:ascii="Times New Roman" w:hAnsi="Times New Roman"/>
        </w:rPr>
      </w:pPr>
      <w:r>
        <w:rPr>
          <w:rFonts w:ascii="Times New Roman" w:hAnsi="Times New Roman"/>
        </w:rPr>
        <w:t>implantación. El investigador, o la persona designada por él, debían informar completamente al</w:t>
      </w:r>
    </w:p>
    <w:p w:rsidR="001B03C2" w:rsidRDefault="009B166E">
      <w:pPr>
        <w:spacing w:line="480" w:lineRule="auto"/>
        <w:jc w:val="both"/>
        <w:rPr>
          <w:rFonts w:ascii="Times New Roman" w:hAnsi="Times New Roman"/>
        </w:rPr>
      </w:pPr>
      <w:r>
        <w:rPr>
          <w:rFonts w:ascii="Times New Roman" w:hAnsi="Times New Roman"/>
        </w:rPr>
        <w:t>sujeto de todos los aspectos relevantes del estudio, y de cualquier nueva información respecto a</w:t>
      </w:r>
    </w:p>
    <w:p w:rsidR="001B03C2" w:rsidRDefault="009B166E">
      <w:pPr>
        <w:spacing w:line="480" w:lineRule="auto"/>
        <w:jc w:val="both"/>
        <w:rPr>
          <w:rFonts w:ascii="Times New Roman" w:hAnsi="Times New Roman"/>
        </w:rPr>
      </w:pPr>
      <w:r>
        <w:rPr>
          <w:rFonts w:ascii="Times New Roman" w:hAnsi="Times New Roman"/>
        </w:rPr>
        <w:lastRenderedPageBreak/>
        <w:t xml:space="preserve">la </w:t>
      </w:r>
      <w:r>
        <w:rPr>
          <w:rFonts w:ascii="Times New Roman" w:hAnsi="Times New Roman"/>
        </w:rPr>
        <w:t>voluntad del sujeto de continuar su participación en el estudio. Esta comunicación debía</w:t>
      </w:r>
    </w:p>
    <w:p w:rsidR="001B03C2" w:rsidRDefault="009B166E">
      <w:pPr>
        <w:spacing w:line="480" w:lineRule="auto"/>
        <w:jc w:val="both"/>
        <w:rPr>
          <w:rFonts w:ascii="Times New Roman" w:hAnsi="Times New Roman"/>
        </w:rPr>
      </w:pPr>
      <w:r>
        <w:rPr>
          <w:rFonts w:ascii="Times New Roman" w:hAnsi="Times New Roman"/>
        </w:rPr>
        <w:t>documentarse.</w:t>
      </w:r>
    </w:p>
    <w:p w:rsidR="001B03C2" w:rsidRDefault="009B166E">
      <w:pPr>
        <w:spacing w:line="480" w:lineRule="auto"/>
        <w:jc w:val="both"/>
        <w:rPr>
          <w:rFonts w:ascii="Times New Roman" w:hAnsi="Times New Roman"/>
        </w:rPr>
      </w:pPr>
      <w:r>
        <w:rPr>
          <w:rFonts w:ascii="Times New Roman" w:hAnsi="Times New Roman"/>
        </w:rPr>
        <w:t>El sujeto participante en el ensayo clínico podía revocar su consentimiento en cualquier</w:t>
      </w:r>
    </w:p>
    <w:p w:rsidR="001B03C2" w:rsidRDefault="009B166E">
      <w:pPr>
        <w:spacing w:line="480" w:lineRule="auto"/>
        <w:jc w:val="both"/>
        <w:rPr>
          <w:rFonts w:ascii="Times New Roman" w:hAnsi="Times New Roman"/>
        </w:rPr>
      </w:pPr>
      <w:r>
        <w:rPr>
          <w:rFonts w:ascii="Times New Roman" w:hAnsi="Times New Roman"/>
        </w:rPr>
        <w:t>momento, sin expresión de causa y sin que por ello se derivase p</w:t>
      </w:r>
      <w:r>
        <w:rPr>
          <w:rFonts w:ascii="Times New Roman" w:hAnsi="Times New Roman"/>
        </w:rPr>
        <w:t>ara él responsabilidad ni</w:t>
      </w:r>
    </w:p>
    <w:p w:rsidR="001B03C2" w:rsidRDefault="009B166E">
      <w:pPr>
        <w:spacing w:line="480" w:lineRule="auto"/>
        <w:jc w:val="both"/>
        <w:rPr>
          <w:rFonts w:ascii="Times New Roman" w:hAnsi="Times New Roman"/>
        </w:rPr>
      </w:pPr>
      <w:r>
        <w:rPr>
          <w:rFonts w:ascii="Times New Roman" w:hAnsi="Times New Roman"/>
        </w:rPr>
        <w:t>perjuicio alguno.</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b/>
        </w:rPr>
      </w:pPr>
      <w:r>
        <w:rPr>
          <w:rFonts w:ascii="Times New Roman" w:hAnsi="Times New Roman"/>
        </w:rPr>
        <w:t xml:space="preserve">4.3.1 </w:t>
      </w:r>
      <w:r>
        <w:rPr>
          <w:rFonts w:ascii="Times New Roman" w:hAnsi="Times New Roman"/>
          <w:b/>
        </w:rPr>
        <w:t>Confidencialidad</w:t>
      </w:r>
    </w:p>
    <w:p w:rsidR="001B03C2" w:rsidRDefault="009B166E">
      <w:pPr>
        <w:spacing w:line="480" w:lineRule="auto"/>
        <w:jc w:val="both"/>
        <w:rPr>
          <w:rFonts w:ascii="Times New Roman" w:hAnsi="Times New Roman"/>
        </w:rPr>
      </w:pPr>
      <w:r>
        <w:rPr>
          <w:rFonts w:ascii="Times New Roman" w:hAnsi="Times New Roman"/>
        </w:rPr>
        <w:t>El investigador debía garantizar que todas las personas implicadas respetaran la confidencialidad</w:t>
      </w:r>
    </w:p>
    <w:p w:rsidR="001B03C2" w:rsidRDefault="009B166E">
      <w:pPr>
        <w:spacing w:line="480" w:lineRule="auto"/>
        <w:jc w:val="both"/>
        <w:rPr>
          <w:rFonts w:ascii="Times New Roman" w:hAnsi="Times New Roman"/>
        </w:rPr>
      </w:pPr>
      <w:r>
        <w:rPr>
          <w:rFonts w:ascii="Times New Roman" w:hAnsi="Times New Roman"/>
        </w:rPr>
        <w:t>de cualquier información acerca de los sujetos del ensayo.</w:t>
      </w:r>
    </w:p>
    <w:p w:rsidR="001B03C2" w:rsidRDefault="009B166E">
      <w:pPr>
        <w:spacing w:line="480" w:lineRule="auto"/>
        <w:jc w:val="both"/>
        <w:rPr>
          <w:rFonts w:ascii="Times New Roman" w:hAnsi="Times New Roman"/>
        </w:rPr>
      </w:pPr>
      <w:r>
        <w:rPr>
          <w:rFonts w:ascii="Times New Roman" w:hAnsi="Times New Roman"/>
        </w:rPr>
        <w:t xml:space="preserve">Todas las partes implicadas en </w:t>
      </w:r>
      <w:r>
        <w:rPr>
          <w:rFonts w:ascii="Times New Roman" w:hAnsi="Times New Roman"/>
        </w:rPr>
        <w:t>un ensayo clínico guardarían la más estricta confidencialidad de</w:t>
      </w:r>
    </w:p>
    <w:p w:rsidR="001B03C2" w:rsidRDefault="009B166E">
      <w:pPr>
        <w:spacing w:line="480" w:lineRule="auto"/>
        <w:jc w:val="both"/>
        <w:rPr>
          <w:rFonts w:ascii="Times New Roman" w:hAnsi="Times New Roman"/>
        </w:rPr>
      </w:pPr>
      <w:r>
        <w:rPr>
          <w:rFonts w:ascii="Times New Roman" w:hAnsi="Times New Roman"/>
        </w:rPr>
        <w:t>forma que no se violase la intimidad personal ni familiar de los sujetos participantes en el</w:t>
      </w:r>
    </w:p>
    <w:p w:rsidR="001B03C2" w:rsidRDefault="009B166E">
      <w:pPr>
        <w:spacing w:line="480" w:lineRule="auto"/>
        <w:jc w:val="both"/>
        <w:rPr>
          <w:rFonts w:ascii="Times New Roman" w:hAnsi="Times New Roman"/>
        </w:rPr>
      </w:pPr>
      <w:r>
        <w:rPr>
          <w:rFonts w:ascii="Times New Roman" w:hAnsi="Times New Roman"/>
        </w:rPr>
        <w:t>mismo. Asimismo se tomaron las medidas apropiadas para evitar el acceso de personas no</w:t>
      </w:r>
    </w:p>
    <w:p w:rsidR="001B03C2" w:rsidRDefault="009B166E">
      <w:pPr>
        <w:spacing w:line="480" w:lineRule="auto"/>
        <w:jc w:val="both"/>
        <w:rPr>
          <w:rFonts w:ascii="Times New Roman" w:hAnsi="Times New Roman"/>
        </w:rPr>
      </w:pPr>
      <w:r>
        <w:rPr>
          <w:rFonts w:ascii="Times New Roman" w:hAnsi="Times New Roman"/>
        </w:rPr>
        <w:t>autorizadas</w:t>
      </w:r>
      <w:r>
        <w:rPr>
          <w:rFonts w:ascii="Times New Roman" w:hAnsi="Times New Roman"/>
        </w:rPr>
        <w:t xml:space="preserve"> a los datos del ensayo.</w:t>
      </w:r>
    </w:p>
    <w:p w:rsidR="001B03C2" w:rsidRDefault="009B166E">
      <w:pPr>
        <w:spacing w:line="480" w:lineRule="auto"/>
        <w:jc w:val="both"/>
        <w:rPr>
          <w:rFonts w:ascii="Times New Roman" w:hAnsi="Times New Roman"/>
        </w:rPr>
      </w:pPr>
      <w:r>
        <w:rPr>
          <w:rFonts w:ascii="Times New Roman" w:hAnsi="Times New Roman"/>
        </w:rPr>
        <w:t>El tratamiento de los datos de carácter personal de los sujetos participantes en el ensayo, en</w:t>
      </w:r>
    </w:p>
    <w:p w:rsidR="001B03C2" w:rsidRDefault="009B166E">
      <w:pPr>
        <w:spacing w:line="480" w:lineRule="auto"/>
        <w:jc w:val="both"/>
        <w:rPr>
          <w:rFonts w:ascii="Times New Roman" w:hAnsi="Times New Roman"/>
        </w:rPr>
      </w:pPr>
      <w:r>
        <w:rPr>
          <w:rFonts w:ascii="Times New Roman" w:hAnsi="Times New Roman"/>
        </w:rPr>
        <w:t>especial en lo que al consentimiento se refiere, se ajustó a lo establecido en la Ley Orgánica de</w:t>
      </w:r>
    </w:p>
    <w:p w:rsidR="001B03C2" w:rsidRDefault="009B166E">
      <w:pPr>
        <w:spacing w:line="480" w:lineRule="auto"/>
        <w:jc w:val="both"/>
        <w:rPr>
          <w:rFonts w:ascii="Times New Roman" w:hAnsi="Times New Roman"/>
        </w:rPr>
      </w:pPr>
      <w:r>
        <w:rPr>
          <w:rFonts w:ascii="Times New Roman" w:hAnsi="Times New Roman"/>
        </w:rPr>
        <w:t>Protección de Datos de Carácter Person</w:t>
      </w:r>
      <w:r>
        <w:rPr>
          <w:rFonts w:ascii="Times New Roman" w:hAnsi="Times New Roman"/>
        </w:rPr>
        <w:t>al, 15/1999 de 13 de Diciembre y a la Directiva Europea</w:t>
      </w:r>
    </w:p>
    <w:p w:rsidR="001B03C2" w:rsidRDefault="009B166E">
      <w:pPr>
        <w:spacing w:line="480" w:lineRule="auto"/>
        <w:jc w:val="both"/>
        <w:rPr>
          <w:rFonts w:ascii="Times New Roman" w:hAnsi="Times New Roman"/>
        </w:rPr>
      </w:pPr>
      <w:r>
        <w:rPr>
          <w:rFonts w:ascii="Times New Roman" w:hAnsi="Times New Roman"/>
        </w:rPr>
        <w:t>sobre Privacidad de Datos. Los datos fueron objeto de un tratamiento disociado, de modo que la</w:t>
      </w:r>
    </w:p>
    <w:p w:rsidR="001B03C2" w:rsidRDefault="009B166E">
      <w:pPr>
        <w:spacing w:line="480" w:lineRule="auto"/>
        <w:jc w:val="both"/>
        <w:rPr>
          <w:rFonts w:ascii="Times New Roman" w:hAnsi="Times New Roman"/>
        </w:rPr>
      </w:pPr>
      <w:r>
        <w:rPr>
          <w:rFonts w:ascii="Times New Roman" w:hAnsi="Times New Roman"/>
        </w:rPr>
        <w:t>información que se obtuvo no podía asociarse a persona identificada o identificable.</w:t>
      </w:r>
    </w:p>
    <w:p w:rsidR="001B03C2" w:rsidRDefault="009B166E">
      <w:pPr>
        <w:spacing w:line="480" w:lineRule="auto"/>
        <w:jc w:val="both"/>
        <w:rPr>
          <w:rFonts w:ascii="Times New Roman" w:hAnsi="Times New Roman"/>
        </w:rPr>
      </w:pPr>
      <w:r>
        <w:rPr>
          <w:rFonts w:ascii="Times New Roman" w:hAnsi="Times New Roman"/>
        </w:rPr>
        <w:t xml:space="preserve">Los datos obtenidos </w:t>
      </w:r>
      <w:r>
        <w:rPr>
          <w:rFonts w:ascii="Times New Roman" w:hAnsi="Times New Roman"/>
        </w:rPr>
        <w:t>en este estudio fueron revisados por un monitor designado por el promotor y</w:t>
      </w:r>
    </w:p>
    <w:p w:rsidR="001B03C2" w:rsidRDefault="009B166E">
      <w:pPr>
        <w:spacing w:line="480" w:lineRule="auto"/>
        <w:jc w:val="both"/>
        <w:rPr>
          <w:rFonts w:ascii="Times New Roman" w:hAnsi="Times New Roman"/>
        </w:rPr>
      </w:pPr>
      <w:r>
        <w:rPr>
          <w:rFonts w:ascii="Times New Roman" w:hAnsi="Times New Roman"/>
        </w:rPr>
        <w:t>fueron utilizados exclusivamente para obtener conclusiones científicas. La identidad de los</w:t>
      </w:r>
    </w:p>
    <w:p w:rsidR="001B03C2" w:rsidRDefault="009B166E">
      <w:pPr>
        <w:spacing w:line="480" w:lineRule="auto"/>
        <w:jc w:val="both"/>
        <w:rPr>
          <w:rFonts w:ascii="Times New Roman" w:hAnsi="Times New Roman"/>
        </w:rPr>
      </w:pPr>
      <w:r>
        <w:rPr>
          <w:rFonts w:ascii="Times New Roman" w:hAnsi="Times New Roman"/>
        </w:rPr>
        <w:t>pacientes es confidencial y sólo sería reconocida por el investigador y sus colaboradore</w:t>
      </w:r>
      <w:r>
        <w:rPr>
          <w:rFonts w:ascii="Times New Roman" w:hAnsi="Times New Roman"/>
        </w:rPr>
        <w:t>s, los</w:t>
      </w:r>
    </w:p>
    <w:p w:rsidR="001B03C2" w:rsidRDefault="009B166E">
      <w:pPr>
        <w:spacing w:line="480" w:lineRule="auto"/>
        <w:jc w:val="both"/>
        <w:rPr>
          <w:rFonts w:ascii="Times New Roman" w:hAnsi="Times New Roman"/>
        </w:rPr>
      </w:pPr>
      <w:r>
        <w:rPr>
          <w:rFonts w:ascii="Times New Roman" w:hAnsi="Times New Roman"/>
        </w:rPr>
        <w:t>auditores y monitores o sus representantes autorizados por el promotor e inspectores de las</w:t>
      </w:r>
    </w:p>
    <w:p w:rsidR="001B03C2" w:rsidRDefault="009B166E">
      <w:pPr>
        <w:spacing w:line="480" w:lineRule="auto"/>
        <w:jc w:val="both"/>
        <w:rPr>
          <w:rFonts w:ascii="Times New Roman" w:hAnsi="Times New Roman"/>
        </w:rPr>
      </w:pPr>
      <w:r>
        <w:rPr>
          <w:rFonts w:ascii="Times New Roman" w:hAnsi="Times New Roman"/>
        </w:rPr>
        <w:t>autoridades competentes.</w:t>
      </w: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b/>
          <w:bCs/>
        </w:rPr>
      </w:pPr>
      <w:r>
        <w:rPr>
          <w:rFonts w:ascii="Times New Roman" w:hAnsi="Times New Roman"/>
          <w:b/>
          <w:bCs/>
        </w:rPr>
        <w:lastRenderedPageBreak/>
        <w:t>5. INVESTIGADORES Y ESTRUCTURA ADMINISTRATIVA DEL ENSAYO.</w:t>
      </w:r>
    </w:p>
    <w:p w:rsidR="001B03C2" w:rsidRDefault="001B03C2">
      <w:pPr>
        <w:spacing w:line="480" w:lineRule="auto"/>
        <w:jc w:val="both"/>
        <w:rPr>
          <w:rFonts w:ascii="Times New Roman" w:hAnsi="Times New Roman"/>
          <w:b/>
          <w:bCs/>
        </w:rPr>
      </w:pPr>
    </w:p>
    <w:p w:rsidR="001B03C2" w:rsidRDefault="009B166E">
      <w:pPr>
        <w:spacing w:line="480" w:lineRule="auto"/>
        <w:jc w:val="both"/>
        <w:rPr>
          <w:rFonts w:ascii="Times New Roman" w:hAnsi="Times New Roman" w:cs="Times New Roman"/>
          <w:b/>
        </w:rPr>
      </w:pPr>
      <w:r>
        <w:rPr>
          <w:rFonts w:ascii="Times New Roman" w:hAnsi="Times New Roman" w:cs="Times New Roman"/>
          <w:b/>
        </w:rPr>
        <w:t>Investigador principal.</w:t>
      </w:r>
    </w:p>
    <w:p w:rsidR="001B03C2" w:rsidRDefault="009B166E">
      <w:pPr>
        <w:spacing w:line="480" w:lineRule="auto"/>
        <w:jc w:val="both"/>
        <w:rPr>
          <w:rFonts w:ascii="Times New Roman" w:hAnsi="Times New Roman" w:cs="Times New Roman"/>
        </w:rPr>
      </w:pPr>
      <w:r>
        <w:rPr>
          <w:rFonts w:ascii="Times New Roman" w:hAnsi="Times New Roman" w:cs="Times New Roman"/>
        </w:rPr>
        <w:t>David Peral Sánchez, anestesiólogo.</w:t>
      </w:r>
    </w:p>
    <w:p w:rsidR="001B03C2" w:rsidRDefault="009B166E">
      <w:pPr>
        <w:spacing w:line="480" w:lineRule="auto"/>
        <w:jc w:val="both"/>
        <w:rPr>
          <w:rFonts w:ascii="Times New Roman" w:hAnsi="Times New Roman" w:cs="Times New Roman"/>
        </w:rPr>
      </w:pPr>
      <w:r>
        <w:rPr>
          <w:rFonts w:ascii="Times New Roman" w:hAnsi="Times New Roman" w:cs="Times New Roman"/>
        </w:rPr>
        <w:t xml:space="preserve">Consorcio </w:t>
      </w:r>
      <w:r>
        <w:rPr>
          <w:rFonts w:ascii="Times New Roman" w:hAnsi="Times New Roman" w:cs="Times New Roman"/>
        </w:rPr>
        <w:t>Hospitalario Provincial de Castellón.</w:t>
      </w:r>
    </w:p>
    <w:p w:rsidR="001B03C2" w:rsidRDefault="009B166E">
      <w:pPr>
        <w:spacing w:line="480" w:lineRule="auto"/>
        <w:jc w:val="both"/>
        <w:rPr>
          <w:rFonts w:ascii="Times New Roman" w:hAnsi="Times New Roman" w:cs="Times New Roman"/>
        </w:rPr>
      </w:pPr>
      <w:r>
        <w:rPr>
          <w:rFonts w:ascii="Times New Roman" w:hAnsi="Times New Roman" w:cs="Times New Roman"/>
        </w:rPr>
        <w:t>Av. Doctor Clará 19, Castellón de la Plana. Teléfono 964 359 700.</w:t>
      </w:r>
    </w:p>
    <w:p w:rsidR="001B03C2" w:rsidRDefault="001B03C2">
      <w:pPr>
        <w:spacing w:line="480" w:lineRule="auto"/>
        <w:jc w:val="both"/>
        <w:rPr>
          <w:rFonts w:ascii="Times New Roman" w:hAnsi="Times New Roman" w:cs="Times New Roman"/>
          <w:b/>
        </w:rPr>
      </w:pPr>
    </w:p>
    <w:p w:rsidR="001B03C2" w:rsidRDefault="009B166E">
      <w:pPr>
        <w:spacing w:line="480" w:lineRule="auto"/>
        <w:jc w:val="both"/>
        <w:rPr>
          <w:rFonts w:ascii="Times New Roman" w:hAnsi="Times New Roman" w:cs="Times New Roman"/>
          <w:b/>
        </w:rPr>
      </w:pPr>
      <w:r>
        <w:rPr>
          <w:rFonts w:ascii="Times New Roman" w:hAnsi="Times New Roman" w:cs="Times New Roman"/>
          <w:b/>
        </w:rPr>
        <w:t>Datos relativos al promotor.</w:t>
      </w:r>
    </w:p>
    <w:p w:rsidR="001B03C2" w:rsidRDefault="009B166E">
      <w:pPr>
        <w:spacing w:line="480" w:lineRule="auto"/>
        <w:jc w:val="both"/>
        <w:rPr>
          <w:rFonts w:ascii="Times New Roman" w:hAnsi="Times New Roman" w:cs="Times New Roman"/>
        </w:rPr>
      </w:pPr>
      <w:r>
        <w:rPr>
          <w:rFonts w:ascii="Times New Roman" w:hAnsi="Times New Roman" w:cs="Times New Roman"/>
        </w:rPr>
        <w:t>Fundación de la Comunidad Valenciana Hospital Provincial de Castellón (FCVHPC).</w:t>
      </w:r>
    </w:p>
    <w:p w:rsidR="001B03C2" w:rsidRDefault="009B166E">
      <w:pPr>
        <w:spacing w:line="480" w:lineRule="auto"/>
        <w:jc w:val="both"/>
        <w:rPr>
          <w:rFonts w:ascii="Times New Roman" w:hAnsi="Times New Roman" w:cs="Times New Roman"/>
        </w:rPr>
      </w:pPr>
      <w:r>
        <w:rPr>
          <w:rFonts w:ascii="Times New Roman" w:hAnsi="Times New Roman" w:cs="Times New Roman"/>
        </w:rPr>
        <w:t>Av. Doctor Clará 19, Castellón de la Plana</w:t>
      </w:r>
      <w:r>
        <w:rPr>
          <w:rFonts w:ascii="Times New Roman" w:hAnsi="Times New Roman" w:cs="Times New Roman"/>
        </w:rPr>
        <w:t>. Teléfono 964 354 309</w:t>
      </w:r>
    </w:p>
    <w:p w:rsidR="001B03C2" w:rsidRDefault="001B03C2">
      <w:pPr>
        <w:spacing w:line="480" w:lineRule="auto"/>
        <w:ind w:left="142"/>
        <w:jc w:val="both"/>
        <w:rPr>
          <w:rFonts w:ascii="Times New Roman" w:hAnsi="Times New Roman" w:cs="Times New Roman"/>
          <w:b/>
        </w:rPr>
      </w:pPr>
    </w:p>
    <w:p w:rsidR="001B03C2" w:rsidRDefault="001B03C2">
      <w:pPr>
        <w:spacing w:line="480" w:lineRule="auto"/>
        <w:ind w:left="142"/>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rPr>
      </w:pPr>
    </w:p>
    <w:p w:rsidR="001B03C2" w:rsidRDefault="001B03C2">
      <w:pPr>
        <w:shd w:val="clear" w:color="auto" w:fill="FFFFFF"/>
        <w:tabs>
          <w:tab w:val="left" w:pos="6495"/>
        </w:tabs>
        <w:spacing w:line="480" w:lineRule="auto"/>
        <w:jc w:val="both"/>
        <w:rPr>
          <w:rFonts w:ascii="Times New Roman" w:hAnsi="Times New Roman"/>
          <w:b/>
          <w:bCs/>
        </w:rPr>
      </w:pPr>
    </w:p>
    <w:p w:rsidR="001B03C2" w:rsidRDefault="009B166E">
      <w:pPr>
        <w:shd w:val="clear" w:color="auto" w:fill="FFFFFF"/>
        <w:tabs>
          <w:tab w:val="left" w:pos="6495"/>
        </w:tabs>
        <w:spacing w:line="480" w:lineRule="auto"/>
        <w:jc w:val="both"/>
        <w:rPr>
          <w:rFonts w:ascii="Times New Roman" w:eastAsia="SimSun;宋体" w:hAnsi="Times New Roman" w:cs="Arial"/>
          <w:b/>
          <w:bCs/>
          <w:color w:val="000000"/>
          <w:shd w:val="clear" w:color="auto" w:fill="FFFFFF"/>
        </w:rPr>
      </w:pPr>
      <w:r>
        <w:rPr>
          <w:rFonts w:ascii="Times New Roman" w:eastAsia="SimSun;宋体" w:hAnsi="Times New Roman" w:cs="Arial"/>
          <w:b/>
          <w:bCs/>
          <w:color w:val="000000"/>
          <w:shd w:val="clear" w:color="auto" w:fill="FFFFFF"/>
        </w:rPr>
        <w:t>6. INTRODUCCIÓN</w:t>
      </w:r>
    </w:p>
    <w:p w:rsidR="001B03C2" w:rsidRDefault="001B03C2">
      <w:pPr>
        <w:shd w:val="clear" w:color="auto" w:fill="FFFFFF"/>
        <w:tabs>
          <w:tab w:val="left" w:pos="6495"/>
        </w:tabs>
        <w:spacing w:line="480" w:lineRule="auto"/>
        <w:jc w:val="both"/>
        <w:rPr>
          <w:rFonts w:hint="eastAsia"/>
        </w:rPr>
      </w:pPr>
    </w:p>
    <w:p w:rsidR="001B03C2" w:rsidRDefault="009B166E">
      <w:pPr>
        <w:spacing w:line="480" w:lineRule="auto"/>
        <w:jc w:val="both"/>
        <w:rPr>
          <w:rFonts w:ascii="Times New Roman" w:hAnsi="Times New Roman" w:cs="Arial"/>
          <w:b/>
        </w:rPr>
      </w:pPr>
      <w:r>
        <w:rPr>
          <w:rFonts w:ascii="Times New Roman" w:hAnsi="Times New Roman" w:cs="Arial"/>
          <w:b/>
        </w:rPr>
        <w:t>6.1. COLONOSCOPIA.</w:t>
      </w:r>
    </w:p>
    <w:p w:rsidR="001B03C2" w:rsidRDefault="001B03C2">
      <w:pPr>
        <w:spacing w:line="480" w:lineRule="auto"/>
        <w:jc w:val="both"/>
        <w:rPr>
          <w:rFonts w:ascii="Times New Roman" w:hAnsi="Times New Roman" w:cs="Arial"/>
          <w:b/>
        </w:rPr>
      </w:pPr>
    </w:p>
    <w:p w:rsidR="001B03C2" w:rsidRDefault="009B166E">
      <w:pPr>
        <w:spacing w:line="480" w:lineRule="auto"/>
        <w:jc w:val="both"/>
        <w:rPr>
          <w:rFonts w:ascii="Times New Roman" w:hAnsi="Times New Roman" w:cs="Arial"/>
        </w:rPr>
      </w:pPr>
      <w:r>
        <w:rPr>
          <w:rFonts w:ascii="Times New Roman" w:hAnsi="Times New Roman" w:cs="Arial"/>
        </w:rPr>
        <w:t>6.1.1 GENERALIDADES.</w:t>
      </w:r>
    </w:p>
    <w:p w:rsidR="001B03C2" w:rsidRDefault="009B166E">
      <w:pPr>
        <w:spacing w:line="480" w:lineRule="auto"/>
        <w:jc w:val="both"/>
        <w:rPr>
          <w:rFonts w:ascii="Times New Roman" w:hAnsi="Times New Roman" w:cs="Arial"/>
        </w:rPr>
      </w:pPr>
      <w:r>
        <w:rPr>
          <w:rFonts w:ascii="Times New Roman" w:hAnsi="Times New Roman" w:cs="Arial"/>
        </w:rPr>
        <w:lastRenderedPageBreak/>
        <w:t xml:space="preserve">La endoscopia digestiva es un procedimiento diagnóstico-terapéutico en el que se utiliza un sistema de visualización óptica para poder observar en tiempo real el </w:t>
      </w:r>
      <w:r>
        <w:rPr>
          <w:rFonts w:ascii="Times New Roman" w:hAnsi="Times New Roman" w:cs="Arial"/>
        </w:rPr>
        <w:t>interior del tubo digestivo (1). Existen diferentes tipos de endoscopia digestiva. La gastroscopia o endoscopia digestiva alta, es aquel tipo de exploración endoscópica en el que se estudia la parte superior del tubo digestivo, que comprende el esógafo, el</w:t>
      </w:r>
      <w:r>
        <w:rPr>
          <w:rFonts w:ascii="Times New Roman" w:hAnsi="Times New Roman" w:cs="Arial"/>
        </w:rPr>
        <w:t xml:space="preserve"> estómago y el intestino delgado. La colonoscopia o endoscopia digestiva baja, supone la exploración de la parte inferior del tubo digestivo, que comprende recto, sigma, colon descendente, colon transverso y colon ascendente. Con cierta frecuencia en la co</w:t>
      </w:r>
      <w:r>
        <w:rPr>
          <w:rFonts w:ascii="Times New Roman" w:hAnsi="Times New Roman" w:cs="Arial"/>
        </w:rPr>
        <w:t>lonoscopia suele explorarse también el ileon terminal, y es una exploración más dificultosa en cuanto a su realización comparada con la gastroscopia.</w:t>
      </w:r>
    </w:p>
    <w:p w:rsidR="001B03C2" w:rsidRDefault="009B166E">
      <w:pPr>
        <w:spacing w:line="480" w:lineRule="auto"/>
        <w:jc w:val="both"/>
        <w:rPr>
          <w:rFonts w:ascii="Times New Roman" w:hAnsi="Times New Roman" w:cs="Arial"/>
        </w:rPr>
      </w:pPr>
      <w:r>
        <w:rPr>
          <w:rFonts w:ascii="Times New Roman" w:hAnsi="Times New Roman" w:cs="Arial"/>
        </w:rPr>
        <w:t>Para la realización de cualquier tipo de endoscopia digestiva, se utiliza un tubo flexible llamado endosco</w:t>
      </w:r>
      <w:r>
        <w:rPr>
          <w:rFonts w:ascii="Times New Roman" w:hAnsi="Times New Roman" w:cs="Arial"/>
        </w:rPr>
        <w:t>pio ( gastroscopio o colonoscopio según la parte del tubo digestivo a explorar). En su parte distal, el endoscopio posee una cámara que transmite la imagen a una pantalla y que permite la visualización directa de la mucosa digestiva. En el interior de su e</w:t>
      </w:r>
      <w:r>
        <w:rPr>
          <w:rFonts w:ascii="Times New Roman" w:hAnsi="Times New Roman" w:cs="Arial"/>
        </w:rPr>
        <w:t>structura, el endoscopio contiene una serie de canales que permiten insuflar aire  para distender el tubo digestivo y facilitar la visión, inyectar agua para lavar la zona inspeccionada,  e introducir micropinzas, asas de polipectomía y diverso material au</w:t>
      </w:r>
      <w:r>
        <w:rPr>
          <w:rFonts w:ascii="Times New Roman" w:hAnsi="Times New Roman" w:cs="Arial"/>
        </w:rPr>
        <w:t>xiliar que permite la extracción de cuerpos extraños, la toma de muestras de la mucosa digestiva, la extracción de pólipos, la colocación de prótesis y la realización de hemostasia de la zona explorada (2).</w:t>
      </w:r>
    </w:p>
    <w:p w:rsidR="001B03C2" w:rsidRDefault="009B166E">
      <w:pPr>
        <w:spacing w:line="480" w:lineRule="auto"/>
        <w:jc w:val="both"/>
        <w:rPr>
          <w:rFonts w:ascii="Times New Roman" w:hAnsi="Times New Roman" w:cs="Arial"/>
        </w:rPr>
      </w:pPr>
      <w:r>
        <w:rPr>
          <w:rFonts w:ascii="Times New Roman" w:hAnsi="Times New Roman" w:cs="Arial"/>
        </w:rPr>
        <w:t>Las exploraciones endoscópicas son procedimientos</w:t>
      </w:r>
      <w:r>
        <w:rPr>
          <w:rFonts w:ascii="Times New Roman" w:hAnsi="Times New Roman" w:cs="Arial"/>
        </w:rPr>
        <w:t xml:space="preserve"> invasivos, con importantes molestias para el paciente, destacando el dolor como la más frecuente y relevante (3), un número no despreciable de complicaciones hemodinámicas y respiratorias, y una cantidad significativa de exploraciones incompletas por falt</w:t>
      </w:r>
      <w:r>
        <w:rPr>
          <w:rFonts w:ascii="Times New Roman" w:hAnsi="Times New Roman" w:cs="Arial"/>
        </w:rPr>
        <w:t>a de tolerancia de los enfermos (4).</w:t>
      </w:r>
    </w:p>
    <w:p w:rsidR="001B03C2" w:rsidRDefault="009B166E">
      <w:pPr>
        <w:spacing w:line="480" w:lineRule="auto"/>
        <w:jc w:val="both"/>
        <w:rPr>
          <w:rFonts w:ascii="Times New Roman" w:hAnsi="Times New Roman" w:cs="Arial"/>
        </w:rPr>
      </w:pPr>
      <w:r>
        <w:rPr>
          <w:rFonts w:ascii="Times New Roman" w:hAnsi="Times New Roman" w:cs="Arial"/>
        </w:rPr>
        <w:t>Estos problemas se han intentado resolver con la introducción de la sedación y los cuidados monitorizados de los pacientes. Mediante la sedación se trata de aliviar la ansiedad y disminuir la incomodidad del paciente, a</w:t>
      </w:r>
      <w:r>
        <w:rPr>
          <w:rFonts w:ascii="Times New Roman" w:hAnsi="Times New Roman" w:cs="Arial"/>
        </w:rPr>
        <w:t xml:space="preserve">sí como  anular las respuestas motoras no deseadas y asegurar la </w:t>
      </w:r>
      <w:r>
        <w:rPr>
          <w:rFonts w:ascii="Times New Roman" w:hAnsi="Times New Roman" w:cs="Arial"/>
        </w:rPr>
        <w:lastRenderedPageBreak/>
        <w:t>estabilidad hemodinámica y respiratoria (5).</w:t>
      </w:r>
    </w:p>
    <w:p w:rsidR="001B03C2" w:rsidRDefault="009B166E">
      <w:pPr>
        <w:tabs>
          <w:tab w:val="left" w:pos="1980"/>
        </w:tabs>
        <w:spacing w:line="480" w:lineRule="auto"/>
        <w:jc w:val="both"/>
        <w:rPr>
          <w:rFonts w:ascii="Times New Roman" w:hAnsi="Times New Roman" w:cs="Arial"/>
        </w:rPr>
      </w:pPr>
      <w:r>
        <w:rPr>
          <w:rFonts w:ascii="Times New Roman" w:hAnsi="Times New Roman" w:cs="Arial"/>
        </w:rPr>
        <w:t>La incorporación de los anestesiólogos a las Unidades de endoscopias ha supuesto un gran avance, ya que así se garantiza la correcta monitorizació</w:t>
      </w:r>
      <w:r>
        <w:rPr>
          <w:rFonts w:ascii="Times New Roman" w:hAnsi="Times New Roman" w:cs="Arial"/>
        </w:rPr>
        <w:t>n de los pacientes y una sedación y analgesia efectivas, permitiendo la realización de procedimientos cada vez más complejos (6).</w:t>
      </w:r>
    </w:p>
    <w:p w:rsidR="001B03C2" w:rsidRDefault="009B166E">
      <w:pPr>
        <w:tabs>
          <w:tab w:val="left" w:pos="1980"/>
        </w:tabs>
        <w:spacing w:line="480" w:lineRule="auto"/>
        <w:jc w:val="both"/>
        <w:rPr>
          <w:rFonts w:ascii="Times New Roman" w:hAnsi="Times New Roman" w:cs="Arial"/>
          <w:position w:val="2"/>
        </w:rPr>
      </w:pPr>
      <w:r>
        <w:rPr>
          <w:rFonts w:ascii="Times New Roman" w:hAnsi="Times New Roman" w:cs="Arial"/>
          <w:position w:val="2"/>
        </w:rPr>
        <w:t>En opinión de expertos en la materia, las técnicas de sedo-analgesia deben ser realizadas en condiciones de seguridad y de con</w:t>
      </w:r>
      <w:r>
        <w:rPr>
          <w:rFonts w:ascii="Times New Roman" w:hAnsi="Times New Roman" w:cs="Arial"/>
          <w:position w:val="2"/>
        </w:rPr>
        <w:t xml:space="preserve">fort para el paciente, y ejecutadas por personal capacitado para controlar posibles complicaciones, de entre las cuales destacan, por sus trágicas consecuencias, las relacionadas con el manejo de la vía aérea (7). Parece lógico pensar en que ha de ser una </w:t>
      </w:r>
      <w:r>
        <w:rPr>
          <w:rFonts w:ascii="Times New Roman" w:hAnsi="Times New Roman" w:cs="Arial"/>
          <w:position w:val="2"/>
        </w:rPr>
        <w:t>persona la que se dedique específicamente a controlar y sedar al paciente (8) durante la realización de la colonoscopia.</w:t>
      </w:r>
    </w:p>
    <w:p w:rsidR="001B03C2" w:rsidRDefault="009B166E">
      <w:pPr>
        <w:pStyle w:val="Cuerpodetexto"/>
        <w:spacing w:after="200" w:line="480" w:lineRule="auto"/>
        <w:jc w:val="both"/>
        <w:rPr>
          <w:rFonts w:ascii="Times New Roman" w:hAnsi="Times New Roman" w:cs="Arial"/>
        </w:rPr>
      </w:pPr>
      <w:r>
        <w:rPr>
          <w:rFonts w:ascii="Times New Roman" w:hAnsi="Times New Roman" w:cs="Arial"/>
        </w:rPr>
        <w:t>Este hecho cobra mayor importancia si cabe en pacientes con enfermedades que puedan comprometer la situación vital del enfermo, la mayo</w:t>
      </w:r>
      <w:r>
        <w:rPr>
          <w:rFonts w:ascii="Times New Roman" w:hAnsi="Times New Roman" w:cs="Arial"/>
        </w:rPr>
        <w:t>r parte de ellos clasificados como grado ASA 3 dentro de la clasificación del estado de salud de la American Society of Anesthesiology ( A.S.A.). Pero también debemos destacar a los pacientes que pese a no tener patología concomitante de relevancia, pueden</w:t>
      </w:r>
      <w:r>
        <w:rPr>
          <w:rFonts w:ascii="Times New Roman" w:hAnsi="Times New Roman" w:cs="Arial"/>
        </w:rPr>
        <w:t xml:space="preserve"> presentar un difícil manejo de la vía aérea y por tanto es el anestesiólogo el más capacitado para valorar, vigilar y asistir a este tipo de enfermos (9).</w:t>
      </w:r>
    </w:p>
    <w:p w:rsidR="001B03C2" w:rsidRDefault="009B166E">
      <w:pPr>
        <w:pStyle w:val="Cuerpodetexto"/>
        <w:spacing w:after="200" w:line="480" w:lineRule="auto"/>
        <w:jc w:val="both"/>
        <w:rPr>
          <w:rFonts w:ascii="Times New Roman" w:hAnsi="Times New Roman" w:cs="Arial"/>
        </w:rPr>
      </w:pPr>
      <w:r>
        <w:rPr>
          <w:rFonts w:ascii="Times New Roman" w:hAnsi="Times New Roman" w:cs="Arial"/>
        </w:rPr>
        <w:t>6.1.2 INDICACIONES DE COLONOSCOPIA.</w:t>
      </w:r>
    </w:p>
    <w:p w:rsidR="001B03C2" w:rsidRDefault="009B166E">
      <w:pPr>
        <w:spacing w:line="480" w:lineRule="auto"/>
        <w:jc w:val="both"/>
        <w:rPr>
          <w:rFonts w:ascii="Times New Roman" w:hAnsi="Times New Roman" w:cs="Arial"/>
        </w:rPr>
      </w:pPr>
      <w:r>
        <w:rPr>
          <w:rFonts w:ascii="Times New Roman" w:hAnsi="Times New Roman" w:cs="Arial"/>
        </w:rPr>
        <w:t>La colonoscopia tiene dos objetivos fundamentales, diagnóstico y</w:t>
      </w:r>
      <w:r>
        <w:rPr>
          <w:rFonts w:ascii="Times New Roman" w:hAnsi="Times New Roman" w:cs="Arial"/>
        </w:rPr>
        <w:t xml:space="preserve"> terapéutico (2,4). </w:t>
      </w:r>
    </w:p>
    <w:p w:rsidR="001B03C2" w:rsidRDefault="009B166E">
      <w:pPr>
        <w:spacing w:line="480" w:lineRule="auto"/>
        <w:jc w:val="both"/>
        <w:rPr>
          <w:rFonts w:ascii="Times New Roman" w:hAnsi="Times New Roman" w:cs="Arial"/>
        </w:rPr>
      </w:pPr>
      <w:r>
        <w:rPr>
          <w:rFonts w:ascii="Times New Roman" w:hAnsi="Times New Roman" w:cs="Arial"/>
        </w:rPr>
        <w:t>Desde el punto de vista diagnóstico permite, entre otras indicaciones:</w:t>
      </w:r>
    </w:p>
    <w:p w:rsidR="001B03C2" w:rsidRDefault="009B166E">
      <w:pPr>
        <w:numPr>
          <w:ilvl w:val="0"/>
          <w:numId w:val="9"/>
        </w:numPr>
        <w:spacing w:line="480" w:lineRule="auto"/>
        <w:jc w:val="both"/>
        <w:rPr>
          <w:rFonts w:ascii="Times New Roman" w:hAnsi="Times New Roman" w:cs="Arial"/>
        </w:rPr>
      </w:pPr>
      <w:r>
        <w:rPr>
          <w:rFonts w:ascii="Times New Roman" w:hAnsi="Times New Roman" w:cs="Arial"/>
        </w:rPr>
        <w:t>Realizar el diagnóstico precoz o confirmación de la presencia de lesiones neoplásicas.</w:t>
      </w:r>
    </w:p>
    <w:p w:rsidR="001B03C2" w:rsidRDefault="009B166E">
      <w:pPr>
        <w:numPr>
          <w:ilvl w:val="0"/>
          <w:numId w:val="9"/>
        </w:numPr>
        <w:spacing w:line="480" w:lineRule="auto"/>
        <w:jc w:val="both"/>
        <w:rPr>
          <w:rFonts w:ascii="Times New Roman" w:hAnsi="Times New Roman" w:cs="Arial"/>
        </w:rPr>
      </w:pPr>
      <w:r>
        <w:rPr>
          <w:rFonts w:ascii="Times New Roman" w:hAnsi="Times New Roman" w:cs="Arial"/>
        </w:rPr>
        <w:t>Completar el estudio de anemias.</w:t>
      </w:r>
    </w:p>
    <w:p w:rsidR="001B03C2" w:rsidRDefault="009B166E">
      <w:pPr>
        <w:numPr>
          <w:ilvl w:val="0"/>
          <w:numId w:val="9"/>
        </w:numPr>
        <w:spacing w:line="480" w:lineRule="auto"/>
        <w:jc w:val="both"/>
        <w:rPr>
          <w:rFonts w:ascii="Times New Roman" w:hAnsi="Times New Roman" w:cs="Arial"/>
        </w:rPr>
      </w:pPr>
      <w:r>
        <w:rPr>
          <w:rFonts w:ascii="Times New Roman" w:hAnsi="Times New Roman" w:cs="Arial"/>
        </w:rPr>
        <w:t>Valorar los trastornos del ritmo intestinal.</w:t>
      </w:r>
    </w:p>
    <w:p w:rsidR="001B03C2" w:rsidRDefault="009B166E">
      <w:pPr>
        <w:numPr>
          <w:ilvl w:val="0"/>
          <w:numId w:val="9"/>
        </w:numPr>
        <w:spacing w:line="480" w:lineRule="auto"/>
        <w:jc w:val="both"/>
        <w:rPr>
          <w:rFonts w:ascii="Times New Roman" w:hAnsi="Times New Roman" w:cs="Arial"/>
        </w:rPr>
      </w:pPr>
      <w:r>
        <w:rPr>
          <w:rFonts w:ascii="Times New Roman" w:hAnsi="Times New Roman" w:cs="Arial"/>
        </w:rPr>
        <w:t>Valorar la enfermedad diverticular.</w:t>
      </w:r>
    </w:p>
    <w:p w:rsidR="001B03C2" w:rsidRDefault="009B166E">
      <w:pPr>
        <w:numPr>
          <w:ilvl w:val="0"/>
          <w:numId w:val="9"/>
        </w:numPr>
        <w:spacing w:line="480" w:lineRule="auto"/>
        <w:jc w:val="both"/>
        <w:rPr>
          <w:rFonts w:ascii="Times New Roman" w:hAnsi="Times New Roman" w:cs="Arial"/>
        </w:rPr>
      </w:pPr>
      <w:r>
        <w:rPr>
          <w:rFonts w:ascii="Times New Roman" w:hAnsi="Times New Roman" w:cs="Arial"/>
        </w:rPr>
        <w:t>Valorar, diagnosticar y confirmar evolución de enfermedades inflamatorias intestinales.</w:t>
      </w:r>
    </w:p>
    <w:p w:rsidR="001B03C2" w:rsidRDefault="009B166E">
      <w:pPr>
        <w:spacing w:line="480" w:lineRule="auto"/>
        <w:jc w:val="both"/>
        <w:rPr>
          <w:rFonts w:ascii="Times New Roman" w:hAnsi="Times New Roman" w:cs="Arial"/>
        </w:rPr>
      </w:pPr>
      <w:r>
        <w:rPr>
          <w:rFonts w:ascii="Times New Roman" w:hAnsi="Times New Roman" w:cs="Arial"/>
        </w:rPr>
        <w:lastRenderedPageBreak/>
        <w:t>Desde el punto de vista terapéutico, permite:</w:t>
      </w:r>
    </w:p>
    <w:p w:rsidR="001B03C2" w:rsidRDefault="009B166E">
      <w:pPr>
        <w:numPr>
          <w:ilvl w:val="0"/>
          <w:numId w:val="10"/>
        </w:numPr>
        <w:spacing w:line="480" w:lineRule="auto"/>
        <w:jc w:val="both"/>
        <w:rPr>
          <w:rFonts w:ascii="Times New Roman" w:hAnsi="Times New Roman" w:cs="Arial"/>
        </w:rPr>
      </w:pPr>
      <w:r>
        <w:rPr>
          <w:rFonts w:ascii="Times New Roman" w:hAnsi="Times New Roman" w:cs="Arial"/>
        </w:rPr>
        <w:t>Exéresis de lesiones neoplásicas y pólipos.</w:t>
      </w:r>
    </w:p>
    <w:p w:rsidR="001B03C2" w:rsidRDefault="009B166E">
      <w:pPr>
        <w:numPr>
          <w:ilvl w:val="0"/>
          <w:numId w:val="10"/>
        </w:numPr>
        <w:spacing w:line="480" w:lineRule="auto"/>
        <w:jc w:val="both"/>
        <w:rPr>
          <w:rFonts w:ascii="Times New Roman" w:hAnsi="Times New Roman" w:cs="Arial"/>
        </w:rPr>
      </w:pPr>
      <w:r>
        <w:rPr>
          <w:rFonts w:ascii="Times New Roman" w:hAnsi="Times New Roman" w:cs="Arial"/>
        </w:rPr>
        <w:t>Toma de muestras de biopsia para diagnóst</w:t>
      </w:r>
      <w:r>
        <w:rPr>
          <w:rFonts w:ascii="Times New Roman" w:hAnsi="Times New Roman" w:cs="Arial"/>
        </w:rPr>
        <w:t>ico de enfermedades y comprobar evolución de las mismas.</w:t>
      </w:r>
    </w:p>
    <w:p w:rsidR="001B03C2" w:rsidRDefault="009B166E">
      <w:pPr>
        <w:numPr>
          <w:ilvl w:val="0"/>
          <w:numId w:val="10"/>
        </w:numPr>
        <w:spacing w:line="480" w:lineRule="auto"/>
        <w:jc w:val="both"/>
        <w:rPr>
          <w:rFonts w:ascii="Times New Roman" w:hAnsi="Times New Roman" w:cs="Arial"/>
        </w:rPr>
      </w:pPr>
      <w:r>
        <w:rPr>
          <w:rFonts w:ascii="Times New Roman" w:hAnsi="Times New Roman" w:cs="Arial"/>
        </w:rPr>
        <w:t>Realizar la hemostasia de lesiones sangrantes.</w:t>
      </w:r>
    </w:p>
    <w:p w:rsidR="001B03C2" w:rsidRDefault="009B166E">
      <w:pPr>
        <w:numPr>
          <w:ilvl w:val="0"/>
          <w:numId w:val="10"/>
        </w:numPr>
        <w:spacing w:line="480" w:lineRule="auto"/>
        <w:jc w:val="both"/>
        <w:rPr>
          <w:rFonts w:ascii="Times New Roman" w:hAnsi="Times New Roman" w:cs="Arial"/>
        </w:rPr>
      </w:pPr>
      <w:r>
        <w:rPr>
          <w:rFonts w:ascii="Times New Roman" w:hAnsi="Times New Roman" w:cs="Arial"/>
        </w:rPr>
        <w:t>Dilatar de zonas estenóticas del colon y colocación de prótesis.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6.1.3 COMPLICACIONES Y LIMITACIONES DE LA COLONOSCOPIA.</w:t>
      </w:r>
    </w:p>
    <w:p w:rsidR="001B03C2" w:rsidRDefault="009B166E">
      <w:pPr>
        <w:spacing w:line="480" w:lineRule="auto"/>
        <w:jc w:val="both"/>
        <w:rPr>
          <w:rFonts w:ascii="Times New Roman" w:hAnsi="Times New Roman" w:cs="Arial"/>
        </w:rPr>
      </w:pPr>
      <w:r>
        <w:rPr>
          <w:rFonts w:ascii="Times New Roman" w:hAnsi="Times New Roman" w:cs="Arial"/>
        </w:rPr>
        <w:t>La colonoscopia es considerada</w:t>
      </w:r>
      <w:r>
        <w:rPr>
          <w:rFonts w:ascii="Times New Roman" w:hAnsi="Times New Roman" w:cs="Arial"/>
        </w:rPr>
        <w:t xml:space="preserve"> en general como un procedimiento de riesgo bajo. (10, 11). Sin embargo, el creciente volumen de  exploraciones que venimos realizando en los últimos años, hace que las cifras totales de complicaciones, se hayan convertido en un factor  a tener en consider</w:t>
      </w:r>
      <w:r>
        <w:rPr>
          <w:rFonts w:ascii="Times New Roman" w:hAnsi="Times New Roman" w:cs="Arial"/>
        </w:rPr>
        <w:t>ación (12,13).</w:t>
      </w:r>
    </w:p>
    <w:p w:rsidR="001B03C2" w:rsidRDefault="009B166E">
      <w:pPr>
        <w:spacing w:line="480" w:lineRule="auto"/>
        <w:jc w:val="both"/>
        <w:rPr>
          <w:rFonts w:ascii="Times New Roman" w:hAnsi="Times New Roman" w:cs="Arial"/>
        </w:rPr>
      </w:pPr>
      <w:r>
        <w:rPr>
          <w:rFonts w:ascii="Times New Roman" w:hAnsi="Times New Roman" w:cs="Arial"/>
        </w:rPr>
        <w:t>Las principales complicaciones que debemos tener en cuenta son:</w:t>
      </w:r>
    </w:p>
    <w:p w:rsidR="001B03C2" w:rsidRDefault="009B166E">
      <w:pPr>
        <w:numPr>
          <w:ilvl w:val="0"/>
          <w:numId w:val="11"/>
        </w:numPr>
        <w:spacing w:line="480" w:lineRule="auto"/>
        <w:jc w:val="both"/>
        <w:rPr>
          <w:rFonts w:ascii="Times New Roman" w:hAnsi="Times New Roman" w:cs="Arial"/>
        </w:rPr>
      </w:pPr>
      <w:r>
        <w:rPr>
          <w:rFonts w:ascii="Times New Roman" w:hAnsi="Times New Roman" w:cs="Arial"/>
        </w:rPr>
        <w:t>Dolor durante el procedimiento.</w:t>
      </w:r>
    </w:p>
    <w:p w:rsidR="001B03C2" w:rsidRDefault="009B166E">
      <w:pPr>
        <w:numPr>
          <w:ilvl w:val="0"/>
          <w:numId w:val="11"/>
        </w:numPr>
        <w:spacing w:line="480" w:lineRule="auto"/>
        <w:jc w:val="both"/>
        <w:rPr>
          <w:rFonts w:ascii="Times New Roman" w:hAnsi="Times New Roman" w:cs="Arial"/>
        </w:rPr>
      </w:pPr>
      <w:r>
        <w:rPr>
          <w:rFonts w:ascii="Times New Roman" w:hAnsi="Times New Roman" w:cs="Arial"/>
        </w:rPr>
        <w:t>Sangrado postpolipectomía.</w:t>
      </w:r>
    </w:p>
    <w:p w:rsidR="001B03C2" w:rsidRDefault="009B166E">
      <w:pPr>
        <w:numPr>
          <w:ilvl w:val="0"/>
          <w:numId w:val="11"/>
        </w:numPr>
        <w:spacing w:line="480" w:lineRule="auto"/>
        <w:jc w:val="both"/>
        <w:rPr>
          <w:rFonts w:ascii="Times New Roman" w:hAnsi="Times New Roman" w:cs="Arial"/>
        </w:rPr>
      </w:pPr>
      <w:r>
        <w:rPr>
          <w:rFonts w:ascii="Times New Roman" w:hAnsi="Times New Roman" w:cs="Arial"/>
        </w:rPr>
        <w:t>Perforación intestinal.</w:t>
      </w:r>
    </w:p>
    <w:p w:rsidR="001B03C2" w:rsidRDefault="009B166E">
      <w:pPr>
        <w:numPr>
          <w:ilvl w:val="0"/>
          <w:numId w:val="11"/>
        </w:numPr>
        <w:spacing w:line="480" w:lineRule="auto"/>
        <w:jc w:val="both"/>
        <w:rPr>
          <w:rFonts w:ascii="Times New Roman" w:hAnsi="Times New Roman" w:cs="Arial"/>
        </w:rPr>
      </w:pPr>
      <w:r>
        <w:rPr>
          <w:rFonts w:ascii="Times New Roman" w:hAnsi="Times New Roman" w:cs="Arial"/>
        </w:rPr>
        <w:t>No finalización de la exploración.</w:t>
      </w:r>
    </w:p>
    <w:p w:rsidR="001B03C2" w:rsidRDefault="009B166E">
      <w:pPr>
        <w:spacing w:line="480" w:lineRule="auto"/>
        <w:jc w:val="both"/>
        <w:rPr>
          <w:rFonts w:ascii="Times New Roman" w:hAnsi="Times New Roman" w:cs="Arial"/>
        </w:rPr>
      </w:pPr>
      <w:r>
        <w:rPr>
          <w:rFonts w:ascii="Times New Roman" w:hAnsi="Times New Roman" w:cs="Arial"/>
        </w:rPr>
        <w:t>Diferentes estudios se han centrado en la detección de este</w:t>
      </w:r>
      <w:r>
        <w:rPr>
          <w:rFonts w:ascii="Times New Roman" w:hAnsi="Times New Roman" w:cs="Arial"/>
        </w:rPr>
        <w:t xml:space="preserve"> tipo de complicaciones (13,14). El sangrado tras exéresis de una lesión o la toma de muestras de biopsia suele ser la complicación registrada más frecuentemente. Por otra parte, la perforación intestinal sería la complicación de carácter grave más frecuen</w:t>
      </w:r>
      <w:r>
        <w:rPr>
          <w:rFonts w:ascii="Times New Roman" w:hAnsi="Times New Roman" w:cs="Arial"/>
        </w:rPr>
        <w:t>te. Pese a esto, la tasa de mortalidad relacionada con el procedimiento es muy baja en casi todos los estudios.</w:t>
      </w:r>
    </w:p>
    <w:p w:rsidR="001B03C2" w:rsidRDefault="009B166E">
      <w:pPr>
        <w:spacing w:line="480" w:lineRule="auto"/>
        <w:jc w:val="both"/>
        <w:rPr>
          <w:rFonts w:ascii="Times New Roman" w:hAnsi="Times New Roman" w:cs="Arial"/>
        </w:rPr>
      </w:pPr>
      <w:r>
        <w:rPr>
          <w:rFonts w:ascii="Times New Roman" w:hAnsi="Times New Roman" w:cs="Arial"/>
        </w:rPr>
        <w:t>Un acontecimiento que no suele ser tenido en cuenta en este tipo de estudios es la no finalización de la exploración, o la realización parcial d</w:t>
      </w:r>
      <w:r>
        <w:rPr>
          <w:rFonts w:ascii="Times New Roman" w:hAnsi="Times New Roman" w:cs="Arial"/>
        </w:rPr>
        <w:t xml:space="preserve">e la misma. Éste hecho, en sí mismo no tendría trascendencia si no fuera por las consecuencias de la no detección de una determinada enfermedad </w:t>
      </w:r>
      <w:r>
        <w:rPr>
          <w:rFonts w:ascii="Times New Roman" w:hAnsi="Times New Roman" w:cs="Arial"/>
        </w:rPr>
        <w:lastRenderedPageBreak/>
        <w:t>(16). De hecho, el no completar una exploración de colon puede suponer obviar una lesión neoplásica o preneoplás</w:t>
      </w:r>
      <w:r>
        <w:rPr>
          <w:rFonts w:ascii="Times New Roman" w:hAnsi="Times New Roman" w:cs="Arial"/>
        </w:rPr>
        <w:t xml:space="preserve">ica subsidiaria de diagnóstico precoz e incluso de tratamiento in situ. </w:t>
      </w:r>
    </w:p>
    <w:p w:rsidR="001B03C2" w:rsidRDefault="009B166E">
      <w:pPr>
        <w:spacing w:line="480" w:lineRule="auto"/>
        <w:jc w:val="both"/>
        <w:rPr>
          <w:rFonts w:ascii="Times New Roman" w:hAnsi="Times New Roman" w:cs="Arial"/>
        </w:rPr>
      </w:pPr>
      <w:r>
        <w:rPr>
          <w:rFonts w:ascii="Times New Roman" w:hAnsi="Times New Roman" w:cs="Arial"/>
        </w:rPr>
        <w:t>Queda claro de esta manera la importancia de la colonoscopia como medio para la detección precoz de lesiones colónicas, el control de su evolución e incluso su tratamiento.</w:t>
      </w:r>
    </w:p>
    <w:p w:rsidR="001B03C2" w:rsidRDefault="009B166E">
      <w:pPr>
        <w:spacing w:line="480" w:lineRule="auto"/>
        <w:jc w:val="both"/>
        <w:rPr>
          <w:rFonts w:ascii="Times New Roman" w:hAnsi="Times New Roman" w:cs="Arial"/>
        </w:rPr>
      </w:pPr>
      <w:r>
        <w:rPr>
          <w:rFonts w:ascii="Times New Roman" w:hAnsi="Times New Roman" w:cs="Arial"/>
        </w:rPr>
        <w:t>Sin embarg</w:t>
      </w:r>
      <w:r>
        <w:rPr>
          <w:rFonts w:ascii="Times New Roman" w:hAnsi="Times New Roman" w:cs="Arial"/>
        </w:rPr>
        <w:t>o, pese a los beneficios potenciales de esta prueba, la colonoscopia tiene sus limitaciones, por lo que no puede aplicarse a todos los pacientes, o se aplica tomando precauciones especiales.</w:t>
      </w:r>
    </w:p>
    <w:p w:rsidR="001B03C2" w:rsidRDefault="009B166E">
      <w:pPr>
        <w:spacing w:line="480" w:lineRule="auto"/>
        <w:jc w:val="both"/>
        <w:rPr>
          <w:rFonts w:ascii="Times New Roman" w:hAnsi="Times New Roman" w:cs="Arial"/>
        </w:rPr>
      </w:pPr>
      <w:r>
        <w:rPr>
          <w:rFonts w:ascii="Times New Roman" w:hAnsi="Times New Roman" w:cs="Arial"/>
        </w:rPr>
        <w:t>Las contraindicaciones absolutas para realizar una colonoscopia s</w:t>
      </w:r>
      <w:r>
        <w:rPr>
          <w:rFonts w:ascii="Times New Roman" w:hAnsi="Times New Roman" w:cs="Arial"/>
        </w:rPr>
        <w:t>on escasas. Fundamentalmente son aquellos casos en los que existe una negativa del paciente a someterse a la prueba, la sospecha de perforación intestinal, un proceso de diverticulitis aguda grave y el megacolon tóxico o colitis fulminante(2).</w:t>
      </w:r>
    </w:p>
    <w:p w:rsidR="001B03C2" w:rsidRDefault="009B166E">
      <w:pPr>
        <w:spacing w:line="480" w:lineRule="auto"/>
        <w:jc w:val="both"/>
        <w:rPr>
          <w:rFonts w:ascii="Times New Roman" w:hAnsi="Times New Roman" w:cs="Arial"/>
        </w:rPr>
      </w:pPr>
      <w:r>
        <w:rPr>
          <w:rFonts w:ascii="Times New Roman" w:hAnsi="Times New Roman" w:cs="Arial"/>
        </w:rPr>
        <w:t>Dentro de la</w:t>
      </w:r>
      <w:r>
        <w:rPr>
          <w:rFonts w:ascii="Times New Roman" w:hAnsi="Times New Roman" w:cs="Arial"/>
        </w:rPr>
        <w:t>s contraindicaciones relativas, podemos incluir un grupo de situaciones que deberán ser valoradas individualmente por el equipo encargado del procedimiento. Así, cualquier situación en el estado de salud del paciente en la que la realización de una colonos</w:t>
      </w:r>
      <w:r>
        <w:rPr>
          <w:rFonts w:ascii="Times New Roman" w:hAnsi="Times New Roman" w:cs="Arial"/>
        </w:rPr>
        <w:t>copia suponga una desestabilización del mismo, podría considerarse una contraindicación relativa para realizar la colonoscopia ( como por ejemplo una insuficiencia respiratoria o cardíaca descompensada, un paciente no colaborador, etc.).</w:t>
      </w:r>
    </w:p>
    <w:p w:rsidR="001B03C2" w:rsidRDefault="009B166E">
      <w:pPr>
        <w:spacing w:line="480" w:lineRule="auto"/>
        <w:jc w:val="both"/>
        <w:rPr>
          <w:rFonts w:ascii="Times New Roman" w:hAnsi="Times New Roman" w:cs="Arial"/>
        </w:rPr>
      </w:pPr>
      <w:r>
        <w:rPr>
          <w:rFonts w:ascii="Times New Roman" w:hAnsi="Times New Roman" w:cs="Arial"/>
        </w:rPr>
        <w:t>Aparte de las cont</w:t>
      </w:r>
      <w:r>
        <w:rPr>
          <w:rFonts w:ascii="Times New Roman" w:hAnsi="Times New Roman" w:cs="Arial"/>
        </w:rPr>
        <w:t>raindicaciones, existen situaciones que limitan este tipo de procedimientos :</w:t>
      </w:r>
    </w:p>
    <w:p w:rsidR="001B03C2" w:rsidRDefault="009B166E">
      <w:pPr>
        <w:numPr>
          <w:ilvl w:val="0"/>
          <w:numId w:val="1"/>
        </w:numPr>
        <w:spacing w:line="480" w:lineRule="auto"/>
        <w:jc w:val="both"/>
        <w:rPr>
          <w:rFonts w:ascii="Times New Roman" w:hAnsi="Times New Roman" w:cs="Arial"/>
        </w:rPr>
      </w:pPr>
      <w:r>
        <w:rPr>
          <w:rFonts w:ascii="Times New Roman" w:hAnsi="Times New Roman" w:cs="Arial"/>
        </w:rPr>
        <w:t>Ansiedad anticiparoria del paciente ante el posible resultado de la prueba (17).</w:t>
      </w:r>
    </w:p>
    <w:p w:rsidR="001B03C2" w:rsidRDefault="009B166E">
      <w:pPr>
        <w:numPr>
          <w:ilvl w:val="0"/>
          <w:numId w:val="1"/>
        </w:numPr>
        <w:spacing w:line="480" w:lineRule="auto"/>
        <w:jc w:val="both"/>
        <w:rPr>
          <w:rFonts w:ascii="Times New Roman" w:hAnsi="Times New Roman" w:cs="Arial"/>
        </w:rPr>
      </w:pPr>
      <w:r>
        <w:rPr>
          <w:rFonts w:ascii="Times New Roman" w:hAnsi="Times New Roman" w:cs="Arial"/>
        </w:rPr>
        <w:t>Temor o vergüenza del paciente por la naturaleza del abordaje, al precisar realizarla a través de</w:t>
      </w:r>
      <w:r>
        <w:rPr>
          <w:rFonts w:ascii="Times New Roman" w:hAnsi="Times New Roman" w:cs="Arial"/>
        </w:rPr>
        <w:t>l ano (18).</w:t>
      </w:r>
    </w:p>
    <w:p w:rsidR="001B03C2" w:rsidRDefault="009B166E">
      <w:pPr>
        <w:numPr>
          <w:ilvl w:val="0"/>
          <w:numId w:val="1"/>
        </w:numPr>
        <w:spacing w:line="480" w:lineRule="auto"/>
        <w:jc w:val="both"/>
        <w:rPr>
          <w:rFonts w:ascii="Times New Roman" w:hAnsi="Times New Roman" w:cs="Arial"/>
        </w:rPr>
      </w:pPr>
      <w:r>
        <w:rPr>
          <w:rFonts w:ascii="Times New Roman" w:hAnsi="Times New Roman" w:cs="Arial"/>
        </w:rPr>
        <w:t>Necesidad de realizar una preparación previa del intestino (2,4), realizando una dieta estricta y toma de soluciones evacuantes, para poder visualizar la mucosa intestinal.</w:t>
      </w:r>
    </w:p>
    <w:p w:rsidR="001B03C2" w:rsidRDefault="009B166E">
      <w:pPr>
        <w:numPr>
          <w:ilvl w:val="0"/>
          <w:numId w:val="1"/>
        </w:numPr>
        <w:spacing w:line="480" w:lineRule="auto"/>
        <w:jc w:val="both"/>
        <w:rPr>
          <w:rFonts w:ascii="Times New Roman" w:hAnsi="Times New Roman" w:cs="Arial"/>
        </w:rPr>
      </w:pPr>
      <w:r>
        <w:rPr>
          <w:rFonts w:ascii="Times New Roman" w:hAnsi="Times New Roman" w:cs="Arial"/>
        </w:rPr>
        <w:t xml:space="preserve">El dolor durante la exploración. </w:t>
      </w:r>
    </w:p>
    <w:p w:rsidR="001B03C2" w:rsidRDefault="009B166E">
      <w:pPr>
        <w:spacing w:line="480" w:lineRule="auto"/>
        <w:jc w:val="both"/>
        <w:rPr>
          <w:rFonts w:ascii="Times New Roman" w:hAnsi="Times New Roman" w:cs="Arial"/>
        </w:rPr>
      </w:pPr>
      <w:r>
        <w:rPr>
          <w:rFonts w:ascii="Times New Roman" w:hAnsi="Times New Roman" w:cs="Arial"/>
        </w:rPr>
        <w:t>El dolor supone la limitación princip</w:t>
      </w:r>
      <w:r>
        <w:rPr>
          <w:rFonts w:ascii="Times New Roman" w:hAnsi="Times New Roman" w:cs="Arial"/>
        </w:rPr>
        <w:t xml:space="preserve">al a la hora de realizar una colonoscopia (18,19). El estímulo doloroso es producido por la propia introducción del colonoscopio dentro del intestino, por la </w:t>
      </w:r>
      <w:r>
        <w:rPr>
          <w:rFonts w:ascii="Times New Roman" w:hAnsi="Times New Roman" w:cs="Arial"/>
        </w:rPr>
        <w:lastRenderedPageBreak/>
        <w:t>distensión de las paredes intestinales con gas ( aire o CO</w:t>
      </w:r>
      <w:r>
        <w:rPr>
          <w:rFonts w:ascii="Times New Roman" w:hAnsi="Times New Roman" w:cs="Arial"/>
          <w:vertAlign w:val="subscript"/>
        </w:rPr>
        <w:t>2</w:t>
      </w:r>
      <w:r>
        <w:rPr>
          <w:rFonts w:ascii="Times New Roman" w:hAnsi="Times New Roman" w:cs="Arial"/>
        </w:rPr>
        <w:t xml:space="preserve">), y por las maniobras necesarias para </w:t>
      </w:r>
      <w:r>
        <w:rPr>
          <w:rFonts w:ascii="Times New Roman" w:hAnsi="Times New Roman" w:cs="Arial"/>
        </w:rPr>
        <w:t>salvar las curvas fisiológicas, sobre todo a nivel de sigma, ángulo esplénico y ángulo hepático (4). Estas distensiones y tracciones sobre el propio tejido intestinal y sobre el mesocolon, generan estímulos sobre las terminaciones nerviosas sensitivas inte</w:t>
      </w:r>
      <w:r>
        <w:rPr>
          <w:rFonts w:ascii="Times New Roman" w:hAnsi="Times New Roman" w:cs="Arial"/>
        </w:rPr>
        <w:t>stinales, originando un dolor abdominal de tipo visceral (20,21).</w:t>
      </w:r>
    </w:p>
    <w:p w:rsidR="001B03C2" w:rsidRDefault="009B166E">
      <w:pPr>
        <w:spacing w:line="480" w:lineRule="auto"/>
        <w:jc w:val="both"/>
        <w:rPr>
          <w:rFonts w:ascii="Times New Roman" w:hAnsi="Times New Roman" w:cs="Arial"/>
        </w:rPr>
      </w:pPr>
      <w:r>
        <w:rPr>
          <w:rFonts w:ascii="Times New Roman" w:hAnsi="Times New Roman" w:cs="Arial"/>
        </w:rPr>
        <w:t>Además del cuadro doloroso, con frecuencia acontecen, asociados a éste, manifestaciones de tipo vegetativo tales como palidez cutánea, mareo, sudoración y bradicardia. Este conjunto de sínto</w:t>
      </w:r>
      <w:r>
        <w:rPr>
          <w:rFonts w:ascii="Times New Roman" w:hAnsi="Times New Roman" w:cs="Arial"/>
        </w:rPr>
        <w:t xml:space="preserve">mas se producen secundariamente a la aparición del dolor, seguramente tras integración de esa información nerviosa en una amplia y difusa red neuronal central (22). </w:t>
      </w:r>
    </w:p>
    <w:p w:rsidR="001B03C2" w:rsidRDefault="009B166E">
      <w:pPr>
        <w:spacing w:line="480" w:lineRule="auto"/>
        <w:jc w:val="both"/>
        <w:rPr>
          <w:rFonts w:ascii="Times New Roman" w:hAnsi="Times New Roman" w:cs="Arial"/>
        </w:rPr>
      </w:pPr>
      <w:r>
        <w:rPr>
          <w:rFonts w:ascii="Times New Roman" w:hAnsi="Times New Roman" w:cs="Arial"/>
        </w:rPr>
        <w:t>Es por tanto, el dolor, el factor que resulta más influyente en la valoración de la técnic</w:t>
      </w:r>
      <w:r>
        <w:rPr>
          <w:rFonts w:ascii="Times New Roman" w:hAnsi="Times New Roman" w:cs="Arial"/>
        </w:rPr>
        <w:t>a por parte de los pacientes, como queda demostrado en un estudio diseñado para validar una escala de satisfacción del paciente en colonoscopias (18).</w:t>
      </w:r>
    </w:p>
    <w:p w:rsidR="001B03C2" w:rsidRDefault="009B166E">
      <w:pPr>
        <w:spacing w:line="480" w:lineRule="auto"/>
        <w:jc w:val="both"/>
        <w:rPr>
          <w:rFonts w:ascii="Times New Roman" w:hAnsi="Times New Roman" w:cs="Arial"/>
        </w:rPr>
      </w:pPr>
      <w:r>
        <w:rPr>
          <w:rFonts w:ascii="Times New Roman" w:hAnsi="Times New Roman" w:cs="Arial"/>
        </w:rPr>
        <w:t>Estas limitaciones se ven agravadas en aquellos casos en los que el paciente se ve sometido a la explorac</w:t>
      </w:r>
      <w:r>
        <w:rPr>
          <w:rFonts w:ascii="Times New Roman" w:hAnsi="Times New Roman" w:cs="Arial"/>
        </w:rPr>
        <w:t>ión en varias ocasiones,  en los que las exploraciones resulten de mayor duración y en aquellos que tienen experiencias previas de exploraciones colonoscópicas sin sedación farmacológica.</w:t>
      </w:r>
    </w:p>
    <w:p w:rsidR="001B03C2" w:rsidRDefault="009B166E">
      <w:pPr>
        <w:spacing w:line="480" w:lineRule="auto"/>
        <w:jc w:val="both"/>
        <w:rPr>
          <w:rFonts w:ascii="Times New Roman" w:hAnsi="Times New Roman" w:cs="Arial"/>
          <w:b/>
          <w:bCs/>
        </w:rPr>
      </w:pPr>
      <w:r>
        <w:rPr>
          <w:rFonts w:ascii="Times New Roman" w:hAnsi="Times New Roman" w:cs="Arial"/>
          <w:b/>
          <w:bCs/>
        </w:rPr>
        <w:t>6.2. JUSTIFICACIÓN DE LA SEDACIÓN EN COLONOSCOPIAS.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Pese a estas co</w:t>
      </w:r>
      <w:r>
        <w:rPr>
          <w:rFonts w:ascii="Times New Roman" w:hAnsi="Times New Roman" w:cs="Arial"/>
        </w:rPr>
        <w:t xml:space="preserve">nsideraciones, universalmente aceptadas, y bajo el amparo de considerar la colonoscopia como un procedimiento ambulatorio de bajo riesgo, todavía hoy en día se siguen realizando exploraciones sin sedación farmacológica. Ciertamente, no pocos pacientes son </w:t>
      </w:r>
      <w:r>
        <w:rPr>
          <w:rFonts w:ascii="Times New Roman" w:hAnsi="Times New Roman" w:cs="Arial"/>
        </w:rPr>
        <w:t xml:space="preserve">capaces de tolerar la introducción y avance del colonoscopio así como la distensión intestinal, más aún si la exploración es realizada por un facultativo experimentado. De hecho, existen estudios que afirman que la colonoscopia sin sedación puede llegar a </w:t>
      </w:r>
      <w:r>
        <w:rPr>
          <w:rFonts w:ascii="Times New Roman" w:hAnsi="Times New Roman" w:cs="Arial"/>
        </w:rPr>
        <w:t xml:space="preserve">ser percibida por los pacientes con un nivel de satisfacción aceptable (23,24). E incluso publicaciones que no encuentran diferencias significativas </w:t>
      </w:r>
      <w:r>
        <w:rPr>
          <w:rFonts w:ascii="Times New Roman" w:hAnsi="Times New Roman" w:cs="Arial"/>
        </w:rPr>
        <w:lastRenderedPageBreak/>
        <w:t>en cuanto a la tasa de éxitos respecto a la colonoscopia con sedación (25).</w:t>
      </w:r>
    </w:p>
    <w:p w:rsidR="001B03C2" w:rsidRDefault="009B166E">
      <w:pPr>
        <w:spacing w:line="480" w:lineRule="auto"/>
        <w:jc w:val="both"/>
        <w:rPr>
          <w:rFonts w:ascii="Times New Roman" w:hAnsi="Times New Roman" w:cs="Arial"/>
        </w:rPr>
      </w:pPr>
      <w:r>
        <w:rPr>
          <w:rFonts w:ascii="Times New Roman" w:hAnsi="Times New Roman" w:cs="Arial"/>
        </w:rPr>
        <w:t>Las ventajas de realizar la col</w:t>
      </w:r>
      <w:r>
        <w:rPr>
          <w:rFonts w:ascii="Times New Roman" w:hAnsi="Times New Roman" w:cs="Arial"/>
        </w:rPr>
        <w:t>onoscopia sin sedación farmacológica se han expuesto por diversos autores (26), y podrían resumirse de la siguiente manera:</w:t>
      </w:r>
    </w:p>
    <w:p w:rsidR="001B03C2" w:rsidRDefault="009B166E">
      <w:pPr>
        <w:spacing w:line="480" w:lineRule="auto"/>
        <w:jc w:val="both"/>
        <w:rPr>
          <w:rFonts w:ascii="Times New Roman" w:hAnsi="Times New Roman" w:cs="Arial"/>
        </w:rPr>
      </w:pPr>
      <w:r>
        <w:rPr>
          <w:rFonts w:ascii="Times New Roman" w:hAnsi="Times New Roman" w:cs="Arial"/>
        </w:rPr>
        <w:t>- Al no utilizar medicación, se evita el riesgo de alergias o reacciones adversas derivadas de su empleo.</w:t>
      </w:r>
    </w:p>
    <w:p w:rsidR="001B03C2" w:rsidRDefault="009B166E">
      <w:pPr>
        <w:spacing w:line="480" w:lineRule="auto"/>
        <w:jc w:val="both"/>
        <w:rPr>
          <w:rFonts w:ascii="Times New Roman" w:hAnsi="Times New Roman" w:cs="Arial"/>
        </w:rPr>
      </w:pPr>
      <w:r>
        <w:rPr>
          <w:rFonts w:ascii="Times New Roman" w:hAnsi="Times New Roman" w:cs="Arial"/>
        </w:rPr>
        <w:t>- La comunicación con el p</w:t>
      </w:r>
      <w:r>
        <w:rPr>
          <w:rFonts w:ascii="Times New Roman" w:hAnsi="Times New Roman" w:cs="Arial"/>
        </w:rPr>
        <w:t>aciente está conservada, al no administrar fármacos que alteren su estado de consciencia.</w:t>
      </w:r>
    </w:p>
    <w:p w:rsidR="001B03C2" w:rsidRDefault="009B166E">
      <w:pPr>
        <w:spacing w:line="480" w:lineRule="auto"/>
        <w:jc w:val="both"/>
        <w:rPr>
          <w:rFonts w:ascii="Times New Roman" w:hAnsi="Times New Roman" w:cs="Arial"/>
        </w:rPr>
      </w:pPr>
      <w:r>
        <w:rPr>
          <w:rFonts w:ascii="Times New Roman" w:hAnsi="Times New Roman" w:cs="Arial"/>
        </w:rPr>
        <w:t>- No es estrictamente necesario que el paciente venga acompañado para la prueba ni que tenga posteriormente un tiempo de espera para asegurar la metabolización de los</w:t>
      </w:r>
      <w:r>
        <w:rPr>
          <w:rFonts w:ascii="Times New Roman" w:hAnsi="Times New Roman" w:cs="Arial"/>
        </w:rPr>
        <w:t xml:space="preserve"> sedantes.</w:t>
      </w:r>
    </w:p>
    <w:p w:rsidR="001B03C2" w:rsidRDefault="009B166E">
      <w:pPr>
        <w:spacing w:line="480" w:lineRule="auto"/>
        <w:jc w:val="both"/>
        <w:rPr>
          <w:rFonts w:ascii="Times New Roman" w:hAnsi="Times New Roman" w:cs="Arial"/>
        </w:rPr>
      </w:pPr>
      <w:r>
        <w:rPr>
          <w:rFonts w:ascii="Times New Roman" w:hAnsi="Times New Roman" w:cs="Arial"/>
        </w:rPr>
        <w:t>- El propio paciente podría realizar los cambios posturales necesarios durante la exploración.</w:t>
      </w:r>
    </w:p>
    <w:p w:rsidR="001B03C2" w:rsidRDefault="009B166E">
      <w:pPr>
        <w:spacing w:line="480" w:lineRule="auto"/>
        <w:jc w:val="both"/>
        <w:rPr>
          <w:rFonts w:ascii="Times New Roman" w:hAnsi="Times New Roman" w:cs="Arial"/>
        </w:rPr>
      </w:pPr>
      <w:r>
        <w:rPr>
          <w:rFonts w:ascii="Times New Roman" w:hAnsi="Times New Roman" w:cs="Arial"/>
        </w:rPr>
        <w:t>- Ahorro de los costes económicos en cuanto a personal dedicado a la sedación y fármacos empleados.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 xml:space="preserve">Sin embargo, la anatomía de la zona explorada, y el tipo de transmisión nerviosa que acontece durante la colonoscopia, hacen de éste un procedimiento siempre doloroso, en mayor  o menor medida, pudiendo llegar a ser inaceptable por el  paciente (27,28,29) </w:t>
      </w:r>
      <w:r>
        <w:rPr>
          <w:rFonts w:ascii="Times New Roman" w:hAnsi="Times New Roman" w:cs="Arial"/>
        </w:rPr>
        <w:t>y con una tasa de éxitos inadecuada para una correcta praxis médica.</w:t>
      </w:r>
    </w:p>
    <w:p w:rsidR="001B03C2" w:rsidRDefault="009B166E">
      <w:pPr>
        <w:spacing w:line="480" w:lineRule="auto"/>
        <w:jc w:val="both"/>
        <w:rPr>
          <w:rFonts w:ascii="Times New Roman" w:hAnsi="Times New Roman" w:cs="Arial"/>
        </w:rPr>
      </w:pPr>
      <w:r>
        <w:rPr>
          <w:rFonts w:ascii="Times New Roman" w:hAnsi="Times New Roman" w:cs="Arial"/>
        </w:rPr>
        <w:t>Parece pues clara la necesidad de al menos minimizar las molestias durante la exploración endoscópica, por lo que se han llevado a cabo estudios con diversos métodos alternativos o comple</w:t>
      </w:r>
      <w:r>
        <w:rPr>
          <w:rFonts w:ascii="Times New Roman" w:hAnsi="Times New Roman" w:cs="Arial"/>
        </w:rPr>
        <w:t>mentarios a la sedación farmacológica convencional, con la intención de reducir la dosis de sedación necesaria o incluso llegar a sustituirla. Así, métodos como la hipnosis (30), la audición de música (31), el empleo de agua templada (32), la insuflación d</w:t>
      </w:r>
      <w:r>
        <w:rPr>
          <w:rFonts w:ascii="Times New Roman" w:hAnsi="Times New Roman" w:cs="Arial"/>
        </w:rPr>
        <w:t>e dióxido de carbono en lugar de aire (33), o el empleo de endoscopios de pequeño calibre (34,35) han presentado resultados no concluyentes, y para su aplicación sería necesaria la formación del personal de la unidades de endoscopias así como la adaptación</w:t>
      </w:r>
      <w:r>
        <w:rPr>
          <w:rFonts w:ascii="Times New Roman" w:hAnsi="Times New Roman" w:cs="Arial"/>
        </w:rPr>
        <w:t xml:space="preserve"> de los medios hoy en día disponibles. La demanda de sedación </w:t>
      </w:r>
      <w:r>
        <w:rPr>
          <w:rFonts w:ascii="Times New Roman" w:hAnsi="Times New Roman" w:cs="Arial"/>
        </w:rPr>
        <w:lastRenderedPageBreak/>
        <w:t>para los procedimientos gastrointestinales ha sufrido un aumento espectacular en la última década. Las razones de este fenómeno son múltiples. Por una parte la aparición de técnicas de exploraci</w:t>
      </w:r>
      <w:r>
        <w:rPr>
          <w:rFonts w:ascii="Times New Roman" w:hAnsi="Times New Roman" w:cs="Arial"/>
        </w:rPr>
        <w:t>ón cada vez más complejas, como la colangiopanceratografía retrógada endoscópica( CPRE) o la ultrasonografía. Por otra parte, el incremento del número de colonoscopias para el control de diversas enfermedades intestinales y sobre todo para los programas de</w:t>
      </w:r>
      <w:r>
        <w:rPr>
          <w:rFonts w:ascii="Times New Roman" w:hAnsi="Times New Roman" w:cs="Arial"/>
        </w:rPr>
        <w:t xml:space="preserve"> detección precoz del cáncer de colon.</w:t>
      </w:r>
    </w:p>
    <w:p w:rsidR="001B03C2" w:rsidRDefault="009B166E">
      <w:pPr>
        <w:spacing w:line="480" w:lineRule="auto"/>
        <w:jc w:val="both"/>
        <w:rPr>
          <w:rFonts w:ascii="Times New Roman" w:hAnsi="Times New Roman" w:cs="Arial"/>
        </w:rPr>
      </w:pPr>
      <w:r>
        <w:rPr>
          <w:rFonts w:ascii="Times New Roman" w:hAnsi="Times New Roman" w:cs="Arial"/>
        </w:rPr>
        <w:t>Es pues, necesario, encontrar un método que garantice la posibilidad de realizar todo este tipo de procedimientos manteniendo la seguridad del paciente, y evitando los efectos adversos inherentes a estas técnicas, com</w:t>
      </w:r>
      <w:r>
        <w:rPr>
          <w:rFonts w:ascii="Times New Roman" w:hAnsi="Times New Roman" w:cs="Arial"/>
        </w:rPr>
        <w:t>o son el dolor y la ansiedad.</w:t>
      </w:r>
    </w:p>
    <w:p w:rsidR="001B03C2" w:rsidRDefault="009B166E">
      <w:pPr>
        <w:spacing w:line="480" w:lineRule="auto"/>
        <w:jc w:val="both"/>
        <w:rPr>
          <w:rFonts w:ascii="Times New Roman" w:hAnsi="Times New Roman" w:cs="Arial"/>
        </w:rPr>
      </w:pPr>
      <w:r>
        <w:rPr>
          <w:rFonts w:ascii="Times New Roman" w:hAnsi="Times New Roman" w:cs="Arial"/>
        </w:rPr>
        <w:t>La utilización de fármacos supone el método más extendido para proporcionar sedación, amnesia y analgesia a los pacientes sometidos a una colonoscopia. Realmente es el único método con una efectividad constatada y confirmada a</w:t>
      </w:r>
      <w:r>
        <w:rPr>
          <w:rFonts w:ascii="Times New Roman" w:hAnsi="Times New Roman" w:cs="Arial"/>
        </w:rPr>
        <w:t xml:space="preserve"> través de la experiencia y múltiples estudios clínicos. El objetivo es siempre proporcionar las condiciones que permitan finalizar la exploración, aliviar el dolor, disminuir la ansiedad y preservar la función cardiorespiratoria (5). </w:t>
      </w:r>
    </w:p>
    <w:p w:rsidR="001B03C2" w:rsidRDefault="009B166E">
      <w:pPr>
        <w:spacing w:line="480" w:lineRule="auto"/>
        <w:jc w:val="both"/>
        <w:rPr>
          <w:rFonts w:ascii="Times New Roman" w:eastAsia="AdvPSA322" w:hAnsi="Times New Roman" w:cs="Arial"/>
          <w:color w:val="000000"/>
        </w:rPr>
      </w:pPr>
      <w:r>
        <w:rPr>
          <w:rFonts w:ascii="Times New Roman" w:hAnsi="Times New Roman" w:cs="Arial"/>
        </w:rPr>
        <w:t xml:space="preserve">Un estudio de la American Cancer Society estimó que menos del 30% de la población de adultos de más de 50 años se sometía de forma rutinaria a una exploración colonoscópica para despistaje de cáncer de colon, </w:t>
      </w:r>
      <w:r>
        <w:rPr>
          <w:rFonts w:ascii="Times New Roman" w:eastAsia="AdvPSA322" w:hAnsi="Times New Roman" w:cs="Arial"/>
          <w:color w:val="000000"/>
        </w:rPr>
        <w:t>a pesar de los intentos de las asociaciones con</w:t>
      </w:r>
      <w:r>
        <w:rPr>
          <w:rFonts w:ascii="Times New Roman" w:eastAsia="AdvPSA322" w:hAnsi="Times New Roman" w:cs="Arial"/>
          <w:color w:val="000000"/>
        </w:rPr>
        <w:t>tra el cáncer por aumentar esos porcentajes.</w:t>
      </w:r>
    </w:p>
    <w:p w:rsidR="001B03C2" w:rsidRDefault="009B166E">
      <w:pPr>
        <w:spacing w:line="480" w:lineRule="auto"/>
        <w:jc w:val="both"/>
        <w:rPr>
          <w:rFonts w:ascii="Times New Roman" w:eastAsia="AdvPSA322" w:hAnsi="Times New Roman" w:cs="AdvPSA322"/>
          <w:color w:val="000000"/>
        </w:rPr>
      </w:pPr>
      <w:r>
        <w:rPr>
          <w:rFonts w:ascii="Times New Roman" w:eastAsia="AdvPSA322" w:hAnsi="Times New Roman" w:cs="Arial"/>
          <w:color w:val="000000"/>
        </w:rPr>
        <w:t>Al analizar las causas por las que la población no se sometía a esta prueba, destacó ,como una de las principales, la percepción por parte de los pacientes de que se trataba de un procedimiento desagradable y do</w:t>
      </w:r>
      <w:r>
        <w:rPr>
          <w:rFonts w:ascii="Times New Roman" w:eastAsia="AdvPSA322" w:hAnsi="Times New Roman" w:cs="Arial"/>
          <w:color w:val="000000"/>
        </w:rPr>
        <w:t>loroso</w:t>
      </w:r>
      <w:r>
        <w:rPr>
          <w:rFonts w:ascii="Times New Roman" w:eastAsia="AdvPSA322" w:hAnsi="Times New Roman" w:cs="AdvPSA322"/>
          <w:color w:val="000000"/>
        </w:rPr>
        <w:t>.</w:t>
      </w:r>
    </w:p>
    <w:p w:rsidR="001B03C2" w:rsidRDefault="009B166E">
      <w:pPr>
        <w:spacing w:line="480" w:lineRule="auto"/>
        <w:jc w:val="both"/>
        <w:rPr>
          <w:rFonts w:ascii="Times New Roman" w:hAnsi="Times New Roman" w:cs="Arial"/>
          <w:color w:val="000000"/>
        </w:rPr>
      </w:pPr>
      <w:r>
        <w:rPr>
          <w:rFonts w:ascii="Times New Roman" w:hAnsi="Times New Roman" w:cs="Arial"/>
        </w:rPr>
        <w:t>La comodidad y la colaboración del paciente es , por tanto, primordial para el éxito de la prueba. Por eso la mayoría de los pacientes prefieren el uso de sedación y de  analgesia durante la colonoscopia.</w:t>
      </w:r>
      <w:r>
        <w:rPr>
          <w:rFonts w:ascii="Times New Roman" w:hAnsi="Times New Roman" w:cs="Arial"/>
          <w:color w:val="000000"/>
        </w:rPr>
        <w:t xml:space="preserve"> . El uso de sedantes puede mejorar el rendi</w:t>
      </w:r>
      <w:r>
        <w:rPr>
          <w:rFonts w:ascii="Times New Roman" w:hAnsi="Times New Roman" w:cs="Arial"/>
          <w:color w:val="000000"/>
        </w:rPr>
        <w:t>miento de la exploración e incrementar las tasas de finalización de las colonoscopias y de detección de pólipos colónicos.</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lastRenderedPageBreak/>
        <w:t xml:space="preserve">Otro aspecto fundamental a resaltar es el del personal responsable de administrar la sedación en las colonoscopias. </w:t>
      </w:r>
      <w:r>
        <w:rPr>
          <w:rFonts w:ascii="Times New Roman" w:eastAsia="Arial" w:hAnsi="Times New Roman" w:cs="Arial"/>
          <w:color w:val="000000"/>
        </w:rPr>
        <w:t xml:space="preserve">Lo que ahora nos </w:t>
      </w:r>
      <w:r>
        <w:rPr>
          <w:rFonts w:ascii="Times New Roman" w:eastAsia="Arial" w:hAnsi="Times New Roman" w:cs="Arial"/>
          <w:color w:val="000000"/>
        </w:rPr>
        <w:t xml:space="preserve">parece claro no siempre ha sido así. </w:t>
      </w:r>
      <w:r>
        <w:rPr>
          <w:rFonts w:ascii="Times New Roman" w:hAnsi="Times New Roman" w:cs="Arial"/>
          <w:color w:val="000000"/>
        </w:rPr>
        <w:t xml:space="preserve">En los primeros tiempos de la endoscopia, era una práctica habitual que la sedación y la analgesia fueran proporcionadas por el propio endoscopista, que solía indicar una benzodiacepina, como el diacepam, y un opiáceo, </w:t>
      </w:r>
      <w:r>
        <w:rPr>
          <w:rFonts w:ascii="Times New Roman" w:hAnsi="Times New Roman" w:cs="Arial"/>
          <w:color w:val="000000"/>
        </w:rPr>
        <w:t>como la meperidina, que eran administrados por el personal de enfermería. La monitorización la realizaba el médico a través de la observación visual periódica y/o el personal de enfermería. En cuanto a la administración de oxígeno (O</w:t>
      </w:r>
      <w:r>
        <w:rPr>
          <w:rFonts w:ascii="Times New Roman" w:hAnsi="Times New Roman" w:cs="Arial"/>
          <w:color w:val="000000"/>
          <w:vertAlign w:val="subscript"/>
        </w:rPr>
        <w:t>2</w:t>
      </w:r>
      <w:r>
        <w:rPr>
          <w:rFonts w:ascii="Times New Roman" w:hAnsi="Times New Roman" w:cs="Arial"/>
          <w:color w:val="000000"/>
        </w:rPr>
        <w:t>) suplementario no hab</w:t>
      </w:r>
      <w:r>
        <w:rPr>
          <w:rFonts w:ascii="Times New Roman" w:hAnsi="Times New Roman" w:cs="Arial"/>
          <w:color w:val="000000"/>
        </w:rPr>
        <w:t>ía nada establecido.</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Sin embargo, atendiendo a la seguridad durante el procedimiento, el endoscopista no debería dividir su atención entre la ejecución del procedimiento y el mantenimiento de la sedación. Es por esta razón por la que se aconseja la partici</w:t>
      </w:r>
      <w:r>
        <w:rPr>
          <w:rFonts w:ascii="Times New Roman" w:hAnsi="Times New Roman" w:cs="Arial"/>
          <w:color w:val="000000"/>
        </w:rPr>
        <w:t>pación de personal experto en sedación y asistencia al paciente.</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En muchos centros esta labor es realizada por personal de enfermería, pero en múltiples ocasiones las características del procedimiento y el estado basal del paciente obligan a una asistencia</w:t>
      </w:r>
      <w:r>
        <w:rPr>
          <w:rFonts w:ascii="Times New Roman" w:hAnsi="Times New Roman" w:cs="Arial"/>
          <w:color w:val="000000"/>
        </w:rPr>
        <w:t xml:space="preserve"> más completa. En nuestro entorno es el anestesiólogo el profesional más capacitado para ello, por lo que se ha visto implicado en la atención de muchos de estos pacientes (38).</w:t>
      </w:r>
    </w:p>
    <w:p w:rsidR="001B03C2" w:rsidRDefault="009B166E">
      <w:pPr>
        <w:spacing w:line="480" w:lineRule="auto"/>
        <w:jc w:val="both"/>
        <w:rPr>
          <w:rFonts w:ascii="Times New Roman" w:hAnsi="Times New Roman" w:cs="Arial"/>
        </w:rPr>
      </w:pPr>
      <w:r>
        <w:rPr>
          <w:rFonts w:ascii="Times New Roman" w:hAnsi="Times New Roman" w:cs="Arial"/>
        </w:rPr>
        <w:t>En nuestro país, la implantación de protocolos para la sedación de procedimien</w:t>
      </w:r>
      <w:r>
        <w:rPr>
          <w:rFonts w:ascii="Times New Roman" w:hAnsi="Times New Roman" w:cs="Arial"/>
        </w:rPr>
        <w:t>tos endoscópicos varía enormemente de unos centros hospitalarios a otros, no estando claramente establecido qué tipo de paciente es subsidiario de recibir o no sedación (35). Generalmente, los pacientes sanos y los procedimientos menos complejos, son reali</w:t>
      </w:r>
      <w:r>
        <w:rPr>
          <w:rFonts w:ascii="Times New Roman" w:hAnsi="Times New Roman" w:cs="Arial"/>
        </w:rPr>
        <w:t xml:space="preserve">zados sin sedación farmacológica, mientras que los procedimientos más complejos , los pacientes pluripatológicos, los niños y los adultos que no cooperan suelen requerir de la participación del anestesiólogo (36). </w:t>
      </w:r>
    </w:p>
    <w:p w:rsidR="001B03C2" w:rsidRDefault="009B166E">
      <w:pPr>
        <w:spacing w:line="480" w:lineRule="auto"/>
        <w:jc w:val="both"/>
        <w:rPr>
          <w:rFonts w:ascii="Times New Roman" w:hAnsi="Times New Roman" w:cs="Arial"/>
        </w:rPr>
      </w:pPr>
      <w:r>
        <w:rPr>
          <w:rFonts w:ascii="Times New Roman" w:hAnsi="Times New Roman" w:cs="Arial"/>
        </w:rPr>
        <w:t>En cualquier caso es necesario que, indep</w:t>
      </w:r>
      <w:r>
        <w:rPr>
          <w:rFonts w:ascii="Times New Roman" w:hAnsi="Times New Roman" w:cs="Arial"/>
        </w:rPr>
        <w:t>endientemente de la técnica empleada para aliviar la situación de estrés del paciente, el endoscopista centre su atención en el procedimiento endoscópico (37). De otra manera, la atención recibida por el paciente se vería afectada negativamente. Será el an</w:t>
      </w:r>
      <w:r>
        <w:rPr>
          <w:rFonts w:ascii="Times New Roman" w:hAnsi="Times New Roman" w:cs="Arial"/>
        </w:rPr>
        <w:t>estesiólogo, el garante de la seguridad del paciente durante el procedimiento de sedación.</w:t>
      </w:r>
    </w:p>
    <w:p w:rsidR="001B03C2" w:rsidRDefault="009B166E">
      <w:pPr>
        <w:spacing w:line="480" w:lineRule="auto"/>
        <w:jc w:val="both"/>
        <w:rPr>
          <w:rFonts w:ascii="Times New Roman" w:hAnsi="Times New Roman" w:cs="Arial"/>
        </w:rPr>
      </w:pPr>
      <w:r>
        <w:rPr>
          <w:rFonts w:ascii="Times New Roman" w:hAnsi="Times New Roman" w:cs="Arial"/>
        </w:rPr>
        <w:t xml:space="preserve">La sedación farmacológica es, por tanto, el método más ampliamente utilizado para favorecer la </w:t>
      </w:r>
      <w:r>
        <w:rPr>
          <w:rFonts w:ascii="Times New Roman" w:hAnsi="Times New Roman" w:cs="Arial"/>
        </w:rPr>
        <w:lastRenderedPageBreak/>
        <w:t>realización del procedimiento. Son muchos los fármacos empleados y las</w:t>
      </w:r>
      <w:r>
        <w:rPr>
          <w:rFonts w:ascii="Times New Roman" w:hAnsi="Times New Roman" w:cs="Arial"/>
        </w:rPr>
        <w:t xml:space="preserve"> vías y formas de administración ( vía oral, intravenosa, subcutánea, intramuscular o inhalatoria) y están en investigación o ya en el mercado nuevos fármacos para la sedación y la analgesia y se están mejorando los estándares de monitorización así como lo</w:t>
      </w:r>
      <w:r>
        <w:rPr>
          <w:rFonts w:ascii="Times New Roman" w:hAnsi="Times New Roman" w:cs="Arial"/>
        </w:rPr>
        <w:t>s criterios de alta para estos pacientes.</w:t>
      </w:r>
    </w:p>
    <w:p w:rsidR="001B03C2" w:rsidRDefault="009B166E">
      <w:pPr>
        <w:spacing w:line="480" w:lineRule="auto"/>
        <w:jc w:val="both"/>
        <w:rPr>
          <w:rFonts w:ascii="Times New Roman" w:hAnsi="Times New Roman" w:cs="Arial"/>
        </w:rPr>
      </w:pPr>
      <w:r>
        <w:rPr>
          <w:rFonts w:ascii="Times New Roman" w:hAnsi="Times New Roman" w:cs="Arial"/>
        </w:rPr>
        <w:t xml:space="preserve">Pero llevar a cabo una sedación no trata simplemente de indicar un fármaco a una determinada dosis. Es un procedimiento amplio y complejo constituido por una serie de elementos que, bien enlazados entre sí aportan </w:t>
      </w:r>
      <w:r>
        <w:rPr>
          <w:rFonts w:ascii="Times New Roman" w:hAnsi="Times New Roman" w:cs="Arial"/>
        </w:rPr>
        <w:t>condiciones de calidad en el trato con los pacientes:</w:t>
      </w:r>
    </w:p>
    <w:p w:rsidR="001B03C2" w:rsidRDefault="009B166E">
      <w:pPr>
        <w:spacing w:line="480" w:lineRule="auto"/>
        <w:jc w:val="both"/>
        <w:rPr>
          <w:rFonts w:ascii="Times New Roman" w:hAnsi="Times New Roman" w:cs="Arial"/>
        </w:rPr>
      </w:pPr>
      <w:r>
        <w:rPr>
          <w:rFonts w:ascii="Times New Roman" w:hAnsi="Times New Roman" w:cs="Arial"/>
        </w:rPr>
        <w:t>- Establecimiento y desarrollo de planes de promoción por parte de las instituciones científicas y estamentos gubernamentales para la detección precoz y control de patología intestinal.</w:t>
      </w:r>
    </w:p>
    <w:p w:rsidR="001B03C2" w:rsidRDefault="009B166E">
      <w:pPr>
        <w:spacing w:line="480" w:lineRule="auto"/>
        <w:jc w:val="both"/>
        <w:rPr>
          <w:rFonts w:ascii="Times New Roman" w:hAnsi="Times New Roman" w:cs="Arial"/>
        </w:rPr>
      </w:pPr>
      <w:r>
        <w:rPr>
          <w:rFonts w:ascii="Times New Roman" w:hAnsi="Times New Roman" w:cs="Arial"/>
        </w:rPr>
        <w:t>- Definición del</w:t>
      </w:r>
      <w:r>
        <w:rPr>
          <w:rFonts w:ascii="Times New Roman" w:hAnsi="Times New Roman" w:cs="Arial"/>
        </w:rPr>
        <w:t xml:space="preserve"> lugar físico adecuado en el que poder realizar este tipo de exploraciones, y dotarlo adecuadamente con personal y material.</w:t>
      </w:r>
    </w:p>
    <w:p w:rsidR="001B03C2" w:rsidRDefault="009B166E">
      <w:pPr>
        <w:spacing w:line="480" w:lineRule="auto"/>
        <w:jc w:val="both"/>
        <w:rPr>
          <w:rFonts w:ascii="Times New Roman" w:hAnsi="Times New Roman" w:cs="Arial"/>
        </w:rPr>
      </w:pPr>
      <w:r>
        <w:rPr>
          <w:rFonts w:ascii="Times New Roman" w:hAnsi="Times New Roman" w:cs="Arial"/>
        </w:rPr>
        <w:t>- Evaluación previa del estado de salud o enfermedad de los pacientes y preparación de los mismos para optimizar su condición físic</w:t>
      </w:r>
      <w:r>
        <w:rPr>
          <w:rFonts w:ascii="Times New Roman" w:hAnsi="Times New Roman" w:cs="Arial"/>
        </w:rPr>
        <w:t>a en el momento de la exploración.</w:t>
      </w:r>
    </w:p>
    <w:p w:rsidR="001B03C2" w:rsidRDefault="009B166E">
      <w:pPr>
        <w:spacing w:line="480" w:lineRule="auto"/>
        <w:jc w:val="both"/>
        <w:rPr>
          <w:rFonts w:ascii="Times New Roman" w:hAnsi="Times New Roman" w:cs="Arial"/>
        </w:rPr>
      </w:pPr>
      <w:r>
        <w:rPr>
          <w:rFonts w:ascii="Times New Roman" w:hAnsi="Times New Roman" w:cs="Arial"/>
        </w:rPr>
        <w:t>- Determinar el nivel de sedación que pudiera ser necesario para cada tipo de paciente, dependiendo de la edad, patología concomitante, complejidad de la exploración, etc. Y disponer de los medios técnicos y farmacológico</w:t>
      </w:r>
      <w:r>
        <w:rPr>
          <w:rFonts w:ascii="Times New Roman" w:hAnsi="Times New Roman" w:cs="Arial"/>
        </w:rPr>
        <w:t>s necesarios.</w:t>
      </w:r>
    </w:p>
    <w:p w:rsidR="001B03C2" w:rsidRDefault="009B166E">
      <w:pPr>
        <w:spacing w:line="480" w:lineRule="auto"/>
        <w:jc w:val="both"/>
        <w:rPr>
          <w:rFonts w:ascii="Times New Roman" w:hAnsi="Times New Roman" w:cs="Arial"/>
        </w:rPr>
      </w:pPr>
      <w:r>
        <w:rPr>
          <w:rFonts w:ascii="Times New Roman" w:hAnsi="Times New Roman" w:cs="Arial"/>
        </w:rPr>
        <w:t>-Prever la posibilidad de complicaciones antes, durante y posteriormente a la realización de la colonoscopia, y disponer de lugar y medios para subsanarlas.</w:t>
      </w:r>
    </w:p>
    <w:p w:rsidR="001B03C2" w:rsidRDefault="009B166E">
      <w:pPr>
        <w:spacing w:line="480" w:lineRule="auto"/>
        <w:jc w:val="both"/>
        <w:rPr>
          <w:rFonts w:ascii="Times New Roman" w:hAnsi="Times New Roman" w:cs="Arial"/>
        </w:rPr>
      </w:pPr>
      <w:r>
        <w:rPr>
          <w:rFonts w:ascii="Times New Roman" w:hAnsi="Times New Roman" w:cs="Arial"/>
        </w:rPr>
        <w:t xml:space="preserve">- Establecer unos criterios de recuperación postanestésica validados que permitan un </w:t>
      </w:r>
      <w:r>
        <w:rPr>
          <w:rFonts w:ascii="Times New Roman" w:hAnsi="Times New Roman" w:cs="Arial"/>
        </w:rPr>
        <w:t>rápido recambio de pacientes manteniendo las condiciones de seguridad.</w:t>
      </w:r>
    </w:p>
    <w:p w:rsidR="001B03C2" w:rsidRDefault="009B166E">
      <w:pPr>
        <w:spacing w:line="480" w:lineRule="auto"/>
        <w:jc w:val="both"/>
        <w:rPr>
          <w:rFonts w:ascii="Times New Roman" w:hAnsi="Times New Roman" w:cs="Arial"/>
        </w:rPr>
      </w:pPr>
      <w:r>
        <w:rPr>
          <w:rFonts w:ascii="Times New Roman" w:hAnsi="Times New Roman" w:cs="Arial"/>
        </w:rPr>
        <w:t>- Disponer de fármacos que permitan obtener el plano de sedoanalgesia deseado, completar las exploraciones endoscópicas en ausencia de complicaciones graves y proporcionar las condicion</w:t>
      </w:r>
      <w:r>
        <w:rPr>
          <w:rFonts w:ascii="Times New Roman" w:hAnsi="Times New Roman" w:cs="Arial"/>
        </w:rPr>
        <w:t xml:space="preserve">es óptimas para la recuperación y alta precoz de los pacientes. </w:t>
      </w:r>
    </w:p>
    <w:p w:rsidR="001B03C2" w:rsidRDefault="001B03C2">
      <w:pPr>
        <w:spacing w:line="480" w:lineRule="auto"/>
        <w:jc w:val="both"/>
        <w:rPr>
          <w:rFonts w:ascii="Times New Roman" w:hAnsi="Times New Roman" w:cs="Arial"/>
        </w:rPr>
      </w:pPr>
    </w:p>
    <w:p w:rsidR="001B03C2" w:rsidRDefault="009B166E">
      <w:pPr>
        <w:tabs>
          <w:tab w:val="left" w:pos="3060"/>
        </w:tabs>
        <w:spacing w:line="480" w:lineRule="auto"/>
        <w:jc w:val="both"/>
        <w:rPr>
          <w:rFonts w:ascii="Times New Roman" w:hAnsi="Times New Roman" w:cs="Arial"/>
          <w:b/>
        </w:rPr>
      </w:pPr>
      <w:r>
        <w:rPr>
          <w:rFonts w:ascii="Times New Roman" w:hAnsi="Times New Roman" w:cs="Arial"/>
          <w:b/>
        </w:rPr>
        <w:t>6.3. ASPECTOS PRÁCTICOS SOBRE SEDACIÓN EN COLONOSCOPIAS.</w:t>
      </w:r>
    </w:p>
    <w:p w:rsidR="001B03C2" w:rsidRDefault="001B03C2">
      <w:pPr>
        <w:tabs>
          <w:tab w:val="left" w:pos="3060"/>
        </w:tabs>
        <w:spacing w:line="480" w:lineRule="auto"/>
        <w:jc w:val="both"/>
        <w:rPr>
          <w:rFonts w:ascii="Times New Roman" w:hAnsi="Times New Roman"/>
        </w:rPr>
      </w:pPr>
    </w:p>
    <w:p w:rsidR="001B03C2" w:rsidRDefault="001B03C2">
      <w:pPr>
        <w:spacing w:line="480" w:lineRule="auto"/>
        <w:ind w:left="142"/>
        <w:jc w:val="both"/>
        <w:rPr>
          <w:rFonts w:ascii="Times New Roman" w:hAnsi="Times New Roman"/>
        </w:rPr>
      </w:pPr>
    </w:p>
    <w:p w:rsidR="001B03C2" w:rsidRPr="00AA2F17" w:rsidRDefault="009B166E">
      <w:pPr>
        <w:spacing w:line="480" w:lineRule="auto"/>
        <w:jc w:val="both"/>
        <w:rPr>
          <w:rFonts w:ascii="Times New Roman" w:hAnsi="Times New Roman" w:cs="Arial"/>
        </w:rPr>
      </w:pPr>
      <w:r w:rsidRPr="00AA2F17">
        <w:rPr>
          <w:rFonts w:ascii="Times New Roman" w:hAnsi="Times New Roman" w:cs="Arial"/>
        </w:rPr>
        <w:t xml:space="preserve">A continuación analizaremos algunos elementos de especial importancia que forman parte del proceso de sedación para procedimientos </w:t>
      </w:r>
      <w:r w:rsidRPr="00AA2F17">
        <w:rPr>
          <w:rFonts w:ascii="Times New Roman" w:hAnsi="Times New Roman" w:cs="Arial"/>
        </w:rPr>
        <w:t>endoscópico.</w:t>
      </w:r>
    </w:p>
    <w:p w:rsidR="001B03C2" w:rsidRPr="00AA2F17" w:rsidRDefault="009B166E">
      <w:pPr>
        <w:spacing w:line="480" w:lineRule="auto"/>
        <w:ind w:left="142"/>
        <w:jc w:val="both"/>
        <w:rPr>
          <w:rFonts w:ascii="Times New Roman" w:hAnsi="Times New Roman" w:cs="Arial"/>
        </w:rPr>
      </w:pPr>
      <w:r w:rsidRPr="00AA2F17">
        <w:rPr>
          <w:rFonts w:ascii="Times New Roman" w:hAnsi="Times New Roman" w:cs="Arial"/>
        </w:rPr>
        <w:t>.</w:t>
      </w:r>
    </w:p>
    <w:p w:rsidR="001B03C2" w:rsidRDefault="001B03C2">
      <w:pPr>
        <w:spacing w:line="480" w:lineRule="auto"/>
        <w:ind w:left="142"/>
        <w:jc w:val="both"/>
        <w:rPr>
          <w:rFonts w:ascii="Times New Roman" w:hAnsi="Times New Roman" w:cs="Arial"/>
        </w:rPr>
      </w:pPr>
    </w:p>
    <w:p w:rsidR="001B03C2" w:rsidRDefault="009B166E">
      <w:pPr>
        <w:spacing w:line="480" w:lineRule="auto"/>
        <w:jc w:val="both"/>
        <w:rPr>
          <w:rFonts w:ascii="Times New Roman" w:hAnsi="Times New Roman" w:cs="Arial"/>
          <w:b/>
        </w:rPr>
      </w:pPr>
      <w:r>
        <w:rPr>
          <w:rFonts w:ascii="Times New Roman" w:eastAsia="Arial" w:hAnsi="Times New Roman" w:cs="Arial"/>
          <w:b/>
        </w:rPr>
        <w:t>6.</w:t>
      </w:r>
      <w:r>
        <w:rPr>
          <w:rFonts w:ascii="Times New Roman" w:eastAsia="Times New Roman" w:hAnsi="Times New Roman" w:cs="Arial"/>
          <w:b/>
        </w:rPr>
        <w:t>3</w:t>
      </w:r>
      <w:r>
        <w:rPr>
          <w:rFonts w:ascii="Times New Roman" w:hAnsi="Times New Roman" w:cs="Arial"/>
          <w:b/>
        </w:rPr>
        <w:t>.1 LUGAR DE REALIZACIÓN.</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Un factor relevante a la hora de llevar a cabo este tipo de exploración es el lugar de relización de la misma. </w:t>
      </w:r>
    </w:p>
    <w:p w:rsidR="001B03C2" w:rsidRDefault="009B166E">
      <w:pPr>
        <w:spacing w:line="480" w:lineRule="auto"/>
        <w:ind w:left="142"/>
        <w:jc w:val="both"/>
        <w:rPr>
          <w:rFonts w:ascii="Times New Roman" w:hAnsi="Times New Roman" w:cs="Arial"/>
        </w:rPr>
      </w:pPr>
      <w:r>
        <w:rPr>
          <w:rFonts w:ascii="Times New Roman" w:hAnsi="Times New Roman" w:cs="Arial"/>
        </w:rPr>
        <w:t>La endoscopia gastrointestinal suele realizarse dentro del ambiente hospitalario. Desde la perspect</w:t>
      </w:r>
      <w:r>
        <w:rPr>
          <w:rFonts w:ascii="Times New Roman" w:hAnsi="Times New Roman" w:cs="Arial"/>
        </w:rPr>
        <w:t>iva del anestesiólogo, el lugar donde va a realizarse la exploración es importante por varias razones. La más importante son los recursos disponibles en un determinado lugar para la monitorización y la reanimación del paciente. Las consideraciones secundar</w:t>
      </w:r>
      <w:r>
        <w:rPr>
          <w:rFonts w:ascii="Times New Roman" w:hAnsi="Times New Roman" w:cs="Arial"/>
        </w:rPr>
        <w:t>ias implican la programación y la disponibilidad de personal de anestesia, en caso de que se solicite para ayudar en la sedación.</w:t>
      </w:r>
    </w:p>
    <w:p w:rsidR="001B03C2" w:rsidRDefault="009B166E">
      <w:pPr>
        <w:spacing w:line="480" w:lineRule="auto"/>
        <w:ind w:left="142"/>
        <w:jc w:val="both"/>
        <w:rPr>
          <w:rFonts w:ascii="Times New Roman" w:hAnsi="Times New Roman" w:cs="Arial"/>
        </w:rPr>
      </w:pPr>
      <w:r>
        <w:rPr>
          <w:rFonts w:ascii="Times New Roman" w:hAnsi="Times New Roman" w:cs="Arial"/>
        </w:rPr>
        <w:t>El quirófano es el lugar que proporciona la mayor flexibilidad para atender a aquellos pacientes que suponen un desafío médico</w:t>
      </w:r>
      <w:r>
        <w:rPr>
          <w:rFonts w:ascii="Times New Roman" w:hAnsi="Times New Roman" w:cs="Arial"/>
        </w:rPr>
        <w:t>. El equipo de endoscopia es relativamente portátil, y se puede transportar a diferentes lugares. Esto nos permite realizar la exploración en quirófano, a pesar de que no sea el lugar de elección para los endoscopistas. (38, 39).</w:t>
      </w:r>
    </w:p>
    <w:p w:rsidR="001B03C2" w:rsidRDefault="009B166E">
      <w:pPr>
        <w:spacing w:line="480" w:lineRule="auto"/>
        <w:ind w:left="142"/>
        <w:jc w:val="both"/>
        <w:rPr>
          <w:rFonts w:ascii="Times New Roman" w:hAnsi="Times New Roman" w:cs="Arial"/>
        </w:rPr>
      </w:pPr>
      <w:r>
        <w:rPr>
          <w:rFonts w:ascii="Times New Roman" w:hAnsi="Times New Roman" w:cs="Arial"/>
        </w:rPr>
        <w:t>Sin embargo, esto no suele</w:t>
      </w:r>
      <w:r>
        <w:rPr>
          <w:rFonts w:ascii="Times New Roman" w:hAnsi="Times New Roman" w:cs="Arial"/>
        </w:rPr>
        <w:t xml:space="preserve"> ser posible ni rentable en la actual coyuntura económica, por lo que el anestesiólogo debe adaptarse a realizar su trabajo fuera del área quirúrgica, la cual debe estar, a su vez, adaptada a las necesidades del anestesiólogo, para poder ofrecer la mejor a</w:t>
      </w:r>
      <w:r>
        <w:rPr>
          <w:rFonts w:ascii="Times New Roman" w:hAnsi="Times New Roman" w:cs="Arial"/>
        </w:rPr>
        <w:t>sistencia posible .(40). De hecho ya empiezan a aparecer respiradores de anestesia en áreas alejadas del área quirúrgica.</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b/>
        </w:rPr>
      </w:pPr>
      <w:r>
        <w:rPr>
          <w:rFonts w:ascii="Times New Roman" w:hAnsi="Times New Roman" w:cs="Arial"/>
          <w:b/>
        </w:rPr>
        <w:t>6.3.2 EVALUACIÓN PREVIA DE LOS PACIENTES.</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rPr>
      </w:pPr>
      <w:r>
        <w:rPr>
          <w:rFonts w:ascii="Times New Roman" w:hAnsi="Times New Roman" w:cs="Arial"/>
        </w:rPr>
        <w:t>Los principios de la evaluación preanestésica que se aplican a los casos quirúrgicos deben</w:t>
      </w:r>
      <w:r>
        <w:rPr>
          <w:rFonts w:ascii="Times New Roman" w:hAnsi="Times New Roman" w:cs="Arial"/>
        </w:rPr>
        <w:t xml:space="preserve"> aplicarse también a estos casos de endoscopia. Esta evaluación requiere comunicación entre el anestesiólogo y el gastroenterólogo. </w:t>
      </w:r>
    </w:p>
    <w:p w:rsidR="001B03C2" w:rsidRDefault="009B166E">
      <w:pPr>
        <w:spacing w:line="480" w:lineRule="auto"/>
        <w:ind w:left="142"/>
        <w:jc w:val="both"/>
        <w:rPr>
          <w:rFonts w:ascii="Times New Roman" w:hAnsi="Times New Roman" w:cs="Arial"/>
        </w:rPr>
      </w:pPr>
      <w:r>
        <w:rPr>
          <w:rFonts w:ascii="Times New Roman" w:hAnsi="Times New Roman" w:cs="Arial"/>
        </w:rPr>
        <w:t>Antes de iniciar el procedimiento, es importante realizar una historia clínica dirigida  a la detección de problemas que pu</w:t>
      </w:r>
      <w:r>
        <w:rPr>
          <w:rFonts w:ascii="Times New Roman" w:hAnsi="Times New Roman" w:cs="Arial"/>
        </w:rPr>
        <w:t>edan suponer un riesgo para el paciente. La clasificación de estado físico “ASA”, estratifica a los pacientes de manera sencilla según el riesgo anestésico y es universalmente aceptada y utilizada.</w:t>
      </w:r>
    </w:p>
    <w:p w:rsidR="001B03C2" w:rsidRDefault="001B03C2">
      <w:pPr>
        <w:spacing w:line="480" w:lineRule="auto"/>
        <w:ind w:left="142"/>
        <w:jc w:val="both"/>
        <w:rPr>
          <w:rFonts w:ascii="Times New Roman" w:hAnsi="Times New Roman" w:cs="Arial"/>
        </w:rPr>
      </w:pP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1525"/>
        <w:gridCol w:w="7210"/>
      </w:tblGrid>
      <w:tr w:rsidR="001B03C2">
        <w:trPr>
          <w:cantSplit/>
        </w:trPr>
        <w:tc>
          <w:tcPr>
            <w:tcW w:w="1525"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rPr>
            </w:pPr>
          </w:p>
        </w:tc>
        <w:tc>
          <w:tcPr>
            <w:tcW w:w="7210" w:type="dxa"/>
            <w:tcBorders>
              <w:top w:val="single" w:sz="2" w:space="0" w:color="000001"/>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CLASIFICACIÓN ASA</w:t>
            </w:r>
          </w:p>
        </w:tc>
      </w:tr>
      <w:tr w:rsidR="001B03C2">
        <w:trPr>
          <w:cantSplit/>
        </w:trPr>
        <w:tc>
          <w:tcPr>
            <w:tcW w:w="15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ASA I</w:t>
            </w:r>
          </w:p>
        </w:tc>
        <w:tc>
          <w:tcPr>
            <w:tcW w:w="721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Paciente sin patología asociada</w:t>
            </w:r>
          </w:p>
        </w:tc>
      </w:tr>
      <w:tr w:rsidR="001B03C2">
        <w:trPr>
          <w:cantSplit/>
        </w:trPr>
        <w:tc>
          <w:tcPr>
            <w:tcW w:w="15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ASA II</w:t>
            </w:r>
          </w:p>
        </w:tc>
        <w:tc>
          <w:tcPr>
            <w:tcW w:w="721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Enfermedad sistémica controlada</w:t>
            </w:r>
          </w:p>
        </w:tc>
      </w:tr>
      <w:tr w:rsidR="001B03C2">
        <w:trPr>
          <w:cantSplit/>
        </w:trPr>
        <w:tc>
          <w:tcPr>
            <w:tcW w:w="15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ASA III</w:t>
            </w:r>
          </w:p>
        </w:tc>
        <w:tc>
          <w:tcPr>
            <w:tcW w:w="721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Enfermedad sistémica grave o no controlada, pero no incapacitante.</w:t>
            </w:r>
          </w:p>
        </w:tc>
      </w:tr>
      <w:tr w:rsidR="001B03C2">
        <w:trPr>
          <w:cantSplit/>
        </w:trPr>
        <w:tc>
          <w:tcPr>
            <w:tcW w:w="15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ASA IV</w:t>
            </w:r>
          </w:p>
        </w:tc>
        <w:tc>
          <w:tcPr>
            <w:tcW w:w="721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Enfermedad sistémica grave, incapacitante o con peligro de muerte.</w:t>
            </w:r>
          </w:p>
        </w:tc>
      </w:tr>
      <w:tr w:rsidR="001B03C2">
        <w:trPr>
          <w:cantSplit/>
        </w:trPr>
        <w:tc>
          <w:tcPr>
            <w:tcW w:w="15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ASA V</w:t>
            </w:r>
          </w:p>
        </w:tc>
        <w:tc>
          <w:tcPr>
            <w:tcW w:w="721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Paciente moribundo</w:t>
            </w:r>
          </w:p>
        </w:tc>
      </w:tr>
    </w:tbl>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Tras la historia clínica, se </w:t>
      </w:r>
      <w:r>
        <w:rPr>
          <w:rFonts w:ascii="Times New Roman" w:hAnsi="Times New Roman" w:cs="Arial"/>
        </w:rPr>
        <w:t>efectuará una exploración física encaminada fundamentalmente  a la identificación de posibles dificultades para el manejo de la vía aérea, ya que los problemas relacionados con la misma suponen la primera causa de morbilidad asociada a la sedación.</w:t>
      </w:r>
    </w:p>
    <w:p w:rsidR="001B03C2" w:rsidRDefault="009B166E">
      <w:pPr>
        <w:spacing w:line="480" w:lineRule="auto"/>
        <w:ind w:left="142"/>
        <w:jc w:val="both"/>
        <w:rPr>
          <w:rFonts w:ascii="Times New Roman" w:hAnsi="Times New Roman" w:cs="Arial"/>
        </w:rPr>
      </w:pPr>
      <w:r>
        <w:rPr>
          <w:rFonts w:ascii="Times New Roman" w:hAnsi="Times New Roman" w:cs="Arial"/>
        </w:rPr>
        <w:t>De mane</w:t>
      </w:r>
      <w:r>
        <w:rPr>
          <w:rFonts w:ascii="Times New Roman" w:hAnsi="Times New Roman" w:cs="Arial"/>
        </w:rPr>
        <w:t>ra resumida, algunos de los factores que nos deberían hacer sospechar dificultad para el manejo de la vía aérea son:</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rPr>
      </w:pPr>
      <w:r>
        <w:rPr>
          <w:rFonts w:ascii="Times New Roman" w:hAnsi="Times New Roman" w:cs="Arial"/>
        </w:rPr>
        <w:lastRenderedPageBreak/>
        <w:t>a) Derivados de la historia clínica:</w:t>
      </w:r>
    </w:p>
    <w:p w:rsidR="001B03C2" w:rsidRDefault="009B166E">
      <w:pPr>
        <w:spacing w:line="480" w:lineRule="auto"/>
        <w:ind w:left="142"/>
        <w:jc w:val="both"/>
        <w:rPr>
          <w:rFonts w:ascii="Times New Roman" w:hAnsi="Times New Roman" w:cs="Arial"/>
        </w:rPr>
      </w:pPr>
      <w:r>
        <w:rPr>
          <w:rFonts w:ascii="Times New Roman" w:hAnsi="Times New Roman" w:cs="Arial"/>
        </w:rPr>
        <w:t>- Problemas previos en anteriores procedimientos anestésicos.</w:t>
      </w:r>
    </w:p>
    <w:p w:rsidR="001B03C2" w:rsidRDefault="009B166E">
      <w:pPr>
        <w:spacing w:line="480" w:lineRule="auto"/>
        <w:ind w:left="142"/>
        <w:jc w:val="both"/>
        <w:rPr>
          <w:rFonts w:ascii="Times New Roman" w:hAnsi="Times New Roman" w:cs="Arial"/>
        </w:rPr>
      </w:pPr>
      <w:r>
        <w:rPr>
          <w:rFonts w:ascii="Times New Roman" w:hAnsi="Times New Roman" w:cs="Arial"/>
        </w:rPr>
        <w:t>- Disnea de reposo, apneas del sueño, r</w:t>
      </w:r>
      <w:r>
        <w:rPr>
          <w:rFonts w:ascii="Times New Roman" w:hAnsi="Times New Roman" w:cs="Arial"/>
        </w:rPr>
        <w:t>onquidos o estridor laríngeo.</w:t>
      </w:r>
    </w:p>
    <w:p w:rsidR="001B03C2" w:rsidRDefault="009B166E">
      <w:pPr>
        <w:spacing w:line="480" w:lineRule="auto"/>
        <w:ind w:left="142"/>
        <w:jc w:val="both"/>
        <w:rPr>
          <w:rFonts w:ascii="Times New Roman" w:hAnsi="Times New Roman" w:cs="Arial"/>
        </w:rPr>
      </w:pPr>
      <w:r>
        <w:rPr>
          <w:rFonts w:ascii="Times New Roman" w:hAnsi="Times New Roman" w:cs="Arial"/>
        </w:rPr>
        <w:t>- Malformaciones asociadas con vía aérea difícil (ej: trisomía 21).</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rPr>
      </w:pPr>
      <w:r>
        <w:rPr>
          <w:rFonts w:ascii="Times New Roman" w:hAnsi="Times New Roman" w:cs="Arial"/>
        </w:rPr>
        <w:t>b) Derivados de la exploración física:</w:t>
      </w:r>
    </w:p>
    <w:p w:rsidR="001B03C2" w:rsidRDefault="009B166E">
      <w:pPr>
        <w:spacing w:line="480" w:lineRule="auto"/>
        <w:ind w:left="142"/>
        <w:jc w:val="both"/>
        <w:rPr>
          <w:rFonts w:ascii="Times New Roman" w:hAnsi="Times New Roman" w:cs="Arial"/>
        </w:rPr>
      </w:pPr>
      <w:r>
        <w:rPr>
          <w:rFonts w:ascii="Times New Roman" w:hAnsi="Times New Roman" w:cs="Arial"/>
        </w:rPr>
        <w:t>- Obesidad.</w:t>
      </w:r>
    </w:p>
    <w:p w:rsidR="001B03C2" w:rsidRDefault="009B166E">
      <w:pPr>
        <w:spacing w:line="480" w:lineRule="auto"/>
        <w:ind w:left="142"/>
        <w:jc w:val="both"/>
        <w:rPr>
          <w:rFonts w:ascii="Times New Roman" w:hAnsi="Times New Roman" w:cs="Arial"/>
        </w:rPr>
      </w:pPr>
      <w:r>
        <w:rPr>
          <w:rFonts w:ascii="Times New Roman" w:hAnsi="Times New Roman" w:cs="Arial"/>
        </w:rPr>
        <w:t>- Malformaciones faciales.</w:t>
      </w:r>
    </w:p>
    <w:p w:rsidR="001B03C2" w:rsidRDefault="009B166E">
      <w:pPr>
        <w:spacing w:line="480" w:lineRule="auto"/>
        <w:ind w:left="142"/>
        <w:jc w:val="both"/>
        <w:rPr>
          <w:rFonts w:ascii="Times New Roman" w:hAnsi="Times New Roman" w:cs="Arial"/>
        </w:rPr>
      </w:pPr>
      <w:r>
        <w:rPr>
          <w:rFonts w:ascii="Times New Roman" w:hAnsi="Times New Roman" w:cs="Arial"/>
        </w:rPr>
        <w:t>- Presencia de barba, por dificultad en la ventilación con mascarilla facial.</w:t>
      </w:r>
    </w:p>
    <w:p w:rsidR="001B03C2" w:rsidRDefault="009B166E">
      <w:pPr>
        <w:spacing w:line="480" w:lineRule="auto"/>
        <w:ind w:left="142"/>
        <w:jc w:val="both"/>
        <w:rPr>
          <w:rFonts w:ascii="Times New Roman" w:hAnsi="Times New Roman" w:cs="Arial"/>
        </w:rPr>
      </w:pPr>
      <w:r>
        <w:rPr>
          <w:rFonts w:ascii="Times New Roman" w:hAnsi="Times New Roman" w:cs="Arial"/>
        </w:rPr>
        <w:t>-</w:t>
      </w:r>
      <w:r>
        <w:rPr>
          <w:rFonts w:ascii="Times New Roman" w:hAnsi="Times New Roman" w:cs="Arial"/>
        </w:rPr>
        <w:t xml:space="preserve"> Mala apertura bucal, macroglosia, paladar ojival.</w:t>
      </w:r>
    </w:p>
    <w:p w:rsidR="001B03C2" w:rsidRDefault="009B166E">
      <w:pPr>
        <w:spacing w:line="480" w:lineRule="auto"/>
        <w:ind w:left="142"/>
        <w:jc w:val="both"/>
        <w:rPr>
          <w:rFonts w:ascii="Times New Roman" w:hAnsi="Times New Roman" w:cs="Arial"/>
        </w:rPr>
      </w:pPr>
      <w:r>
        <w:rPr>
          <w:rFonts w:ascii="Times New Roman" w:hAnsi="Times New Roman" w:cs="Arial"/>
        </w:rPr>
        <w:t>- Cuello corto, dificultad en la extensión cervical.</w:t>
      </w:r>
    </w:p>
    <w:p w:rsidR="001B03C2" w:rsidRDefault="009B166E">
      <w:pPr>
        <w:spacing w:line="480" w:lineRule="auto"/>
        <w:ind w:left="142"/>
        <w:jc w:val="both"/>
        <w:rPr>
          <w:rFonts w:ascii="Times New Roman" w:hAnsi="Times New Roman" w:cs="Arial"/>
        </w:rPr>
      </w:pPr>
      <w:r>
        <w:rPr>
          <w:rFonts w:ascii="Times New Roman" w:hAnsi="Times New Roman" w:cs="Arial"/>
        </w:rPr>
        <w:t>- Micrognatia, retrognatia, mala oclusión dental.</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rPr>
      </w:pPr>
      <w:r>
        <w:rPr>
          <w:rFonts w:ascii="Times New Roman" w:hAnsi="Times New Roman" w:cs="Arial"/>
        </w:rPr>
        <w:t>En los centros en los que se preconiza la sedación por no anestesiólogos suele obviarse muchos de est</w:t>
      </w:r>
      <w:r>
        <w:rPr>
          <w:rFonts w:ascii="Times New Roman" w:hAnsi="Times New Roman" w:cs="Arial"/>
        </w:rPr>
        <w:t>os factores a la hora de valorar a un paciente. El test más empleado en la mayoría de centros es el Índice de Mallampatti, que se basa en la mayor o menor visualización de las estructuras orales ( úvula, paladar, fauces) al hacer al paciente abrir la boca.</w:t>
      </w:r>
      <w:r>
        <w:rPr>
          <w:rFonts w:ascii="Times New Roman" w:hAnsi="Times New Roman" w:cs="Arial"/>
        </w:rPr>
        <w:t xml:space="preserve"> Aisladamente, se consideran como difíciles los grados III y IV de esta escala. Es una exploración válida para ciertos aspectos de la vía aérea, pero claramente insuficiente.</w:t>
      </w:r>
    </w:p>
    <w:p w:rsidR="001B03C2" w:rsidRDefault="009B166E">
      <w:pPr>
        <w:spacing w:line="480" w:lineRule="auto"/>
        <w:ind w:left="142"/>
        <w:jc w:val="both"/>
        <w:rPr>
          <w:rFonts w:ascii="Times New Roman" w:hAnsi="Times New Roman" w:cs="Arial"/>
        </w:rPr>
      </w:pPr>
      <w:r>
        <w:rPr>
          <w:rFonts w:ascii="Times New Roman" w:hAnsi="Times New Roman" w:cs="Arial"/>
        </w:rPr>
        <w:t>Dependiendo del estado de salud del paciente, aparte de la anamnesis  y la explor</w:t>
      </w:r>
      <w:r>
        <w:rPr>
          <w:rFonts w:ascii="Times New Roman" w:hAnsi="Times New Roman" w:cs="Arial"/>
        </w:rPr>
        <w:t>ación física, podría incluirse en la valoración previa un análisis de laboratorio, un electrocardiograma (ECG), pruebas de imagen o cualquier prueba complementaria.</w:t>
      </w:r>
    </w:p>
    <w:p w:rsidR="001B03C2" w:rsidRPr="00AA2F17" w:rsidRDefault="009B166E">
      <w:pPr>
        <w:spacing w:line="480" w:lineRule="auto"/>
        <w:ind w:left="142"/>
        <w:jc w:val="both"/>
        <w:rPr>
          <w:rFonts w:ascii="Times New Roman" w:hAnsi="Times New Roman" w:cs="Arial"/>
        </w:rPr>
      </w:pPr>
      <w:r>
        <w:rPr>
          <w:rFonts w:ascii="Times New Roman" w:hAnsi="Times New Roman" w:cs="Arial"/>
        </w:rPr>
        <w:t>Tras esa valoración, se tomarán las medidas oportunas respecto a la medicación que los paci</w:t>
      </w:r>
      <w:r>
        <w:rPr>
          <w:rFonts w:ascii="Times New Roman" w:hAnsi="Times New Roman" w:cs="Arial"/>
        </w:rPr>
        <w:t>entes tomen habitualmente (antiagregantes, anticoagulantes, hipoglucemiantes…), y cualquier otra medida que permita optimizar su estado antes de llegar al momento de la prueba.(41,42)</w:t>
      </w:r>
      <w:r w:rsidRPr="00AA2F17">
        <w:rPr>
          <w:rFonts w:ascii="Times New Roman" w:hAnsi="Times New Roman" w:cs="Arial"/>
        </w:rPr>
        <w:t>.</w:t>
      </w: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6.3.3 PROFUNDIDAD DE LA SEDACIÓN.</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rPr>
      </w:pPr>
      <w:r>
        <w:rPr>
          <w:rFonts w:ascii="Times New Roman" w:hAnsi="Times New Roman" w:cs="Arial"/>
        </w:rPr>
        <w:t>En una encuesta realizada a gastro</w:t>
      </w:r>
      <w:r>
        <w:rPr>
          <w:rFonts w:ascii="Times New Roman" w:hAnsi="Times New Roman" w:cs="Arial"/>
        </w:rPr>
        <w:t xml:space="preserve">enterólogos de EE.UU, se destacó que se administraba sedación en el 98 al 99% de las esofagogastroduodenoscopias y de las colonoscopias (38). La mayoría de estos pacientes recibieron la sedación bajo la supervisión del digestólogo. La encuesta publicó que </w:t>
      </w:r>
      <w:r>
        <w:rPr>
          <w:rFonts w:ascii="Times New Roman" w:hAnsi="Times New Roman" w:cs="Arial"/>
        </w:rPr>
        <w:t xml:space="preserve">los anestesiólogos y personal de enfermería del servicio de anestesia, eran responsables de proporcionar la sedación en aproximadamente el 28% de los casos. </w:t>
      </w:r>
    </w:p>
    <w:p w:rsidR="001B03C2" w:rsidRDefault="009B166E">
      <w:pPr>
        <w:spacing w:line="480" w:lineRule="auto"/>
        <w:ind w:left="142"/>
        <w:jc w:val="both"/>
        <w:rPr>
          <w:rFonts w:ascii="Times New Roman" w:hAnsi="Times New Roman" w:cs="Arial"/>
        </w:rPr>
      </w:pPr>
      <w:r>
        <w:rPr>
          <w:rFonts w:ascii="Times New Roman" w:hAnsi="Times New Roman" w:cs="Arial"/>
        </w:rPr>
        <w:t>Aunque no hay datos disponibles para describir qué características de los pacientes incitan al gas</w:t>
      </w:r>
      <w:r>
        <w:rPr>
          <w:rFonts w:ascii="Times New Roman" w:hAnsi="Times New Roman" w:cs="Arial"/>
        </w:rPr>
        <w:t>troenterólogo a solicitar ayuda a profesionales de la anestesia, la experiencia de la mayoría de los anestesiólogos es que se les llama para atender principalmente a pacientes pediátricos, pacientes con antecedentes de dificultades con la sedación y pacien</w:t>
      </w:r>
      <w:r>
        <w:rPr>
          <w:rFonts w:ascii="Times New Roman" w:hAnsi="Times New Roman" w:cs="Arial"/>
        </w:rPr>
        <w:t>tes con enfermedades médicas que ponen en peligro su vida (ASA ≥ 3, dificultad IOT, exploraciones con previsible larga duración, tomadores crónicos de opiáceos y/o alcohol).</w:t>
      </w:r>
    </w:p>
    <w:p w:rsidR="001B03C2" w:rsidRDefault="009B166E">
      <w:pPr>
        <w:spacing w:line="480" w:lineRule="auto"/>
        <w:ind w:left="142"/>
        <w:jc w:val="both"/>
        <w:rPr>
          <w:rFonts w:ascii="Times New Roman" w:hAnsi="Times New Roman" w:cs="Arial"/>
        </w:rPr>
      </w:pPr>
      <w:r>
        <w:rPr>
          <w:rFonts w:ascii="Times New Roman" w:hAnsi="Times New Roman" w:cs="Arial"/>
        </w:rPr>
        <w:t>Estas situaciones requieren a menudo sedación profunda o anestesia general para al</w:t>
      </w:r>
      <w:r>
        <w:rPr>
          <w:rFonts w:ascii="Times New Roman" w:hAnsi="Times New Roman" w:cs="Arial"/>
        </w:rPr>
        <w:t>canzar una comodidad adecuada del paciente, su colaboración y unas condiciones de trabajo óptimas para el gastroenterólogo.</w:t>
      </w:r>
    </w:p>
    <w:p w:rsidR="001B03C2" w:rsidRDefault="009B166E">
      <w:pPr>
        <w:spacing w:line="480" w:lineRule="auto"/>
        <w:ind w:left="142"/>
        <w:jc w:val="both"/>
        <w:rPr>
          <w:rFonts w:ascii="Times New Roman" w:hAnsi="Times New Roman" w:cs="Arial"/>
        </w:rPr>
      </w:pPr>
      <w:r>
        <w:rPr>
          <w:rFonts w:ascii="Times New Roman" w:hAnsi="Times New Roman" w:cs="Arial"/>
        </w:rPr>
        <w:t>Un anestesiólogo primero debe decidir qué nivel de sedación o anestesia necesita cada paciente. Para ello tiene en cuenta diversos f</w:t>
      </w:r>
      <w:r>
        <w:rPr>
          <w:rFonts w:ascii="Times New Roman" w:hAnsi="Times New Roman" w:cs="Arial"/>
        </w:rPr>
        <w:t>actores: el estado médico del paciente, las enfermedades concomitantes, la medicación habitual, la posibilidad de riesgo de aspiración de contenido intestinal, la posición del paciente, la complejidad del procedimiento a realizar, los antecedentes de explo</w:t>
      </w:r>
      <w:r>
        <w:rPr>
          <w:rFonts w:ascii="Times New Roman" w:hAnsi="Times New Roman" w:cs="Arial"/>
        </w:rPr>
        <w:t>raciones dificultosas o fallidas, el estado de ansiedad anticipatoria del paciente, el abuso de sustancias, etc…</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Podríamos pensar que los pacientes relativamente sanos toleran mejor la exploración, sin embargo, </w:t>
      </w:r>
      <w:r>
        <w:rPr>
          <w:rFonts w:ascii="Times New Roman" w:hAnsi="Times New Roman" w:cs="Arial"/>
        </w:rPr>
        <w:lastRenderedPageBreak/>
        <w:t xml:space="preserve">la práctica diaria nos demuestra que el estado de ansiedad y la tolerancia al dolor hacen más compleja la colonoscopia en este tipo de enfermos. </w:t>
      </w:r>
    </w:p>
    <w:p w:rsidR="001B03C2" w:rsidRDefault="009B166E">
      <w:pPr>
        <w:spacing w:line="480" w:lineRule="auto"/>
        <w:ind w:left="142"/>
        <w:jc w:val="both"/>
        <w:rPr>
          <w:rFonts w:ascii="Times New Roman" w:hAnsi="Times New Roman" w:cs="Arial"/>
        </w:rPr>
      </w:pPr>
      <w:r>
        <w:rPr>
          <w:rFonts w:ascii="Times New Roman" w:hAnsi="Times New Roman" w:cs="Arial"/>
        </w:rPr>
        <w:t>Un desafío e</w:t>
      </w:r>
      <w:r>
        <w:rPr>
          <w:rFonts w:ascii="Times New Roman" w:hAnsi="Times New Roman" w:cs="Arial"/>
        </w:rPr>
        <w:t xml:space="preserve">s la predicción antes del procedimiento de qué pacientes necesitarán sedación profunda o anestesia general no por su condición médica o por la complejidad del procedimiento, sino para proporcionar la suficiente colaboración y comodidad a los pacientes. No </w:t>
      </w:r>
      <w:r>
        <w:rPr>
          <w:rFonts w:ascii="Times New Roman" w:hAnsi="Times New Roman" w:cs="Arial"/>
        </w:rPr>
        <w:t>parece haber datos definitivos para determinar los factores que podrían ayudar a identificar a aquellos pacientes que pueden ser difíciles de sedar. Sin embargo hay estudios que exponen que, tanto el miedo al quirófano expresado por el paciente, como los a</w:t>
      </w:r>
      <w:r>
        <w:rPr>
          <w:rFonts w:ascii="Times New Roman" w:hAnsi="Times New Roman" w:cs="Arial"/>
        </w:rPr>
        <w:t>ltos niveles de ansiedad, medidos por el cuestionario de grado de ansiedad antes del procedimiento, se asociaron a mala tolerancia del paciente (43)</w:t>
      </w:r>
      <w:r w:rsidRPr="00AA2F17">
        <w:rPr>
          <w:rFonts w:ascii="Times New Roman" w:hAnsi="Times New Roman" w:cs="Arial"/>
        </w:rPr>
        <w:t>.</w:t>
      </w:r>
      <w:r>
        <w:rPr>
          <w:rFonts w:ascii="Times New Roman" w:hAnsi="Times New Roman" w:cs="Arial"/>
        </w:rPr>
        <w:t xml:space="preserve"> Así mismo, otros factores que pueden asociarse con dificultad en realizar la colonoscopia y posiblemente r</w:t>
      </w:r>
      <w:r>
        <w:rPr>
          <w:rFonts w:ascii="Times New Roman" w:hAnsi="Times New Roman" w:cs="Arial"/>
        </w:rPr>
        <w:t>equieran niveles más profundos de sedación son el sexo femenino, los antecedentes de cirugía abdómino-pélvica, la radioterapia abdominal previa, presencia de divertículos o antecedente de exploraciones previas dolorosas (44,45,46).</w:t>
      </w:r>
    </w:p>
    <w:p w:rsidR="001B03C2" w:rsidRDefault="001B03C2">
      <w:pPr>
        <w:spacing w:line="480" w:lineRule="auto"/>
        <w:ind w:left="142"/>
        <w:jc w:val="both"/>
        <w:rPr>
          <w:rFonts w:ascii="Times New Roman" w:hAnsi="Times New Roman"/>
        </w:rPr>
      </w:pPr>
    </w:p>
    <w:p w:rsidR="001B03C2" w:rsidRDefault="001B03C2">
      <w:pPr>
        <w:spacing w:line="480" w:lineRule="auto"/>
        <w:ind w:left="142"/>
        <w:jc w:val="both"/>
        <w:rPr>
          <w:rFonts w:ascii="Times New Roman" w:hAnsi="Times New Roman"/>
        </w:rPr>
      </w:pPr>
    </w:p>
    <w:p w:rsidR="001B03C2" w:rsidRDefault="009B166E">
      <w:pPr>
        <w:spacing w:line="480" w:lineRule="auto"/>
        <w:jc w:val="both"/>
        <w:rPr>
          <w:rFonts w:ascii="Times New Roman" w:hAnsi="Times New Roman" w:cs="Arial"/>
          <w:b/>
        </w:rPr>
      </w:pPr>
      <w:r>
        <w:rPr>
          <w:rFonts w:ascii="Times New Roman" w:hAnsi="Times New Roman" w:cs="Arial"/>
          <w:b/>
        </w:rPr>
        <w:t>6.3.4 COMPLICACIONES D</w:t>
      </w:r>
      <w:r>
        <w:rPr>
          <w:rFonts w:ascii="Times New Roman" w:hAnsi="Times New Roman" w:cs="Arial"/>
          <w:b/>
        </w:rPr>
        <w:t>URANTE LA SEDACIÓN.</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Las características ideales de cualquier sedación incluyen: </w:t>
      </w:r>
    </w:p>
    <w:p w:rsidR="001B03C2" w:rsidRDefault="009B166E">
      <w:pPr>
        <w:spacing w:line="480" w:lineRule="auto"/>
        <w:ind w:left="142"/>
        <w:jc w:val="both"/>
        <w:rPr>
          <w:rFonts w:ascii="Times New Roman" w:hAnsi="Times New Roman" w:cs="Arial"/>
        </w:rPr>
      </w:pPr>
      <w:r>
        <w:rPr>
          <w:rFonts w:ascii="Times New Roman" w:hAnsi="Times New Roman" w:cs="Arial"/>
        </w:rPr>
        <w:t>- Un rápido comienzo de acción.</w:t>
      </w:r>
    </w:p>
    <w:p w:rsidR="001B03C2" w:rsidRDefault="009B166E">
      <w:pPr>
        <w:spacing w:line="480" w:lineRule="auto"/>
        <w:ind w:left="142"/>
        <w:jc w:val="both"/>
        <w:rPr>
          <w:rFonts w:ascii="Times New Roman" w:hAnsi="Times New Roman" w:cs="Arial"/>
        </w:rPr>
      </w:pPr>
      <w:r>
        <w:rPr>
          <w:rFonts w:ascii="Times New Roman" w:hAnsi="Times New Roman" w:cs="Arial"/>
        </w:rPr>
        <w:t>- Efecto hipnótico, analgésico y amnésico sobre el paciente.</w:t>
      </w:r>
    </w:p>
    <w:p w:rsidR="001B03C2" w:rsidRDefault="009B166E">
      <w:pPr>
        <w:spacing w:line="480" w:lineRule="auto"/>
        <w:ind w:left="142"/>
        <w:jc w:val="both"/>
        <w:rPr>
          <w:rFonts w:ascii="Times New Roman" w:hAnsi="Times New Roman" w:cs="Arial"/>
        </w:rPr>
      </w:pPr>
      <w:r>
        <w:rPr>
          <w:rFonts w:ascii="Times New Roman" w:hAnsi="Times New Roman" w:cs="Arial"/>
        </w:rPr>
        <w:t>- Facilidad para variar la profundidad del plano anestésico adaptándolo al moment</w:t>
      </w:r>
      <w:r>
        <w:rPr>
          <w:rFonts w:ascii="Times New Roman" w:hAnsi="Times New Roman" w:cs="Arial"/>
        </w:rPr>
        <w:t>o de la exploración.</w:t>
      </w:r>
    </w:p>
    <w:p w:rsidR="001B03C2" w:rsidRDefault="009B166E">
      <w:pPr>
        <w:spacing w:line="480" w:lineRule="auto"/>
        <w:ind w:left="142"/>
        <w:jc w:val="both"/>
        <w:rPr>
          <w:rFonts w:ascii="Times New Roman" w:hAnsi="Times New Roman" w:cs="Arial"/>
        </w:rPr>
      </w:pPr>
      <w:r>
        <w:rPr>
          <w:rFonts w:ascii="Times New Roman" w:hAnsi="Times New Roman" w:cs="Arial"/>
        </w:rPr>
        <w:t>- Duración equivalente a la de la colonoscopia.</w:t>
      </w:r>
    </w:p>
    <w:p w:rsidR="001B03C2" w:rsidRDefault="009B166E">
      <w:pPr>
        <w:spacing w:line="480" w:lineRule="auto"/>
        <w:ind w:left="142"/>
        <w:jc w:val="both"/>
        <w:rPr>
          <w:rFonts w:ascii="Times New Roman" w:hAnsi="Times New Roman" w:cs="Arial"/>
        </w:rPr>
      </w:pPr>
      <w:r>
        <w:rPr>
          <w:rFonts w:ascii="Times New Roman" w:hAnsi="Times New Roman" w:cs="Arial"/>
        </w:rPr>
        <w:t>- Posibilitar una recuperación precoz de los pacientes y retorno a sus actividades cotidianas.</w:t>
      </w:r>
    </w:p>
    <w:p w:rsidR="001B03C2" w:rsidRDefault="009B166E">
      <w:pPr>
        <w:spacing w:line="480" w:lineRule="auto"/>
        <w:ind w:left="142"/>
        <w:jc w:val="both"/>
        <w:rPr>
          <w:rFonts w:ascii="Times New Roman" w:eastAsia="AdvPSA322" w:hAnsi="Times New Roman" w:cs="AdvPSA322"/>
        </w:rPr>
      </w:pPr>
      <w:r>
        <w:rPr>
          <w:rFonts w:ascii="Times New Roman" w:hAnsi="Times New Roman" w:cs="Arial"/>
        </w:rPr>
        <w:t>Todo ello en condiciones de seguridad, y ausencia de complicaciones cardiopulmonares (47)</w:t>
      </w:r>
      <w:r>
        <w:rPr>
          <w:rFonts w:ascii="Times New Roman" w:eastAsia="AdvPSA322" w:hAnsi="Times New Roman" w:cs="AdvPSA322"/>
        </w:rPr>
        <w:t>.</w:t>
      </w:r>
    </w:p>
    <w:p w:rsidR="001B03C2" w:rsidRDefault="009B166E">
      <w:pPr>
        <w:spacing w:line="480" w:lineRule="auto"/>
        <w:ind w:left="142"/>
        <w:jc w:val="both"/>
        <w:rPr>
          <w:rFonts w:ascii="Times New Roman" w:hAnsi="Times New Roman" w:cs="Arial"/>
        </w:rPr>
      </w:pPr>
      <w:r>
        <w:rPr>
          <w:rFonts w:ascii="Times New Roman" w:hAnsi="Times New Roman" w:cs="Arial"/>
        </w:rPr>
        <w:lastRenderedPageBreak/>
        <w:t>Las sociedades médicas desarrollan continuamente planes de actuación para alcanzar estos objetivos. Entre las medidas adoptadas, la sedación forma parte fundamental de este proceso. Pero como todo procedimiento médico, no está exento de riesgos y complicac</w:t>
      </w:r>
      <w:r>
        <w:rPr>
          <w:rFonts w:ascii="Times New Roman" w:hAnsi="Times New Roman" w:cs="Arial"/>
        </w:rPr>
        <w:t>iones.</w:t>
      </w:r>
    </w:p>
    <w:p w:rsidR="001B03C2" w:rsidRDefault="009B166E">
      <w:pPr>
        <w:spacing w:line="480" w:lineRule="auto"/>
        <w:ind w:left="142"/>
        <w:jc w:val="both"/>
        <w:rPr>
          <w:rFonts w:ascii="Times New Roman" w:hAnsi="Times New Roman" w:cs="Arial"/>
        </w:rPr>
      </w:pPr>
      <w:r>
        <w:rPr>
          <w:rFonts w:ascii="Times New Roman" w:hAnsi="Times New Roman" w:cs="Arial"/>
        </w:rPr>
        <w:t>En Estados Unidos, el modo más extendido a la hora de llevar a cabo una sedación consciente, solía ser la combinación de un analgésico como el fentanilo o la meperidina, junto con un ansiolítico como el midazolam o el diacepam.</w:t>
      </w:r>
    </w:p>
    <w:p w:rsidR="001B03C2" w:rsidRDefault="009B166E">
      <w:pPr>
        <w:spacing w:line="480" w:lineRule="auto"/>
        <w:ind w:left="142"/>
        <w:jc w:val="both"/>
        <w:rPr>
          <w:rFonts w:ascii="Times New Roman" w:eastAsia="AdvPSA322" w:hAnsi="Times New Roman" w:cs="AdvPSA322"/>
        </w:rPr>
      </w:pPr>
      <w:r>
        <w:rPr>
          <w:rFonts w:ascii="Times New Roman" w:eastAsia="AdvPSA322" w:hAnsi="Times New Roman" w:cs="Arial"/>
        </w:rPr>
        <w:t>Estas medicaciones se</w:t>
      </w:r>
      <w:r>
        <w:rPr>
          <w:rFonts w:ascii="Times New Roman" w:eastAsia="AdvPSA322" w:hAnsi="Times New Roman" w:cs="Arial"/>
        </w:rPr>
        <w:t xml:space="preserve"> han asociado a la aparición de efectos adversos como nauseas o vómitos, y a un aumento del tiempo necesario para poder dar de alta a los pacientes, causado por el excesivo tiempo de metabolización</w:t>
      </w:r>
      <w:r>
        <w:rPr>
          <w:rFonts w:ascii="Times New Roman" w:eastAsia="AdvPSA322" w:hAnsi="Times New Roman" w:cs="AdvPSA322"/>
        </w:rPr>
        <w:t>.</w:t>
      </w:r>
    </w:p>
    <w:p w:rsidR="001B03C2" w:rsidRDefault="009B166E">
      <w:pPr>
        <w:spacing w:line="480" w:lineRule="auto"/>
        <w:ind w:left="142"/>
        <w:jc w:val="both"/>
        <w:rPr>
          <w:rFonts w:ascii="Times New Roman" w:eastAsia="AdvPSA322" w:hAnsi="Times New Roman" w:cs="AdvPSA322"/>
        </w:rPr>
      </w:pPr>
      <w:r>
        <w:rPr>
          <w:rFonts w:ascii="Times New Roman" w:eastAsia="AdvPSA322" w:hAnsi="Times New Roman" w:cs="AdvPSA322"/>
        </w:rPr>
        <w:t xml:space="preserve">Un análisis realizado por la </w:t>
      </w:r>
      <w:r>
        <w:rPr>
          <w:rFonts w:ascii="Times New Roman" w:eastAsia="AdvPSA322" w:hAnsi="Times New Roman" w:cs="AdvPSA322"/>
          <w:i/>
          <w:iCs/>
        </w:rPr>
        <w:t>American Society of Gastroin</w:t>
      </w:r>
      <w:r>
        <w:rPr>
          <w:rFonts w:ascii="Times New Roman" w:eastAsia="AdvPSA322" w:hAnsi="Times New Roman" w:cs="AdvPSA322"/>
          <w:i/>
          <w:iCs/>
        </w:rPr>
        <w:t>testinal Endoscopy and the Food and Drug Administration</w:t>
      </w:r>
      <w:r>
        <w:rPr>
          <w:rFonts w:ascii="Times New Roman" w:eastAsia="AdvPSA322" w:hAnsi="Times New Roman" w:cs="AdvPSA322"/>
        </w:rPr>
        <w:t xml:space="preserve"> , reveló que en más de 20000 casos en los que se utlilizó midazolam o diacepam como sedantes, la incidencia de complicaciones cardiorespiratorias fue de 5,4 por cada 1000 casos, y la mortalidad fue de</w:t>
      </w:r>
      <w:r>
        <w:rPr>
          <w:rFonts w:ascii="Times New Roman" w:eastAsia="AdvPSA322" w:hAnsi="Times New Roman" w:cs="AdvPSA322"/>
        </w:rPr>
        <w:t xml:space="preserve"> 3 de cada 10000 casos (48).</w:t>
      </w:r>
    </w:p>
    <w:p w:rsidR="001B03C2" w:rsidRDefault="009B166E">
      <w:pPr>
        <w:spacing w:line="480" w:lineRule="auto"/>
        <w:jc w:val="both"/>
        <w:rPr>
          <w:rFonts w:ascii="Times New Roman" w:eastAsia="AdvPSA322" w:hAnsi="Times New Roman" w:cs="AdvPSA322"/>
        </w:rPr>
      </w:pPr>
      <w:r>
        <w:rPr>
          <w:rFonts w:ascii="Times New Roman" w:eastAsia="AdvPSA322" w:hAnsi="Times New Roman" w:cs="AdvPSA322"/>
        </w:rPr>
        <w:t>La utilización del propofol para sedación de colonoscopias, ha provocado un aumento de la satisfacción de los endoscopistas frente aquellos que emplean una sedación basada en la combinación de una benzodiacepina y un opioide.</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dvPSA322"/>
        </w:rPr>
        <w:t>Esta mejora se debe a la menor sensación de molestias en el paciente percibidas por el endoscopista, un inicio de acción más rápido, la escasa incidencia de complicaciones cardiopulmonares, y la rápida recuperación de los pacientes</w:t>
      </w:r>
      <w:r>
        <w:rPr>
          <w:rFonts w:ascii="Times New Roman" w:eastAsia="AdvPSA322" w:hAnsi="Times New Roman" w:cs="Arial"/>
        </w:rPr>
        <w:t>.</w:t>
      </w:r>
    </w:p>
    <w:p w:rsidR="001B03C2" w:rsidRPr="00AA2F17" w:rsidRDefault="009B166E">
      <w:pPr>
        <w:spacing w:line="480" w:lineRule="auto"/>
        <w:ind w:left="142"/>
        <w:jc w:val="both"/>
        <w:rPr>
          <w:rFonts w:ascii="Times New Roman" w:hAnsi="Times New Roman" w:cs="Arial"/>
        </w:rPr>
      </w:pPr>
      <w:r>
        <w:rPr>
          <w:rFonts w:ascii="Times New Roman" w:eastAsia="AdvPSA322" w:hAnsi="Times New Roman" w:cs="Arial"/>
        </w:rPr>
        <w:t>Sin embargo, no se trat</w:t>
      </w:r>
      <w:r>
        <w:rPr>
          <w:rFonts w:ascii="Times New Roman" w:eastAsia="AdvPSA322" w:hAnsi="Times New Roman" w:cs="Arial"/>
        </w:rPr>
        <w:t xml:space="preserve">a en absoluto de un fármaco exento de riesgos. </w:t>
      </w:r>
      <w:r>
        <w:rPr>
          <w:rFonts w:ascii="Times New Roman" w:hAnsi="Times New Roman" w:cs="Arial"/>
        </w:rPr>
        <w:t>Se han publicado estudios sobre las complicaciones cardiopulmonares que se producen durante las colonoscopias en las que los pacientes reciben sedación con propofol. El índice total de complicaciones es muy ba</w:t>
      </w:r>
      <w:r>
        <w:rPr>
          <w:rFonts w:ascii="Times New Roman" w:hAnsi="Times New Roman" w:cs="Arial"/>
        </w:rPr>
        <w:t>jo. Pero resulta interesante que el índice de complicaciones resulta todavía más bajo cuando es un anestesiólogo quien administra la sedación (49)</w:t>
      </w:r>
      <w:r w:rsidRPr="00AA2F17">
        <w:rPr>
          <w:rFonts w:ascii="Times New Roman" w:hAnsi="Times New Roman" w:cs="Arial"/>
        </w:rPr>
        <w:t>.</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Los principios para el manejo de las complicaciones relacionadas con la sedación farmacológica </w:t>
      </w:r>
      <w:r>
        <w:rPr>
          <w:rFonts w:ascii="Times New Roman" w:hAnsi="Times New Roman" w:cs="Arial"/>
        </w:rPr>
        <w:lastRenderedPageBreak/>
        <w:t>no se diferen</w:t>
      </w:r>
      <w:r>
        <w:rPr>
          <w:rFonts w:ascii="Times New Roman" w:hAnsi="Times New Roman" w:cs="Arial"/>
        </w:rPr>
        <w:t>cian de los del manejo de las complicaciones que se producen en el quirófano, pero los anestesiólogos también deben tener en cuenta que los recursos disponibles para manejar estos problemas en el quirófano pueden no estar tan fácilmente accesibles en la sa</w:t>
      </w:r>
      <w:r>
        <w:rPr>
          <w:rFonts w:ascii="Times New Roman" w:hAnsi="Times New Roman" w:cs="Arial"/>
        </w:rPr>
        <w:t>la de endoscopias (personal auxiliar entrenado, equipo necesario para adecuado manejo de la vía aérea). Antes de proporcionar servicios de anestesia en la unidad de endoscopias, el anestesiólogo debe anticipar, en función de la condición médica del pacient</w:t>
      </w:r>
      <w:r>
        <w:rPr>
          <w:rFonts w:ascii="Times New Roman" w:hAnsi="Times New Roman" w:cs="Arial"/>
        </w:rPr>
        <w:t xml:space="preserve">e, qué equipo podría ser necesario y hacer que esté presente. El anestesiólogo también debe tener un plan para obtener ayuda adicional en caso de que se produzca un episodio adverso grave. En ciertos pacientes de riesgo elevado, es apropiado solicitar que </w:t>
      </w:r>
      <w:r>
        <w:rPr>
          <w:rFonts w:ascii="Times New Roman" w:hAnsi="Times New Roman" w:cs="Arial"/>
        </w:rPr>
        <w:t>el lugar de la anestesia se traslade al quirófano, donde las complicaciones graves relacionadas con la anestesia se pueden manejar con mayor eficacia.</w:t>
      </w:r>
    </w:p>
    <w:p w:rsidR="001B03C2" w:rsidRDefault="001B03C2">
      <w:pPr>
        <w:spacing w:line="480" w:lineRule="auto"/>
        <w:ind w:left="142"/>
        <w:jc w:val="both"/>
        <w:rPr>
          <w:rFonts w:ascii="Times New Roman" w:hAnsi="Times New Roman" w:cs="Times New Roman"/>
          <w:b/>
        </w:rPr>
      </w:pPr>
    </w:p>
    <w:p w:rsidR="001B03C2" w:rsidRDefault="001B03C2">
      <w:pPr>
        <w:spacing w:line="480" w:lineRule="auto"/>
        <w:ind w:left="142"/>
        <w:jc w:val="both"/>
        <w:rPr>
          <w:rFonts w:ascii="Times New Roman" w:hAnsi="Times New Roman" w:cs="Arial"/>
          <w:b/>
        </w:rPr>
      </w:pPr>
    </w:p>
    <w:p w:rsidR="001B03C2" w:rsidRDefault="009B166E">
      <w:pPr>
        <w:spacing w:line="480" w:lineRule="auto"/>
        <w:jc w:val="both"/>
        <w:rPr>
          <w:rFonts w:ascii="Times New Roman" w:hAnsi="Times New Roman" w:cs="Arial"/>
          <w:b/>
        </w:rPr>
      </w:pPr>
      <w:r>
        <w:rPr>
          <w:rFonts w:ascii="Times New Roman" w:hAnsi="Times New Roman" w:cs="Arial"/>
          <w:b/>
        </w:rPr>
        <w:t>6.3.5 RECUPERACIÓN POSTANESTÉSICA.</w:t>
      </w:r>
    </w:p>
    <w:p w:rsidR="001B03C2" w:rsidRDefault="001B03C2">
      <w:pPr>
        <w:spacing w:line="480" w:lineRule="auto"/>
        <w:jc w:val="both"/>
        <w:rPr>
          <w:rFonts w:ascii="Times New Roman" w:hAnsi="Times New Roman" w:cs="Arial"/>
          <w:b/>
        </w:rPr>
      </w:pPr>
    </w:p>
    <w:p w:rsidR="001B03C2" w:rsidRDefault="009B166E">
      <w:pPr>
        <w:spacing w:line="480" w:lineRule="auto"/>
        <w:ind w:left="142"/>
        <w:jc w:val="both"/>
        <w:rPr>
          <w:rFonts w:ascii="Times New Roman" w:hAnsi="Times New Roman" w:cs="Arial"/>
        </w:rPr>
      </w:pPr>
      <w:r>
        <w:rPr>
          <w:rFonts w:ascii="Times New Roman" w:hAnsi="Times New Roman" w:cs="Arial"/>
        </w:rPr>
        <w:t>Es esencial que los pacientes que reciban sedación durante los proc</w:t>
      </w:r>
      <w:r>
        <w:rPr>
          <w:rFonts w:ascii="Times New Roman" w:hAnsi="Times New Roman" w:cs="Arial"/>
        </w:rPr>
        <w:t>edimientos de endoscopia permanezcan en observación un determinado tiempo, para asegurarnos de una completa recuperación.</w:t>
      </w:r>
    </w:p>
    <w:p w:rsidR="001B03C2" w:rsidRDefault="009B166E">
      <w:pPr>
        <w:spacing w:line="480" w:lineRule="auto"/>
        <w:ind w:left="142"/>
        <w:jc w:val="both"/>
        <w:rPr>
          <w:rFonts w:ascii="Times New Roman" w:hAnsi="Times New Roman" w:cs="Arial"/>
        </w:rPr>
      </w:pPr>
      <w:r>
        <w:rPr>
          <w:rFonts w:ascii="Times New Roman" w:hAnsi="Times New Roman" w:cs="Arial"/>
        </w:rPr>
        <w:t>Si es posible, es preferible que la recuperación postanestésica se produzca en la sala de endoscopias para evitar el transporte del pa</w:t>
      </w:r>
      <w:r>
        <w:rPr>
          <w:rFonts w:ascii="Times New Roman" w:hAnsi="Times New Roman" w:cs="Arial"/>
        </w:rPr>
        <w:t>ciente a otra localización en el período inmediato tras el procedimiento. Sin embargo, puede ser recomendable monitorizar a los pacientes de riesgo especialmente elevado de desarrollar complicaciones relacionadas con la anestesia en una unidad como la unid</w:t>
      </w:r>
      <w:r>
        <w:rPr>
          <w:rFonts w:ascii="Times New Roman" w:hAnsi="Times New Roman" w:cs="Arial"/>
        </w:rPr>
        <w:t>ad de recuperación postanestésica (URPA) quirúrgica, donde estas complicaciones se encuentran y se manejan con frecuencia.</w:t>
      </w:r>
    </w:p>
    <w:p w:rsidR="001B03C2" w:rsidRDefault="009B166E">
      <w:pPr>
        <w:spacing w:line="480" w:lineRule="auto"/>
        <w:ind w:left="142"/>
        <w:jc w:val="both"/>
        <w:rPr>
          <w:rFonts w:ascii="Times New Roman" w:hAnsi="Times New Roman" w:cs="Arial"/>
        </w:rPr>
      </w:pPr>
      <w:r>
        <w:rPr>
          <w:rFonts w:ascii="Times New Roman" w:hAnsi="Times New Roman" w:cs="Arial"/>
        </w:rPr>
        <w:t>Los criterios de alta deben ser los mismos que los que se aplican a los pacientes que reciben anestesia o sedación en el quirófano. E</w:t>
      </w:r>
      <w:r>
        <w:rPr>
          <w:rFonts w:ascii="Times New Roman" w:hAnsi="Times New Roman" w:cs="Arial"/>
        </w:rPr>
        <w:t xml:space="preserve">l personal de enfermería que asiste en la recuperación debe </w:t>
      </w:r>
      <w:r>
        <w:rPr>
          <w:rFonts w:ascii="Times New Roman" w:hAnsi="Times New Roman" w:cs="Arial"/>
        </w:rPr>
        <w:lastRenderedPageBreak/>
        <w:t xml:space="preserve">comprender completamente los criterios y saber cómo entrar en contacto con el personal de anestesia para pedir ayuda durante el período de recuperación. </w:t>
      </w:r>
    </w:p>
    <w:p w:rsidR="001B03C2" w:rsidRDefault="009B166E">
      <w:pPr>
        <w:spacing w:line="480" w:lineRule="auto"/>
        <w:ind w:left="142"/>
        <w:jc w:val="both"/>
        <w:rPr>
          <w:rFonts w:ascii="Times New Roman" w:hAnsi="Times New Roman" w:cs="Arial"/>
        </w:rPr>
      </w:pPr>
      <w:r>
        <w:rPr>
          <w:rFonts w:ascii="Times New Roman" w:hAnsi="Times New Roman" w:cs="Arial"/>
        </w:rPr>
        <w:t>Existen diversas escalas para valorar cuán</w:t>
      </w:r>
      <w:r>
        <w:rPr>
          <w:rFonts w:ascii="Times New Roman" w:hAnsi="Times New Roman" w:cs="Arial"/>
        </w:rPr>
        <w:t>do el paciente sedado reúne las condiciones para el alta domiciliaria, como las de Aldrete o Chung. En general derivan de los criterios de alta para procedimientos de cirugía ambulatoria.</w:t>
      </w:r>
    </w:p>
    <w:p w:rsidR="001B03C2" w:rsidRDefault="009B166E">
      <w:pPr>
        <w:spacing w:line="480" w:lineRule="auto"/>
        <w:ind w:left="142"/>
        <w:jc w:val="both"/>
        <w:rPr>
          <w:rFonts w:ascii="Times New Roman" w:hAnsi="Times New Roman" w:cs="Arial"/>
        </w:rPr>
      </w:pPr>
      <w:r>
        <w:rPr>
          <w:rFonts w:ascii="Times New Roman" w:hAnsi="Times New Roman" w:cs="Arial"/>
        </w:rPr>
        <w:t>Básicamente, las condiciones que debe reunir un paciente para ser da</w:t>
      </w:r>
      <w:r>
        <w:rPr>
          <w:rFonts w:ascii="Times New Roman" w:hAnsi="Times New Roman" w:cs="Arial"/>
        </w:rPr>
        <w:t xml:space="preserve">do de alta tras una colonoscopia con sedación son: </w:t>
      </w:r>
    </w:p>
    <w:p w:rsidR="001B03C2" w:rsidRDefault="009B166E">
      <w:pPr>
        <w:spacing w:line="480" w:lineRule="auto"/>
        <w:ind w:left="142"/>
        <w:jc w:val="both"/>
        <w:rPr>
          <w:rFonts w:ascii="Times New Roman" w:hAnsi="Times New Roman" w:cs="Arial"/>
        </w:rPr>
      </w:pPr>
      <w:r>
        <w:rPr>
          <w:rFonts w:ascii="Times New Roman" w:hAnsi="Times New Roman" w:cs="Arial"/>
        </w:rPr>
        <w:t>- Estado de consciencia alerta y orientado o un estado mental similar a su situación basal previa.</w:t>
      </w:r>
    </w:p>
    <w:p w:rsidR="001B03C2" w:rsidRDefault="009B166E">
      <w:pPr>
        <w:spacing w:line="480" w:lineRule="auto"/>
        <w:ind w:left="142"/>
        <w:jc w:val="both"/>
        <w:rPr>
          <w:rFonts w:ascii="Times New Roman" w:hAnsi="Times New Roman" w:cs="Arial"/>
        </w:rPr>
      </w:pPr>
      <w:r>
        <w:rPr>
          <w:rFonts w:ascii="Times New Roman" w:hAnsi="Times New Roman" w:cs="Arial"/>
        </w:rPr>
        <w:t>- Signos vitales estables y dentro de unos límites aceptables.</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 Posibilidad de respirar profundamente y </w:t>
      </w:r>
      <w:r>
        <w:rPr>
          <w:rFonts w:ascii="Times New Roman" w:hAnsi="Times New Roman" w:cs="Arial"/>
        </w:rPr>
        <w:t>recuperación de los reflejos protectores de la vía aérea.</w:t>
      </w:r>
    </w:p>
    <w:p w:rsidR="001B03C2" w:rsidRDefault="009B166E">
      <w:pPr>
        <w:spacing w:line="480" w:lineRule="auto"/>
        <w:ind w:left="142"/>
        <w:jc w:val="both"/>
        <w:rPr>
          <w:rFonts w:ascii="Times New Roman" w:hAnsi="Times New Roman" w:cs="Arial"/>
        </w:rPr>
      </w:pPr>
      <w:r>
        <w:rPr>
          <w:rFonts w:ascii="Times New Roman" w:hAnsi="Times New Roman" w:cs="Arial"/>
        </w:rPr>
        <w:t>- Posibilidad de caminar por sí solo de forma espontanea y deambular de forma similar a su situación previa.</w:t>
      </w:r>
    </w:p>
    <w:p w:rsidR="001B03C2" w:rsidRDefault="009B166E">
      <w:pPr>
        <w:spacing w:line="480" w:lineRule="auto"/>
        <w:ind w:left="142"/>
        <w:jc w:val="both"/>
        <w:rPr>
          <w:rFonts w:ascii="Times New Roman" w:hAnsi="Times New Roman" w:cs="Arial"/>
        </w:rPr>
      </w:pPr>
      <w:r>
        <w:rPr>
          <w:rFonts w:ascii="Times New Roman" w:hAnsi="Times New Roman" w:cs="Arial"/>
        </w:rPr>
        <w:t>- Ausencia de sangrado.</w:t>
      </w:r>
    </w:p>
    <w:p w:rsidR="001B03C2" w:rsidRDefault="009B166E">
      <w:pPr>
        <w:spacing w:line="480" w:lineRule="auto"/>
        <w:ind w:left="142"/>
        <w:jc w:val="both"/>
        <w:rPr>
          <w:rFonts w:ascii="Times New Roman" w:hAnsi="Times New Roman" w:cs="Arial"/>
        </w:rPr>
      </w:pPr>
      <w:r>
        <w:rPr>
          <w:rFonts w:ascii="Times New Roman" w:hAnsi="Times New Roman" w:cs="Arial"/>
        </w:rPr>
        <w:t>- Ausencia de dolor, nauseas o vómitos.</w:t>
      </w:r>
    </w:p>
    <w:p w:rsidR="001B03C2" w:rsidRDefault="009B166E">
      <w:pPr>
        <w:spacing w:line="480" w:lineRule="auto"/>
        <w:ind w:left="142"/>
        <w:jc w:val="both"/>
        <w:rPr>
          <w:rFonts w:ascii="Times New Roman" w:hAnsi="Times New Roman" w:cs="Arial"/>
        </w:rPr>
      </w:pPr>
      <w:r>
        <w:rPr>
          <w:rFonts w:ascii="Times New Roman" w:hAnsi="Times New Roman" w:cs="Arial"/>
        </w:rPr>
        <w:t>- Capacidad para comprend</w:t>
      </w:r>
      <w:r>
        <w:rPr>
          <w:rFonts w:ascii="Times New Roman" w:hAnsi="Times New Roman" w:cs="Arial"/>
        </w:rPr>
        <w:t>er las instrucciones orales o escritas que se le den al paciente para las horas posteriores a la sedación.</w:t>
      </w:r>
    </w:p>
    <w:p w:rsidR="001B03C2" w:rsidRDefault="009B166E">
      <w:pPr>
        <w:spacing w:line="480" w:lineRule="auto"/>
        <w:ind w:left="142"/>
        <w:jc w:val="both"/>
        <w:rPr>
          <w:rFonts w:ascii="Times New Roman" w:hAnsi="Times New Roman" w:cs="Arial"/>
        </w:rPr>
      </w:pPr>
      <w:r>
        <w:rPr>
          <w:rFonts w:ascii="Times New Roman" w:hAnsi="Times New Roman" w:cs="Arial"/>
        </w:rPr>
        <w:t>- Presencia de algún adulto responsable que acompañe al paciente hasta su domicilio y pueda comunicar cualquier complicación.</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Una vez el paciente </w:t>
      </w:r>
      <w:r>
        <w:rPr>
          <w:rFonts w:ascii="Times New Roman" w:hAnsi="Times New Roman" w:cs="Arial"/>
        </w:rPr>
        <w:t>cumple todos estos requisitos, puede ser dado de alta domiciliaria.</w:t>
      </w:r>
    </w:p>
    <w:p w:rsidR="001B03C2" w:rsidRDefault="009B166E">
      <w:pPr>
        <w:spacing w:line="480" w:lineRule="auto"/>
        <w:jc w:val="both"/>
        <w:rPr>
          <w:rFonts w:ascii="Times New Roman" w:hAnsi="Times New Roman" w:cs="Arial"/>
          <w:b/>
        </w:rPr>
      </w:pPr>
      <w:r>
        <w:rPr>
          <w:rFonts w:ascii="Times New Roman" w:hAnsi="Times New Roman" w:cs="Arial"/>
          <w:b/>
        </w:rPr>
        <w:t>6.4. FÁRMACOS EMPLEADOS PARA REALIZAR SEDACIONES.</w:t>
      </w:r>
    </w:p>
    <w:p w:rsidR="001B03C2" w:rsidRDefault="001B03C2">
      <w:pPr>
        <w:spacing w:line="480" w:lineRule="auto"/>
        <w:jc w:val="both"/>
        <w:rPr>
          <w:rFonts w:ascii="Times New Roman" w:hAnsi="Times New Roman" w:cs="Arial"/>
          <w:b/>
        </w:rPr>
      </w:pPr>
    </w:p>
    <w:p w:rsidR="001B03C2" w:rsidRDefault="009B166E">
      <w:pPr>
        <w:spacing w:line="480" w:lineRule="auto"/>
        <w:jc w:val="both"/>
        <w:rPr>
          <w:rFonts w:ascii="Times New Roman" w:hAnsi="Times New Roman" w:cs="Arial"/>
          <w:b/>
        </w:rPr>
      </w:pPr>
      <w:r>
        <w:rPr>
          <w:rFonts w:ascii="Times New Roman" w:hAnsi="Times New Roman" w:cs="Arial"/>
          <w:b/>
        </w:rPr>
        <w:t>6.4.1 SEDACIÓN INTRAVENOSA.</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El fármaco ideal para sedaciones de colonoscopias no existe. En realidad, si existiera, éste debería </w:t>
      </w:r>
      <w:r>
        <w:rPr>
          <w:rFonts w:ascii="Times New Roman" w:hAnsi="Times New Roman" w:cs="Arial"/>
        </w:rPr>
        <w:lastRenderedPageBreak/>
        <w:t>proporc</w:t>
      </w:r>
      <w:r>
        <w:rPr>
          <w:rFonts w:ascii="Times New Roman" w:hAnsi="Times New Roman" w:cs="Arial"/>
        </w:rPr>
        <w:t>ionar unas condiciones tales que permita realizar el procedimiento en ausencias de movimientos, que mantenga la estabilidad hemodinámica, que produzca escasa o nula depresión respiratoria, que proporcione efecto analgésico si así lo precisara la exploració</w:t>
      </w:r>
      <w:r>
        <w:rPr>
          <w:rFonts w:ascii="Times New Roman" w:hAnsi="Times New Roman" w:cs="Arial"/>
        </w:rPr>
        <w:t>n, que fuera fácilmente titulable y que permita una rápida recuperación del paciente.</w:t>
      </w:r>
    </w:p>
    <w:p w:rsidR="001B03C2" w:rsidRDefault="009B166E">
      <w:pPr>
        <w:spacing w:line="480" w:lineRule="auto"/>
        <w:ind w:left="142"/>
        <w:jc w:val="both"/>
        <w:rPr>
          <w:rFonts w:ascii="Times New Roman" w:hAnsi="Times New Roman" w:cs="Arial"/>
        </w:rPr>
      </w:pPr>
      <w:r>
        <w:rPr>
          <w:rFonts w:ascii="Times New Roman" w:hAnsi="Times New Roman" w:cs="Arial"/>
        </w:rPr>
        <w:t>La combinación tradicionalmente utilizada para la sedación en endoscopia es una benzodiacepina y un opiáceo. Progresivamente se han ido incorporando otros fármacos en bus</w:t>
      </w:r>
      <w:r>
        <w:rPr>
          <w:rFonts w:ascii="Times New Roman" w:hAnsi="Times New Roman" w:cs="Arial"/>
        </w:rPr>
        <w:t>ca de una dosificación fácil, una recuperación rápida y una minimización de los efectos secundarios adversos.</w:t>
      </w:r>
    </w:p>
    <w:p w:rsidR="001B03C2" w:rsidRDefault="009B166E">
      <w:pPr>
        <w:spacing w:line="480" w:lineRule="auto"/>
        <w:ind w:left="142"/>
        <w:jc w:val="both"/>
        <w:rPr>
          <w:rFonts w:ascii="Times New Roman" w:hAnsi="Times New Roman" w:cs="Arial"/>
        </w:rPr>
      </w:pPr>
      <w:r>
        <w:rPr>
          <w:rFonts w:ascii="Times New Roman" w:hAnsi="Times New Roman" w:cs="Arial"/>
        </w:rPr>
        <w:t>A continuación, se describirá una revisión de los fármacos sedantes más comúnmente empleados, describiendo sus propiedades farmacológicas y alguno</w:t>
      </w:r>
      <w:r>
        <w:rPr>
          <w:rFonts w:ascii="Times New Roman" w:hAnsi="Times New Roman" w:cs="Arial"/>
        </w:rPr>
        <w:t>s datos sobre su empleo en colonoscopias.</w:t>
      </w:r>
    </w:p>
    <w:p w:rsidR="001B03C2" w:rsidRDefault="001B03C2">
      <w:pPr>
        <w:spacing w:line="480" w:lineRule="auto"/>
        <w:ind w:left="142"/>
        <w:jc w:val="both"/>
        <w:rPr>
          <w:rFonts w:ascii="Times New Roman" w:hAnsi="Times New Roman" w:cs="Arial"/>
        </w:rPr>
      </w:pPr>
    </w:p>
    <w:p w:rsidR="001B03C2" w:rsidRDefault="009B166E">
      <w:pPr>
        <w:widowControl/>
        <w:suppressAutoHyphens w:val="0"/>
        <w:spacing w:line="480" w:lineRule="auto"/>
        <w:ind w:left="142"/>
        <w:jc w:val="both"/>
        <w:rPr>
          <w:rFonts w:ascii="Times New Roman" w:eastAsia="Times New Roman" w:hAnsi="Times New Roman" w:cs="Arial"/>
          <w:b/>
          <w:color w:val="1A181C"/>
          <w:lang w:eastAsia="ar-SA" w:bidi="ar-SA"/>
        </w:rPr>
      </w:pPr>
      <w:r>
        <w:rPr>
          <w:rFonts w:ascii="Times New Roman" w:eastAsia="Times New Roman" w:hAnsi="Times New Roman" w:cs="Arial"/>
          <w:b/>
          <w:color w:val="1A181C"/>
          <w:lang w:eastAsia="ar-SA" w:bidi="ar-SA"/>
        </w:rPr>
        <w:t>6.4.1.1 PROPOFOL.</w:t>
      </w:r>
    </w:p>
    <w:p w:rsidR="001B03C2" w:rsidRDefault="009B166E">
      <w:pPr>
        <w:widowControl/>
        <w:suppressAutoHyphens w:val="0"/>
        <w:spacing w:line="480" w:lineRule="auto"/>
        <w:ind w:left="142"/>
        <w:jc w:val="both"/>
        <w:rPr>
          <w:rFonts w:ascii="Times New Roman" w:eastAsia="Times New Roman" w:hAnsi="Times New Roman" w:cs="Arial"/>
          <w:color w:val="1A181C"/>
          <w:lang w:eastAsia="ar-SA" w:bidi="ar-SA"/>
        </w:rPr>
      </w:pPr>
      <w:r>
        <w:rPr>
          <w:rFonts w:ascii="Times New Roman" w:eastAsia="Times New Roman" w:hAnsi="Times New Roman" w:cs="Arial"/>
          <w:color w:val="1A181C"/>
          <w:lang w:eastAsia="ar-SA" w:bidi="ar-SA"/>
        </w:rPr>
        <w:t>El 2,6- di-isopropilfenol (Propofol lipuro</w:t>
      </w:r>
      <w:r>
        <w:rPr>
          <w:rFonts w:ascii="Times New Roman" w:hAnsi="Times New Roman" w:cs="Arial"/>
          <w:vertAlign w:val="superscript"/>
        </w:rPr>
        <w:t>®</w:t>
      </w:r>
      <w:r>
        <w:rPr>
          <w:rFonts w:ascii="Times New Roman" w:eastAsia="Times New Roman" w:hAnsi="Times New Roman" w:cs="Arial"/>
          <w:color w:val="1A181C"/>
          <w:lang w:eastAsia="ar-SA" w:bidi="ar-SA"/>
        </w:rPr>
        <w:t xml:space="preserve"> 1%, Braun) es un fármaco hipnótico sin propiedades analgésicas que se utiliza para la inducción y el mantenimiento de la anestesia general, así como para sedaciones. Se prepara como una emulsión hidrooleosa isotónica, que contiene lecitina de huevo, glice</w:t>
      </w:r>
      <w:r>
        <w:rPr>
          <w:rFonts w:ascii="Times New Roman" w:eastAsia="Times New Roman" w:hAnsi="Times New Roman" w:cs="Arial"/>
          <w:color w:val="1A181C"/>
          <w:lang w:eastAsia="ar-SA" w:bidi="ar-SA"/>
        </w:rPr>
        <w:t>rol, aceite de soja y ácido etilendiaminotetraacético (EDTA). Es de color blanco y se presenta en viales de 20, 50 y 100 ml. Actúa aumentando la actividad en las sinapsis inhibitorias del ácido gamma-aminobutírico ( GABA).</w:t>
      </w:r>
    </w:p>
    <w:p w:rsidR="001B03C2" w:rsidRDefault="009B166E">
      <w:pPr>
        <w:widowControl/>
        <w:suppressAutoHyphens w:val="0"/>
        <w:spacing w:line="480" w:lineRule="auto"/>
        <w:ind w:left="142"/>
        <w:jc w:val="both"/>
        <w:rPr>
          <w:rFonts w:ascii="Times New Roman" w:eastAsia="Times New Roman" w:hAnsi="Times New Roman" w:cs="Arial"/>
          <w:color w:val="1A181C"/>
          <w:lang w:eastAsia="ar-SA" w:bidi="ar-SA"/>
        </w:rPr>
      </w:pPr>
      <w:r>
        <w:rPr>
          <w:rFonts w:ascii="Times New Roman" w:eastAsia="Times New Roman" w:hAnsi="Times New Roman" w:cs="Arial"/>
          <w:color w:val="1A181C"/>
          <w:lang w:eastAsia="ar-SA" w:bidi="ar-SA"/>
        </w:rPr>
        <w:t>Muestra una rápida y amplia distr</w:t>
      </w:r>
      <w:r>
        <w:rPr>
          <w:rFonts w:ascii="Times New Roman" w:eastAsia="Times New Roman" w:hAnsi="Times New Roman" w:cs="Arial"/>
          <w:color w:val="1A181C"/>
          <w:lang w:eastAsia="ar-SA" w:bidi="ar-SA"/>
        </w:rPr>
        <w:t>ibución y un rápido aclaramiento metabólico. El aclaramiento corporal total es de aproximadamente 2 L/min. La unión a proteínas es de aproximadamente 97%. La eliminación se produce principalmente a través del metabolismo hepático hasta metabolitos inactivo</w:t>
      </w:r>
      <w:r>
        <w:rPr>
          <w:rFonts w:ascii="Times New Roman" w:eastAsia="Times New Roman" w:hAnsi="Times New Roman" w:cs="Arial"/>
          <w:color w:val="1A181C"/>
          <w:lang w:eastAsia="ar-SA" w:bidi="ar-SA"/>
        </w:rPr>
        <w:t>s, que son excretados principalmente por los riñones.  El deterioro de la función hepática y renal solo tiene una influencia menor sobre los parámetros farmacocinéticos.</w:t>
      </w:r>
    </w:p>
    <w:p w:rsidR="001B03C2" w:rsidRDefault="009B166E">
      <w:pPr>
        <w:widowControl/>
        <w:suppressAutoHyphens w:val="0"/>
        <w:spacing w:line="480" w:lineRule="auto"/>
        <w:ind w:left="142"/>
        <w:jc w:val="both"/>
        <w:rPr>
          <w:rFonts w:ascii="Times New Roman" w:eastAsia="Times New Roman" w:hAnsi="Times New Roman" w:cs="Arial"/>
          <w:color w:val="1A181C"/>
          <w:lang w:eastAsia="ar-SA" w:bidi="ar-SA"/>
        </w:rPr>
      </w:pPr>
      <w:r>
        <w:rPr>
          <w:rFonts w:ascii="Times New Roman" w:eastAsia="Times New Roman" w:hAnsi="Times New Roman" w:cs="Arial"/>
          <w:color w:val="1A181C"/>
          <w:lang w:eastAsia="ar-SA" w:bidi="ar-SA"/>
        </w:rPr>
        <w:t>Por sus características,  permite una rápida recuperación del estado de conciencia, in</w:t>
      </w:r>
      <w:r>
        <w:rPr>
          <w:rFonts w:ascii="Times New Roman" w:eastAsia="Times New Roman" w:hAnsi="Times New Roman" w:cs="Arial"/>
          <w:color w:val="1A181C"/>
          <w:lang w:eastAsia="ar-SA" w:bidi="ar-SA"/>
        </w:rPr>
        <w:t xml:space="preserve">cluso tras una infusión prolongada. Produce descensos dosis dependiente de la tensión arterial (TA) y del gasto </w:t>
      </w:r>
      <w:r>
        <w:rPr>
          <w:rFonts w:ascii="Times New Roman" w:eastAsia="Times New Roman" w:hAnsi="Times New Roman" w:cs="Arial"/>
          <w:color w:val="1A181C"/>
          <w:lang w:eastAsia="ar-SA" w:bidi="ar-SA"/>
        </w:rPr>
        <w:lastRenderedPageBreak/>
        <w:t xml:space="preserve">cardíaco (GC). La frecuencia cardíaca (FC) se afecta mínimamente y el reflejo barostático está disminuido. Disminuye la frecuencia respiratoria </w:t>
      </w:r>
      <w:r>
        <w:rPr>
          <w:rFonts w:ascii="Times New Roman" w:eastAsia="Times New Roman" w:hAnsi="Times New Roman" w:cs="Arial"/>
          <w:color w:val="1A181C"/>
          <w:lang w:eastAsia="ar-SA" w:bidi="ar-SA"/>
        </w:rPr>
        <w:t xml:space="preserve">(FR), el volumen corriente, y la respuesta ventilatoria a la hipercapnia. Puede provocar dolor al administrarlo por irritación venosa. Debe utilizarse con precaución en pacientes con alteraciones del metabolismo lipídico y está contraindicado en alérgicos </w:t>
      </w:r>
      <w:r>
        <w:rPr>
          <w:rFonts w:ascii="Times New Roman" w:eastAsia="Times New Roman" w:hAnsi="Times New Roman" w:cs="Arial"/>
          <w:color w:val="1A181C"/>
          <w:lang w:eastAsia="ar-SA" w:bidi="ar-SA"/>
        </w:rPr>
        <w:t>a alguno de sus componentes.</w:t>
      </w:r>
    </w:p>
    <w:p w:rsidR="001B03C2" w:rsidRPr="00AA2F17" w:rsidRDefault="009B166E">
      <w:pPr>
        <w:spacing w:line="480" w:lineRule="auto"/>
        <w:ind w:left="142"/>
        <w:jc w:val="both"/>
        <w:rPr>
          <w:rFonts w:ascii="Times New Roman" w:hAnsi="Times New Roman" w:cs="Arial"/>
        </w:rPr>
      </w:pPr>
      <w:r>
        <w:rPr>
          <w:rFonts w:ascii="Times New Roman" w:hAnsi="Times New Roman" w:cs="Arial"/>
        </w:rPr>
        <w:t>Su margen terapéutico es muy estrecho por lo que resulta fácil pasar desde un nivel de sedación moderada al de sedación profunda o anestesia general. Por ello, actualmente el prospecto del producto de la Food and Drug Administr</w:t>
      </w:r>
      <w:r>
        <w:rPr>
          <w:rFonts w:ascii="Times New Roman" w:hAnsi="Times New Roman" w:cs="Arial"/>
        </w:rPr>
        <w:t>ation (FDA) establece que el propofol «debe ser administrado sólo por personas formadas en la administración de anestesia general», los cuales también estarían capacitados para reanimar a un paciente de niveles no deseados de sedación profunda y ser compet</w:t>
      </w:r>
      <w:r>
        <w:rPr>
          <w:rFonts w:ascii="Times New Roman" w:hAnsi="Times New Roman" w:cs="Arial"/>
        </w:rPr>
        <w:t>entes en el manejo de una vía aérea comprometida (50)</w:t>
      </w:r>
      <w:r w:rsidRPr="00AA2F17">
        <w:rPr>
          <w:rFonts w:ascii="Times New Roman" w:hAnsi="Times New Roman" w:cs="Arial"/>
        </w:rPr>
        <w:t>.</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Las reacciones adversas más comúnmente observadas con propofol son hipotensión y depresión respiratoria. Estos efectos dependen no sólo de la dosis total administrada de propofol sino también del tipo </w:t>
      </w:r>
      <w:r>
        <w:rPr>
          <w:rFonts w:ascii="Times New Roman" w:hAnsi="Times New Roman" w:cs="Arial"/>
        </w:rPr>
        <w:t>de medicación previa y de otra medicación concomitante. Pueden aparecer reacciones de hipersensibilidad o anafilaxia, hipotensión, bradicardia, depresión respiratoria, tos, edema pulmonar, náuseas o vómitos, dolor local en el punto de inyección, mioclonías</w:t>
      </w:r>
      <w:r>
        <w:rPr>
          <w:rFonts w:ascii="Times New Roman" w:hAnsi="Times New Roman" w:cs="Arial"/>
        </w:rPr>
        <w:t>, distonías, fiebre y flebitis, como eventos más relevantes, aunque poco frecuentes.</w:t>
      </w:r>
    </w:p>
    <w:p w:rsidR="001B03C2" w:rsidRDefault="009B166E">
      <w:pPr>
        <w:spacing w:line="480" w:lineRule="auto"/>
        <w:ind w:left="142"/>
        <w:jc w:val="both"/>
        <w:rPr>
          <w:rFonts w:ascii="Times New Roman" w:hAnsi="Times New Roman" w:cs="Arial"/>
        </w:rPr>
      </w:pPr>
      <w:r>
        <w:rPr>
          <w:rFonts w:ascii="Times New Roman" w:hAnsi="Times New Roman" w:cs="Arial"/>
        </w:rPr>
        <w:t>El propofol se utiliza cada vez más para la sedación durante la colonoscopia, y cuenta con numerosos informes recientes de ensayos controlados aleatorizados y amplias seri</w:t>
      </w:r>
      <w:r>
        <w:rPr>
          <w:rFonts w:ascii="Times New Roman" w:hAnsi="Times New Roman" w:cs="Arial"/>
        </w:rPr>
        <w:t>es de casos no aleatorias. En los estudios publicados para los individuos en general sanos, el propofol puede provocar una aceleración de los tiempos de recuperación y de alta, una mayor satisfacción de los pacientes sin aumento de los efectos secundarios.</w:t>
      </w:r>
    </w:p>
    <w:p w:rsidR="001B03C2" w:rsidRDefault="009B166E">
      <w:pPr>
        <w:spacing w:line="480" w:lineRule="auto"/>
        <w:ind w:left="142"/>
        <w:jc w:val="both"/>
        <w:rPr>
          <w:rFonts w:ascii="Times New Roman" w:hAnsi="Times New Roman" w:cs="Arial"/>
        </w:rPr>
      </w:pPr>
      <w:r>
        <w:rPr>
          <w:rFonts w:ascii="Times New Roman" w:hAnsi="Times New Roman" w:cs="Arial"/>
        </w:rPr>
        <w:t>Cuando revisamos los resultados mostrados en los estudios que comparan sedación con propofol frente a benzodiacepinas y mórficos, en general observamos que las diferencias no resultan significativas en los diferentes aspectos estudiados.</w:t>
      </w:r>
    </w:p>
    <w:p w:rsidR="001B03C2" w:rsidRDefault="009B166E">
      <w:pPr>
        <w:spacing w:line="480" w:lineRule="auto"/>
        <w:jc w:val="both"/>
        <w:rPr>
          <w:rFonts w:ascii="Times New Roman" w:hAnsi="Times New Roman" w:cs="Arial"/>
          <w:color w:val="000000"/>
        </w:rPr>
      </w:pPr>
      <w:r>
        <w:rPr>
          <w:rFonts w:ascii="Times New Roman" w:hAnsi="Times New Roman" w:cs="Arial"/>
        </w:rPr>
        <w:lastRenderedPageBreak/>
        <w:t>En cuanto a los t</w:t>
      </w:r>
      <w:r>
        <w:rPr>
          <w:rFonts w:ascii="Times New Roman" w:hAnsi="Times New Roman" w:cs="Arial"/>
        </w:rPr>
        <w:t>iempos de recuperación de los pacientes tras la sedación con propofol, diferentes estudios informaron de una reducción de los mismos, en comparación con los métodos de sedación convencional (51,52)</w:t>
      </w:r>
      <w:r>
        <w:rPr>
          <w:rFonts w:ascii="Times New Roman" w:hAnsi="Times New Roman" w:cs="Arial"/>
          <w:color w:val="000000"/>
        </w:rPr>
        <w:t>. Resultados similares se obtuvieron con los tiempos de alt</w:t>
      </w:r>
      <w:r>
        <w:rPr>
          <w:rFonts w:ascii="Times New Roman" w:hAnsi="Times New Roman" w:cs="Arial"/>
          <w:color w:val="000000"/>
        </w:rPr>
        <w:t>a hospitalaria.</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Uno de los aspectos fundamentales es finalizar la exploración, lo cual incluye lograr la intubación del ciego. En general, los estudios que comparan propofol con la sedación tradicional no muestran diferencias significativas.</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 xml:space="preserve">La </w:t>
      </w:r>
      <w:r>
        <w:rPr>
          <w:rFonts w:ascii="Times New Roman" w:hAnsi="Times New Roman" w:cs="Arial"/>
          <w:color w:val="000000"/>
        </w:rPr>
        <w:t>satisfacción mostrada por los pacientes suele ser mayor en las sedaciones con propofol y, aunque se trata de un aspecto subjetivo, suele recopilarse en los estudios como uno de los aspectos que aporta calidad al proceso. De hecho, un mayor grado de satisfa</w:t>
      </w:r>
      <w:r>
        <w:rPr>
          <w:rFonts w:ascii="Times New Roman" w:hAnsi="Times New Roman" w:cs="Arial"/>
          <w:color w:val="000000"/>
        </w:rPr>
        <w:t>cción suele relacionarse con una mayor aceptación de los pacientes y la conformidad con las endoscopias posteriores. Este resultado es de especial importancia para las pruebas de vigilancia del cáncer colorrectal, donde los pacientes suelen necesitar numer</w:t>
      </w:r>
      <w:r>
        <w:rPr>
          <w:rFonts w:ascii="Times New Roman" w:hAnsi="Times New Roman" w:cs="Arial"/>
          <w:color w:val="000000"/>
        </w:rPr>
        <w:t>osas endoscopias.</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En cuanto al control del dolor, en general resultó mejor con los agentes tradicionales frente al propofol, posiblemente por la carencia de actividad analgésica de éste último. Posiblemente, el control del dolor en los estudios que utiliza</w:t>
      </w:r>
      <w:r>
        <w:rPr>
          <w:rFonts w:ascii="Times New Roman" w:hAnsi="Times New Roman" w:cs="Arial"/>
          <w:color w:val="000000"/>
        </w:rPr>
        <w:t>ron propofol como único agente fue un reflejo de la incapacidad de los pacientes de registrar esa sensación en el sistema nervioso central y de recordar el dolor.</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Dentro de los efectos adversos producidos por los fármacos sedantes, la hipoxia, la apnea y l</w:t>
      </w:r>
      <w:r>
        <w:rPr>
          <w:rFonts w:ascii="Times New Roman" w:hAnsi="Times New Roman" w:cs="Arial"/>
          <w:color w:val="000000"/>
        </w:rPr>
        <w:t>a depresión respiratoria que requiere intervención, son complicaciones en las que no suelen aparecer diferencias en los estudios publicados (53,54). Tampoco suelen haber diferencias en la aparición de arritmias cardíacas ni de hipotensión artesial.</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 xml:space="preserve">Dentro </w:t>
      </w:r>
      <w:r>
        <w:rPr>
          <w:rFonts w:ascii="Times New Roman" w:hAnsi="Times New Roman" w:cs="Arial"/>
          <w:color w:val="000000"/>
        </w:rPr>
        <w:t>del estudio de las complicaciones, la perforación del colon es, posiblemente, la más grave. En un amplio estudio que informó sobre este aspecto, no se encontró diferencias entre propofol y los agentes tradicionales (55). La baja tasa de complicaciones refe</w:t>
      </w:r>
      <w:r>
        <w:rPr>
          <w:rFonts w:ascii="Times New Roman" w:hAnsi="Times New Roman" w:cs="Arial"/>
          <w:color w:val="000000"/>
        </w:rPr>
        <w:t xml:space="preserve">ridas en los estudios podría deberse a la inclusión de pacientes sanos. Evidentemente, la tasa aumenta al incluir pacientes con </w:t>
      </w:r>
      <w:r>
        <w:rPr>
          <w:rFonts w:ascii="Times New Roman" w:hAnsi="Times New Roman" w:cs="Arial"/>
          <w:color w:val="000000"/>
        </w:rPr>
        <w:lastRenderedPageBreak/>
        <w:t>patología.</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Por tanto, el propofol aporta una serie de ventajas que lo hacen un fármaco muy útil para sedación de colonoscopias, ya que produce unas condiciones de sedación adecuadas, es fácilmente titulable, tiene efecto amnésico, permite acelerar los tiempos de recu</w:t>
      </w:r>
      <w:r>
        <w:rPr>
          <w:rFonts w:ascii="Times New Roman" w:hAnsi="Times New Roman" w:cs="Arial"/>
          <w:color w:val="000000"/>
        </w:rPr>
        <w:t xml:space="preserve">peración y la satisfacción de los pacientes. </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Sin embargo, las diferencias en los resultados no dependen únicamente de la elección del fármaco sedante, sino también de cómo se utiliza.</w:t>
      </w:r>
    </w:p>
    <w:p w:rsidR="001B03C2" w:rsidRDefault="009B166E">
      <w:pPr>
        <w:spacing w:line="480" w:lineRule="auto"/>
        <w:jc w:val="both"/>
        <w:rPr>
          <w:rFonts w:ascii="Times New Roman" w:hAnsi="Times New Roman" w:cs="Arial"/>
        </w:rPr>
      </w:pPr>
      <w:r>
        <w:rPr>
          <w:rFonts w:ascii="Times New Roman" w:hAnsi="Times New Roman" w:cs="Arial"/>
        </w:rPr>
        <w:t xml:space="preserve">Las características del propofol, como fármaco que reúne la mayoría de </w:t>
      </w:r>
      <w:r>
        <w:rPr>
          <w:rFonts w:ascii="Times New Roman" w:hAnsi="Times New Roman" w:cs="Arial"/>
        </w:rPr>
        <w:t>las condiciones óptimas para sedaciones, ha llamado la atención de personal no anestesiólogo para su empleo cotidiano. Son muchos los estudios que destacan la escasa incidencia de efectos adversos observados, y el ahorro de costes que supone la participaci</w:t>
      </w:r>
      <w:r>
        <w:rPr>
          <w:rFonts w:ascii="Times New Roman" w:hAnsi="Times New Roman" w:cs="Arial"/>
        </w:rPr>
        <w:t>ón de este personal. Sin embargo persisten las dudas sobre la verdadera incidencia de complicaciones de la vía aérea y sobre la necesidad de intervenciones sobre la misma.</w:t>
      </w:r>
    </w:p>
    <w:p w:rsidR="001B03C2" w:rsidRDefault="009B166E">
      <w:pPr>
        <w:spacing w:line="480" w:lineRule="auto"/>
        <w:ind w:left="142"/>
        <w:jc w:val="both"/>
        <w:rPr>
          <w:rFonts w:ascii="Times New Roman" w:hAnsi="Times New Roman" w:cs="Arial"/>
        </w:rPr>
      </w:pPr>
      <w:r>
        <w:rPr>
          <w:rFonts w:ascii="Times New Roman" w:hAnsi="Times New Roman" w:cs="Arial"/>
        </w:rPr>
        <w:t>Más aún, se plantean dudas sobre si el endoscopista debe estar capacitado para el re</w:t>
      </w:r>
      <w:r>
        <w:rPr>
          <w:rFonts w:ascii="Times New Roman" w:hAnsi="Times New Roman" w:cs="Arial"/>
        </w:rPr>
        <w:t>scate de la sedación profunda y de los problemas de la vía aérea (56,57).</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6.4.1.2 FOSPROPOFOL.</w:t>
      </w:r>
    </w:p>
    <w:p w:rsidR="001B03C2" w:rsidRDefault="009B166E">
      <w:pPr>
        <w:spacing w:line="480" w:lineRule="auto"/>
        <w:ind w:left="142"/>
        <w:jc w:val="both"/>
        <w:rPr>
          <w:rFonts w:ascii="Times New Roman" w:hAnsi="Times New Roman" w:cs="Arial"/>
        </w:rPr>
      </w:pPr>
      <w:r>
        <w:rPr>
          <w:rFonts w:ascii="Times New Roman" w:hAnsi="Times New Roman" w:cs="Arial"/>
        </w:rPr>
        <w:t>Es un profármaco del propofol soluble en agua que se está evaluando actualmente como agente para sedación moderada en procedimientos ambulatorios.</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rial"/>
        </w:rPr>
        <w:t>Se ha diseñad</w:t>
      </w:r>
      <w:r>
        <w:rPr>
          <w:rFonts w:ascii="Times New Roman" w:eastAsia="AdvPSA322" w:hAnsi="Times New Roman" w:cs="Arial"/>
        </w:rPr>
        <w:t>o para potenciar la efectividad y la seguridad del propofol.</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Se caracteriza por una subida y una declinación suaves y predecibles de su efecto, en lugar del rápido incremento observado después de la administración de la formulación de propofol en emulsión </w:t>
      </w:r>
      <w:r>
        <w:rPr>
          <w:rFonts w:ascii="Times New Roman" w:hAnsi="Times New Roman" w:cs="Arial"/>
        </w:rPr>
        <w:t>lipídica.</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rial"/>
        </w:rPr>
        <w:t xml:space="preserve">En un ensayo fase II, multicéntrico, en pacientes propuestos para colonoscopia bajo sedación, randomizados para recibir fospropofol o midazolam, el éxtito de la sedación se alcanzó con una </w:t>
      </w:r>
      <w:r>
        <w:rPr>
          <w:rFonts w:ascii="Times New Roman" w:eastAsia="AdvPSA322" w:hAnsi="Times New Roman" w:cs="Arial"/>
        </w:rPr>
        <w:lastRenderedPageBreak/>
        <w:t>dosis entre 6,5 y 8 mg/kg (58).</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rial"/>
        </w:rPr>
        <w:t>La inmensa mayoría de los</w:t>
      </w:r>
      <w:r>
        <w:rPr>
          <w:rFonts w:ascii="Times New Roman" w:eastAsia="AdvPSA322" w:hAnsi="Times New Roman" w:cs="Arial"/>
        </w:rPr>
        <w:t xml:space="preserve"> pacientes mostraron un nivel de sedación adecuado para realizar el procedimiento, con sólo 1 caso de 26 de sedación profunda. El 90% de los endoscopistas y de los pacientes estaban satisfechos. Los tiempos de exploración no variaron respecto otros estudio</w:t>
      </w:r>
      <w:r>
        <w:rPr>
          <w:rFonts w:ascii="Times New Roman" w:eastAsia="AdvPSA322" w:hAnsi="Times New Roman" w:cs="Arial"/>
        </w:rPr>
        <w:t>s con otros fármacos, y los efectos secundarios más frecuentes fueron el prurito y la sensación de quemazón o parestesia.</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rial"/>
        </w:rPr>
        <w:t>Resultados similares se obtuvieron en un ensayo fase III con 314 pacientes, con un grado de satisfacción tanto de pacientes como de pr</w:t>
      </w:r>
      <w:r>
        <w:rPr>
          <w:rFonts w:ascii="Times New Roman" w:eastAsia="AdvPSA322" w:hAnsi="Times New Roman" w:cs="Arial"/>
        </w:rPr>
        <w:t>ofesionales sanitarios muy elevados (59).</w:t>
      </w:r>
    </w:p>
    <w:p w:rsidR="001B03C2" w:rsidRDefault="009B166E">
      <w:pPr>
        <w:tabs>
          <w:tab w:val="left" w:pos="1725"/>
        </w:tabs>
        <w:spacing w:line="480" w:lineRule="auto"/>
        <w:ind w:left="142"/>
        <w:jc w:val="both"/>
        <w:rPr>
          <w:rFonts w:ascii="Times New Roman" w:eastAsia="AdvPSA322" w:hAnsi="Times New Roman" w:cs="Arial"/>
        </w:rPr>
      </w:pPr>
      <w:r>
        <w:rPr>
          <w:rFonts w:ascii="Times New Roman" w:eastAsia="AdvPSA322" w:hAnsi="Times New Roman" w:cs="Arial"/>
        </w:rPr>
        <w:t>El fospropofol mostró unos tiempos de menos de 9 minutos hasta presentar el paciente un estado de alerta tal que permitiera ser dado de alta.</w:t>
      </w:r>
    </w:p>
    <w:p w:rsidR="001B03C2" w:rsidRDefault="009B166E">
      <w:pPr>
        <w:tabs>
          <w:tab w:val="left" w:pos="1725"/>
        </w:tabs>
        <w:spacing w:line="480" w:lineRule="auto"/>
        <w:ind w:left="142"/>
        <w:jc w:val="both"/>
        <w:rPr>
          <w:rFonts w:ascii="Times New Roman" w:eastAsia="AdvPSA322" w:hAnsi="Times New Roman" w:cs="Arial"/>
        </w:rPr>
      </w:pPr>
      <w:r>
        <w:rPr>
          <w:rFonts w:ascii="Times New Roman" w:eastAsia="AdvPSA322" w:hAnsi="Times New Roman" w:cs="Arial"/>
        </w:rPr>
        <w:t>En comparación con el propofol, la dosificación del fospropofol parece s</w:t>
      </w:r>
      <w:r>
        <w:rPr>
          <w:rFonts w:ascii="Times New Roman" w:eastAsia="AdvPSA322" w:hAnsi="Times New Roman" w:cs="Arial"/>
        </w:rPr>
        <w:t>er más sencilla, y podría proporcionar una recuperación más rápida. Pero su dosificación debe realizarse ajustada de forma cuidadosa al peso ideal, ya que por su permanencia en plasma podría producir apneas respiratorias.</w:t>
      </w:r>
    </w:p>
    <w:p w:rsidR="001B03C2" w:rsidRDefault="009B166E">
      <w:pPr>
        <w:tabs>
          <w:tab w:val="left" w:pos="1725"/>
        </w:tabs>
        <w:spacing w:line="480" w:lineRule="auto"/>
        <w:ind w:left="142"/>
        <w:jc w:val="both"/>
        <w:rPr>
          <w:rFonts w:ascii="Times New Roman" w:hAnsi="Times New Roman" w:cs="Arial"/>
        </w:rPr>
      </w:pPr>
      <w:r>
        <w:rPr>
          <w:rFonts w:ascii="Times New Roman" w:eastAsia="AdvPSA322" w:hAnsi="Times New Roman" w:cs="Arial"/>
        </w:rPr>
        <w:t>Siendo un producto prometedor,</w:t>
      </w:r>
      <w:r>
        <w:rPr>
          <w:rFonts w:ascii="Times New Roman" w:eastAsia="AdvPSA322" w:hAnsi="Times New Roman" w:cs="AdvPSA322"/>
        </w:rPr>
        <w:t xml:space="preserve"> t</w:t>
      </w:r>
      <w:r>
        <w:rPr>
          <w:rFonts w:ascii="Times New Roman" w:hAnsi="Times New Roman" w:cs="Arial"/>
        </w:rPr>
        <w:t>od</w:t>
      </w:r>
      <w:r>
        <w:rPr>
          <w:rFonts w:ascii="Times New Roman" w:hAnsi="Times New Roman" w:cs="Arial"/>
        </w:rPr>
        <w:t>avía no existe suficiente experiencia clínica con este fármaco, sobre todo en comparación con el propofol.</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6.4.1.3 DEXMEDETOMIDINA.</w:t>
      </w:r>
    </w:p>
    <w:p w:rsidR="001B03C2" w:rsidRDefault="009B166E">
      <w:pPr>
        <w:spacing w:line="480" w:lineRule="auto"/>
        <w:ind w:left="142"/>
        <w:jc w:val="both"/>
        <w:rPr>
          <w:rFonts w:ascii="Times New Roman" w:eastAsia="AdvPSA322" w:hAnsi="Times New Roman" w:cs="Arial"/>
        </w:rPr>
      </w:pPr>
      <w:r>
        <w:rPr>
          <w:rFonts w:ascii="Times New Roman" w:hAnsi="Times New Roman" w:cs="Arial"/>
        </w:rPr>
        <w:t>Es un fármaco relativamente nuevo. Fue aprobado en 1999 por la FDA para sedación de pacientes en unidades de cuidados inten</w:t>
      </w:r>
      <w:r>
        <w:rPr>
          <w:rFonts w:ascii="Times New Roman" w:hAnsi="Times New Roman" w:cs="Arial"/>
        </w:rPr>
        <w:t>sivos. Es un agonista altamente selectivo del receptor alfa 2-adrenérgico con efectos sedantes y analgésicos</w:t>
      </w:r>
      <w:r>
        <w:rPr>
          <w:rFonts w:ascii="Times New Roman" w:hAnsi="Times New Roman" w:cs="Arial"/>
        </w:rPr>
        <w:t>.</w:t>
      </w:r>
      <w:r>
        <w:rPr>
          <w:rFonts w:ascii="Times New Roman" w:hAnsi="Times New Roman" w:cs="Arial"/>
        </w:rPr>
        <w:t xml:space="preserve">  Su mecanismo de acción a través de los receptores alfa-2 del locus cerúleus provoca una inhibición de la actividad neuronal, desencadenando un estado clínico de sedación e hipnosis. Su efecto analgésico lo realiza a través de receptores situados en la mé</w:t>
      </w:r>
      <w:r>
        <w:rPr>
          <w:rFonts w:ascii="Times New Roman" w:hAnsi="Times New Roman" w:cs="Arial"/>
        </w:rPr>
        <w:t>dula espinal.</w:t>
      </w:r>
      <w:r>
        <w:rPr>
          <w:rFonts w:ascii="Times New Roman" w:eastAsia="AdvPSA322" w:hAnsi="Times New Roman" w:cs="AdvPSA322"/>
        </w:rPr>
        <w:t xml:space="preserve"> </w:t>
      </w:r>
      <w:r>
        <w:rPr>
          <w:rFonts w:ascii="Times New Roman" w:hAnsi="Times New Roman" w:cs="Arial"/>
        </w:rPr>
        <w:t>Una ventaja importante es que los pacientes pueden estar sedados, pero son capaces de despertarse con conciencia total fácilmente. Además, se trata de un fármaco que produce mínima depresión respiratoria</w:t>
      </w:r>
      <w:r>
        <w:rPr>
          <w:rFonts w:ascii="Times New Roman" w:eastAsia="AdvPSA322" w:hAnsi="Times New Roman" w:cs="AdvPSA322"/>
        </w:rPr>
        <w:t xml:space="preserve">., </w:t>
      </w:r>
      <w:r>
        <w:rPr>
          <w:rFonts w:ascii="Times New Roman" w:eastAsia="AdvPSA322" w:hAnsi="Times New Roman" w:cs="Arial"/>
        </w:rPr>
        <w:t xml:space="preserve">por lo que podría ocupar un papel </w:t>
      </w:r>
      <w:r>
        <w:rPr>
          <w:rFonts w:ascii="Times New Roman" w:eastAsia="AdvPSA322" w:hAnsi="Times New Roman" w:cs="Arial"/>
        </w:rPr>
        <w:lastRenderedPageBreak/>
        <w:t>de</w:t>
      </w:r>
      <w:r>
        <w:rPr>
          <w:rFonts w:ascii="Times New Roman" w:eastAsia="AdvPSA322" w:hAnsi="Times New Roman" w:cs="Arial"/>
        </w:rPr>
        <w:t>stacado en el campo de la sedación de procedimientos digestivos.</w:t>
      </w:r>
    </w:p>
    <w:p w:rsidR="001B03C2" w:rsidRDefault="009B166E">
      <w:pPr>
        <w:spacing w:line="480" w:lineRule="auto"/>
        <w:ind w:left="142"/>
        <w:jc w:val="both"/>
        <w:rPr>
          <w:rFonts w:ascii="Times New Roman" w:hAnsi="Times New Roman" w:cs="Arial"/>
        </w:rPr>
      </w:pPr>
      <w:r>
        <w:rPr>
          <w:rFonts w:ascii="Times New Roman" w:hAnsi="Times New Roman" w:cs="Arial"/>
        </w:rPr>
        <w:t>Sin embargo, son pocos los estudios que han examinado este agente en el ambiente de la endoscopia, con resultados no concluyentes (60,61).</w:t>
      </w:r>
    </w:p>
    <w:p w:rsidR="001B03C2" w:rsidRDefault="001B03C2">
      <w:pPr>
        <w:spacing w:line="480" w:lineRule="auto"/>
        <w:ind w:left="142"/>
        <w:jc w:val="both"/>
        <w:rPr>
          <w:rFonts w:ascii="Times New Roman" w:hAnsi="Times New Roman" w:cs="Arial"/>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6.4.1.4 KETAMINA.</w:t>
      </w:r>
    </w:p>
    <w:p w:rsidR="001B03C2" w:rsidRDefault="009B166E">
      <w:pPr>
        <w:spacing w:line="480" w:lineRule="auto"/>
        <w:ind w:left="142"/>
        <w:jc w:val="both"/>
        <w:rPr>
          <w:rFonts w:ascii="Times New Roman" w:hAnsi="Times New Roman" w:cs="Arial"/>
        </w:rPr>
      </w:pPr>
      <w:r>
        <w:rPr>
          <w:rFonts w:ascii="Times New Roman" w:hAnsi="Times New Roman" w:cs="Arial"/>
        </w:rPr>
        <w:t>Es un agente hipnótico con potent</w:t>
      </w:r>
      <w:r>
        <w:rPr>
          <w:rFonts w:ascii="Times New Roman" w:hAnsi="Times New Roman" w:cs="Arial"/>
        </w:rPr>
        <w:t>e efecto sedante y analgésico. Desarrollado en la década de los años 70, existe una amplia experiencia en su manejo. Su mecanismo de acción, produce una anestesia disociativa, definida como una situación de desconexión del medio, analgesia y amnesia. Tiene</w:t>
      </w:r>
      <w:r>
        <w:rPr>
          <w:rFonts w:ascii="Times New Roman" w:hAnsi="Times New Roman" w:cs="Arial"/>
        </w:rPr>
        <w:t xml:space="preserve"> la ventaja de mantener la ventilación espontánea del paciente sedado, los reflejos de proteción de la vía aérea, así como la función cardiovascular.</w:t>
      </w:r>
    </w:p>
    <w:p w:rsidR="001B03C2" w:rsidRDefault="009B166E">
      <w:pPr>
        <w:spacing w:line="480" w:lineRule="auto"/>
        <w:ind w:left="142"/>
        <w:jc w:val="both"/>
        <w:rPr>
          <w:rFonts w:ascii="Times New Roman" w:eastAsia="AdvPSA322" w:hAnsi="Times New Roman" w:cs="Arial"/>
        </w:rPr>
      </w:pPr>
      <w:r>
        <w:rPr>
          <w:rFonts w:ascii="Times New Roman" w:hAnsi="Times New Roman" w:cs="Arial"/>
        </w:rPr>
        <w:t>Puede provocar algunos efectos adversos indeseables para el paciente ambulatorio como alucinaciones, delir</w:t>
      </w:r>
      <w:r>
        <w:rPr>
          <w:rFonts w:ascii="Times New Roman" w:hAnsi="Times New Roman" w:cs="Arial"/>
        </w:rPr>
        <w:t>ios, agitación y aumento se las secreciones. Tiene la ventaja de poder ser administrado vía intramuscular (im). Se ha estudiado tanto en endoscopia de adultos como en pediátricos, siendo un fármaco efectivo. Comparado con benzodiacepinas y opioides en pobl</w:t>
      </w:r>
      <w:r>
        <w:rPr>
          <w:rFonts w:ascii="Times New Roman" w:hAnsi="Times New Roman" w:cs="Arial"/>
        </w:rPr>
        <w:t>ación pediátrica, la ketamina presentó mejores condiciones de sedación y menos acontecimientos adversos, sobre todo desde el punto de vista respiratorio (62)</w:t>
      </w:r>
      <w:r>
        <w:rPr>
          <w:rFonts w:ascii="Times New Roman" w:eastAsia="AdvPSA322" w:hAnsi="Times New Roman" w:cs="Arial"/>
        </w:rPr>
        <w:t>.</w:t>
      </w:r>
    </w:p>
    <w:p w:rsidR="001B03C2" w:rsidRDefault="009B166E">
      <w:pPr>
        <w:spacing w:line="480" w:lineRule="auto"/>
        <w:ind w:left="142"/>
        <w:jc w:val="both"/>
        <w:rPr>
          <w:rFonts w:ascii="Times New Roman" w:eastAsia="AdvPSA322" w:hAnsi="Times New Roman" w:cs="Arial"/>
        </w:rPr>
      </w:pPr>
      <w:r>
        <w:rPr>
          <w:rFonts w:ascii="Times New Roman" w:eastAsia="AdvPSA322" w:hAnsi="Times New Roman" w:cs="Arial"/>
        </w:rPr>
        <w:t xml:space="preserve">El papel de este fármaco en población adulta no está tan delimitado, aunque posiblemente tuviera </w:t>
      </w:r>
      <w:r>
        <w:rPr>
          <w:rFonts w:ascii="Times New Roman" w:eastAsia="AdvPSA322" w:hAnsi="Times New Roman" w:cs="Arial"/>
        </w:rPr>
        <w:t>un lugar destacado en sedaciones de pacientes con antecedentes de dificultades en la sedación.</w:t>
      </w:r>
    </w:p>
    <w:p w:rsidR="001B03C2" w:rsidRDefault="001B03C2">
      <w:pPr>
        <w:spacing w:line="480" w:lineRule="auto"/>
        <w:ind w:left="142"/>
        <w:jc w:val="both"/>
        <w:rPr>
          <w:rFonts w:ascii="Times New Roman" w:hAnsi="Times New Roman" w:cs="Times New Roman"/>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6.4.1.5 BENZODIACEPINAS.</w:t>
      </w:r>
    </w:p>
    <w:p w:rsidR="001B03C2" w:rsidRDefault="009B166E">
      <w:pPr>
        <w:spacing w:line="480" w:lineRule="auto"/>
        <w:ind w:left="142"/>
        <w:jc w:val="both"/>
        <w:rPr>
          <w:rFonts w:ascii="Times New Roman" w:hAnsi="Times New Roman" w:cs="Arial"/>
        </w:rPr>
      </w:pPr>
      <w:r>
        <w:rPr>
          <w:rFonts w:ascii="Times New Roman" w:hAnsi="Times New Roman" w:cs="Arial"/>
        </w:rPr>
        <w:t>Han formado y forman parte integral del régimen de sedación en la endoscopia digestiva. Constituyen la primera parte de la sedación considerada “convencional”. El midazolam es la benzodiacepina más ampliamente utilizada, por sus características hidrosolubl</w:t>
      </w:r>
      <w:r>
        <w:rPr>
          <w:rFonts w:ascii="Times New Roman" w:hAnsi="Times New Roman" w:cs="Arial"/>
        </w:rPr>
        <w:t xml:space="preserve">es, su fácil titulación y sus efectos amnésicos. Como todo fármaco sedante, puede provocar depresión de la función respiratoria, pero posee la ventaja de la posibilidad de reversión de sus efectos mediante su </w:t>
      </w:r>
      <w:r>
        <w:rPr>
          <w:rFonts w:ascii="Times New Roman" w:hAnsi="Times New Roman" w:cs="Arial"/>
        </w:rPr>
        <w:lastRenderedPageBreak/>
        <w:t xml:space="preserve">reversor, el flumacenilo. </w:t>
      </w:r>
    </w:p>
    <w:p w:rsidR="001B03C2" w:rsidRDefault="001B03C2">
      <w:pPr>
        <w:spacing w:line="480" w:lineRule="auto"/>
        <w:ind w:left="142"/>
        <w:jc w:val="both"/>
        <w:rPr>
          <w:rFonts w:ascii="Times New Roman" w:hAnsi="Times New Roman" w:cs="Arial"/>
          <w:b/>
        </w:rPr>
      </w:pPr>
    </w:p>
    <w:p w:rsidR="001B03C2" w:rsidRDefault="009B166E">
      <w:pPr>
        <w:spacing w:line="480" w:lineRule="auto"/>
        <w:ind w:left="142"/>
        <w:jc w:val="both"/>
        <w:rPr>
          <w:rFonts w:ascii="Times New Roman" w:hAnsi="Times New Roman" w:cs="Arial"/>
          <w:b/>
        </w:rPr>
      </w:pPr>
      <w:r>
        <w:rPr>
          <w:rFonts w:ascii="Times New Roman" w:hAnsi="Times New Roman" w:cs="Arial"/>
          <w:b/>
        </w:rPr>
        <w:t>6.4.1.6 OPIÁCEOS.</w:t>
      </w:r>
    </w:p>
    <w:p w:rsidR="001B03C2" w:rsidRDefault="009B166E">
      <w:pPr>
        <w:spacing w:line="480" w:lineRule="auto"/>
        <w:ind w:left="142"/>
        <w:jc w:val="both"/>
        <w:rPr>
          <w:rFonts w:ascii="Times New Roman" w:hAnsi="Times New Roman" w:cs="Arial"/>
        </w:rPr>
      </w:pPr>
      <w:r>
        <w:rPr>
          <w:rFonts w:ascii="Times New Roman" w:hAnsi="Times New Roman" w:cs="Arial"/>
        </w:rPr>
        <w:t>L</w:t>
      </w:r>
      <w:r>
        <w:rPr>
          <w:rFonts w:ascii="Times New Roman" w:hAnsi="Times New Roman" w:cs="Arial"/>
        </w:rPr>
        <w:t xml:space="preserve">a segunda parte de la combinación convencional para la sedación es un opiáceo. </w:t>
      </w:r>
    </w:p>
    <w:p w:rsidR="001B03C2" w:rsidRDefault="009B166E">
      <w:pPr>
        <w:spacing w:line="480" w:lineRule="auto"/>
        <w:ind w:left="142"/>
        <w:jc w:val="both"/>
        <w:rPr>
          <w:rFonts w:ascii="Times New Roman" w:hAnsi="Times New Roman" w:cs="Arial"/>
        </w:rPr>
      </w:pPr>
      <w:r>
        <w:rPr>
          <w:rFonts w:ascii="Times New Roman" w:hAnsi="Times New Roman" w:cs="Arial"/>
        </w:rPr>
        <w:t>El más clásicamente utilizado es la meperidina, pero hoy en día el fentanilo se utiliza igualmente.</w:t>
      </w:r>
    </w:p>
    <w:p w:rsidR="001B03C2" w:rsidRDefault="009B166E">
      <w:pPr>
        <w:spacing w:line="480" w:lineRule="auto"/>
        <w:ind w:left="142"/>
        <w:jc w:val="both"/>
        <w:rPr>
          <w:rFonts w:ascii="Times New Roman" w:eastAsia="Times New Roman" w:hAnsi="Times New Roman" w:cs="Arial"/>
          <w:lang w:eastAsia="ar-SA" w:bidi="ar-SA"/>
        </w:rPr>
      </w:pPr>
      <w:r>
        <w:rPr>
          <w:rFonts w:ascii="Times New Roman" w:eastAsia="Times New Roman" w:hAnsi="Times New Roman" w:cs="Arial"/>
          <w:lang w:eastAsia="ar-SA" w:bidi="ar-SA"/>
        </w:rPr>
        <w:t xml:space="preserve">El </w:t>
      </w:r>
      <w:r>
        <w:rPr>
          <w:rFonts w:ascii="Times New Roman" w:eastAsia="Times New Roman" w:hAnsi="Times New Roman" w:cs="Arial"/>
          <w:b/>
          <w:lang w:eastAsia="ar-SA" w:bidi="ar-SA"/>
        </w:rPr>
        <w:t>remifentanilo</w:t>
      </w:r>
      <w:r>
        <w:rPr>
          <w:rFonts w:ascii="Times New Roman" w:eastAsia="Times New Roman" w:hAnsi="Times New Roman" w:cs="Arial"/>
          <w:lang w:eastAsia="ar-SA" w:bidi="ar-SA"/>
        </w:rPr>
        <w:t xml:space="preserve"> (Ultiva</w:t>
      </w:r>
      <w:r>
        <w:rPr>
          <w:rFonts w:ascii="Times New Roman" w:hAnsi="Times New Roman" w:cs="Arial"/>
          <w:vertAlign w:val="superscript"/>
        </w:rPr>
        <w:t>®</w:t>
      </w:r>
      <w:r>
        <w:rPr>
          <w:rFonts w:ascii="Times New Roman" w:eastAsia="Times New Roman" w:hAnsi="Times New Roman" w:cs="Arial"/>
          <w:lang w:eastAsia="ar-SA" w:bidi="ar-SA"/>
        </w:rPr>
        <w:t>, GlaxoSmithKline) es un agonista de los receptores</w:t>
      </w:r>
      <w:r>
        <w:rPr>
          <w:rFonts w:ascii="Times New Roman" w:eastAsia="Times New Roman" w:hAnsi="Times New Roman" w:cs="Arial"/>
          <w:lang w:eastAsia="ar-SA" w:bidi="ar-SA"/>
        </w:rPr>
        <w:t xml:space="preserve"> µ opioides, con una potencia analgésica similar al fentanilo y 20 a 30 veces más potente que el alfentanilo. Se presenta como viales de 1, 2 y 5 mg en polvo, que necesitan reconstituirse con suero fisiológico para su administración. Se utiliza en la práct</w:t>
      </w:r>
      <w:r>
        <w:rPr>
          <w:rFonts w:ascii="Times New Roman" w:eastAsia="Times New Roman" w:hAnsi="Times New Roman" w:cs="Arial"/>
          <w:lang w:eastAsia="ar-SA" w:bidi="ar-SA"/>
        </w:rPr>
        <w:t>ica clínica habitual en anestesia general, en sedaciones de pacientes críticos o procedimientos diagnóstico-terapéuticos que precisen analgesia.</w:t>
      </w:r>
    </w:p>
    <w:p w:rsidR="001B03C2" w:rsidRDefault="009B166E">
      <w:pPr>
        <w:spacing w:line="480" w:lineRule="auto"/>
        <w:ind w:left="142"/>
        <w:jc w:val="both"/>
        <w:rPr>
          <w:rFonts w:ascii="Times New Roman" w:eastAsia="Times New Roman" w:hAnsi="Times New Roman" w:cs="Arial"/>
          <w:lang w:eastAsia="ar-SA" w:bidi="ar-SA"/>
        </w:rPr>
      </w:pPr>
      <w:r>
        <w:rPr>
          <w:rFonts w:ascii="Times New Roman" w:eastAsia="Times New Roman" w:hAnsi="Times New Roman" w:cs="Arial"/>
          <w:lang w:eastAsia="ar-SA" w:bidi="ar-SA"/>
        </w:rPr>
        <w:t xml:space="preserve">El remifentanilo tiene un volumen de distribución bajo (se estima en humanos en 33L) por su relativamente baja </w:t>
      </w:r>
      <w:r>
        <w:rPr>
          <w:rFonts w:ascii="Times New Roman" w:eastAsia="Times New Roman" w:hAnsi="Times New Roman" w:cs="Arial"/>
          <w:lang w:eastAsia="ar-SA" w:bidi="ar-SA"/>
        </w:rPr>
        <w:t xml:space="preserve">liposolubilidad. La vida media se estima de 9 - 11 min. Después de una infusión prolongada la CSHT (Context-Sensitive Half Time), que es el tiempo que tarda en disminuir la concentración efectiva al 50% después de interrumpir la infusión, es de 3 - 4 min. </w:t>
      </w:r>
      <w:r>
        <w:rPr>
          <w:rFonts w:ascii="Times New Roman" w:eastAsia="Times New Roman" w:hAnsi="Times New Roman" w:cs="Arial"/>
          <w:lang w:eastAsia="ar-SA" w:bidi="ar-SA"/>
        </w:rPr>
        <w:t>El efecto de acumulación del remifentanilo es mínimo comparado con el resto de los opiáceos. Se metaboliza rápidamente a través de las esterasas plasmáticas inespecíficas. El principal metabolito del remifentanilo, con un grupo ácido carboxílico, aparece e</w:t>
      </w:r>
      <w:r>
        <w:rPr>
          <w:rFonts w:ascii="Times New Roman" w:eastAsia="Times New Roman" w:hAnsi="Times New Roman" w:cs="Arial"/>
          <w:lang w:eastAsia="ar-SA" w:bidi="ar-SA"/>
        </w:rPr>
        <w:t>n la orina en un 90%. La vida media de este metabolito es superior a la del remifentanilo pero carece prácticamente de efecto clínico. También puede ser hidrolizado por N-dealquilación en un 1.5% a un segundo metabolito. El aclaramiento del remifentanilo n</w:t>
      </w:r>
      <w:r>
        <w:rPr>
          <w:rFonts w:ascii="Times New Roman" w:eastAsia="Times New Roman" w:hAnsi="Times New Roman" w:cs="Arial"/>
          <w:lang w:eastAsia="ar-SA" w:bidi="ar-SA"/>
        </w:rPr>
        <w:t>o está alterado en pacientes con insuficiencia hepática.</w:t>
      </w:r>
    </w:p>
    <w:p w:rsidR="001B03C2" w:rsidRDefault="009B166E">
      <w:pPr>
        <w:spacing w:line="480" w:lineRule="auto"/>
        <w:ind w:left="142"/>
        <w:jc w:val="both"/>
        <w:rPr>
          <w:rFonts w:ascii="Times New Roman" w:eastAsia="Times New Roman" w:hAnsi="Times New Roman" w:cs="Arial"/>
          <w:lang w:eastAsia="ar-SA" w:bidi="ar-SA"/>
        </w:rPr>
      </w:pPr>
      <w:r>
        <w:rPr>
          <w:rFonts w:ascii="Times New Roman" w:eastAsia="Times New Roman" w:hAnsi="Times New Roman" w:cs="Arial"/>
          <w:lang w:eastAsia="ar-SA" w:bidi="ar-SA"/>
        </w:rPr>
        <w:t>Sobre el sistema nervioso central (SNC), posee cierta acción sedante, como el resto de opiáceos. Puede producir hipotensión y bradicardia, más aún si asocia a otros anestésicos. Generalmente proporci</w:t>
      </w:r>
      <w:r>
        <w:rPr>
          <w:rFonts w:ascii="Times New Roman" w:eastAsia="Times New Roman" w:hAnsi="Times New Roman" w:cs="Arial"/>
          <w:lang w:eastAsia="ar-SA" w:bidi="ar-SA"/>
        </w:rPr>
        <w:t>ona estabilidad hemodinámica. Puede producir depresión respiratoria dosis dependiente, con una rápida recuperación al cesar su administración. No se recomienda el uso del remifentanilo a altas dosis por la alta incidencia de rigidez muscular, que puede dif</w:t>
      </w:r>
      <w:r>
        <w:rPr>
          <w:rFonts w:ascii="Times New Roman" w:eastAsia="Times New Roman" w:hAnsi="Times New Roman" w:cs="Arial"/>
          <w:lang w:eastAsia="ar-SA" w:bidi="ar-SA"/>
        </w:rPr>
        <w:t xml:space="preserve">icultar la asistencia </w:t>
      </w:r>
      <w:r>
        <w:rPr>
          <w:rFonts w:ascii="Times New Roman" w:eastAsia="Times New Roman" w:hAnsi="Times New Roman" w:cs="Arial"/>
          <w:lang w:eastAsia="ar-SA" w:bidi="ar-SA"/>
        </w:rPr>
        <w:lastRenderedPageBreak/>
        <w:t>ventilatoria del paciente. Se debe ajustar la dosis al peso ideal y reducirla en ancianos o inestabilidad hemodinámica.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Las reacciones adversas más comúnmente relacionadas con la administración de remifentanilo son consecuencia direct</w:t>
      </w:r>
      <w:r>
        <w:rPr>
          <w:rFonts w:ascii="Times New Roman" w:hAnsi="Times New Roman" w:cs="Arial"/>
        </w:rPr>
        <w:t>a de la acción farmacológica de los fármacos que actúan en los receptores opioides μ. Estas reacciones adversas desaparecen a los pocos minutos de interrumpir o de disminuir la velocidad de administración de remifentanilo. Así, pueden aparecer reacciones a</w:t>
      </w:r>
      <w:r>
        <w:rPr>
          <w:rFonts w:ascii="Times New Roman" w:hAnsi="Times New Roman" w:cs="Arial"/>
        </w:rPr>
        <w:t>lérgicas, bradicardia, hipotensión, depresión respiratoria, rigidez muscular, nauseas, vómitos, prurito, estreñimiento, escalofríos y dolor postoperatorio tras su retirada brusca.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El remifentanilo es uno de los opiáceos más utilizados en anestesiología. Su</w:t>
      </w:r>
      <w:r>
        <w:rPr>
          <w:rFonts w:ascii="Times New Roman" w:hAnsi="Times New Roman" w:cs="Arial"/>
        </w:rPr>
        <w:t xml:space="preserve"> combinación junto con el propofol es una de las opciones más extendidas para realizar sedaciones, por la rápida metabolización de ambos fármacos y por su perfil de seguridad, siempre y cuando se empleen con el adecuado conocimiento y experiencia.</w:t>
      </w:r>
    </w:p>
    <w:p w:rsidR="001B03C2" w:rsidRDefault="001B03C2">
      <w:pPr>
        <w:widowControl/>
        <w:suppressAutoHyphens w:val="0"/>
        <w:spacing w:before="100" w:after="100" w:line="480" w:lineRule="auto"/>
        <w:ind w:left="142"/>
        <w:jc w:val="both"/>
        <w:rPr>
          <w:rFonts w:ascii="Times New Roman" w:hAnsi="Times New Roman" w:cs="Arial"/>
          <w:b/>
        </w:rPr>
      </w:pPr>
    </w:p>
    <w:p w:rsidR="001B03C2" w:rsidRDefault="009B166E">
      <w:pPr>
        <w:widowControl/>
        <w:suppressAutoHyphens w:val="0"/>
        <w:spacing w:before="100" w:after="100" w:line="480" w:lineRule="auto"/>
        <w:jc w:val="both"/>
        <w:rPr>
          <w:rFonts w:ascii="Times New Roman" w:hAnsi="Times New Roman" w:cs="Arial"/>
          <w:b/>
        </w:rPr>
      </w:pPr>
      <w:r>
        <w:rPr>
          <w:rFonts w:ascii="Times New Roman" w:hAnsi="Times New Roman" w:cs="Arial"/>
          <w:b/>
        </w:rPr>
        <w:t>6.4.2 S</w:t>
      </w:r>
      <w:r>
        <w:rPr>
          <w:rFonts w:ascii="Times New Roman" w:hAnsi="Times New Roman" w:cs="Arial"/>
          <w:b/>
        </w:rPr>
        <w:t>EDACIÓN INHALATORIA.</w:t>
      </w:r>
    </w:p>
    <w:p w:rsidR="001B03C2" w:rsidRDefault="001B03C2">
      <w:pPr>
        <w:widowControl/>
        <w:suppressAutoHyphens w:val="0"/>
        <w:spacing w:before="100" w:after="100" w:line="480" w:lineRule="auto"/>
        <w:ind w:left="142"/>
        <w:jc w:val="both"/>
        <w:rPr>
          <w:rFonts w:hint="eastAsia"/>
        </w:rPr>
      </w:pP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6.4.2.1 INTRODUCCIÓN</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A lo largo de la historia han ido apareciendo diferentes fármacos que, aplicados a través de la vía inhalatoria, han dado respuesta a las necesidades de cada momento, con no pocas decepciones y continuas modificac</w:t>
      </w:r>
      <w:r>
        <w:rPr>
          <w:rFonts w:ascii="Times New Roman" w:hAnsi="Times New Roman" w:cs="Arial"/>
        </w:rPr>
        <w:t>iones, en un intento por aportar las condiciones óptimas para el desarrollo de los procedimientos quirúrgicos.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xml:space="preserve">Las primeras aplicaciones de vapores anestésicos se remontan a 1846, año en el que Morton utilizó éter con este fin. Ese mismo año se publicó el </w:t>
      </w:r>
      <w:r>
        <w:rPr>
          <w:rFonts w:ascii="Times New Roman" w:hAnsi="Times New Roman" w:cs="Arial"/>
        </w:rPr>
        <w:t xml:space="preserve">empleo del cloroformo. Y en la misma época comenzó a utilizarse en las consultas de odontología el óxido nitroso, que sigue empleándose </w:t>
      </w:r>
      <w:r>
        <w:rPr>
          <w:rFonts w:ascii="Times New Roman" w:hAnsi="Times New Roman" w:cs="Arial"/>
        </w:rPr>
        <w:lastRenderedPageBreak/>
        <w:t>hasta hoy en día. Casi un siglo después comenzó a comercializarse el metoxiflurano (1962), que ya no se utiliza hace muc</w:t>
      </w:r>
      <w:r>
        <w:rPr>
          <w:rFonts w:ascii="Times New Roman" w:hAnsi="Times New Roman" w:cs="Arial"/>
        </w:rPr>
        <w:t>hos años por su difícil control debido a  su elevada liposolubilidad y por su toxicidad renal. Al final de la década de 1950 empezó a utilizarse el halotano, que hoy tampoco se utiliza por sus efectos cardiovasculares negativos y su toxicidad. Algo similar</w:t>
      </w:r>
      <w:r>
        <w:rPr>
          <w:rFonts w:ascii="Times New Roman" w:hAnsi="Times New Roman" w:cs="Arial"/>
        </w:rPr>
        <w:t xml:space="preserve"> ocurrió con el enflurano, comercializado en 1973. </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En la actualidad, junto con el óxido nitroso, los tres agentes halogenados que se administran en anestesia con más frecuencia son el sevoflurano, el desflurano y el isoflurano. Gracias  a los continuos av</w:t>
      </w:r>
      <w:r>
        <w:rPr>
          <w:rFonts w:ascii="Times New Roman" w:hAnsi="Times New Roman" w:cs="Arial"/>
        </w:rPr>
        <w:t>ances e investigaciones, estos fármacos han logrado establecerse como agentes de uso cotidiano en el campo de la Anestesiología, aunque todavía no están del todo claros algunos aspectos respecto a su mecanismo de acción.</w:t>
      </w:r>
    </w:p>
    <w:p w:rsidR="001B03C2" w:rsidRDefault="001B03C2">
      <w:pPr>
        <w:widowControl/>
        <w:suppressAutoHyphens w:val="0"/>
        <w:spacing w:before="100" w:after="100" w:line="480" w:lineRule="auto"/>
        <w:ind w:left="142"/>
        <w:jc w:val="both"/>
        <w:rPr>
          <w:rFonts w:ascii="Times New Roman" w:hAnsi="Times New Roman" w:cs="Arial"/>
        </w:rPr>
      </w:pP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6.4.2.2 CONCEPTOS BÁSICOS DE ANEST</w:t>
      </w:r>
      <w:r>
        <w:rPr>
          <w:rFonts w:ascii="Times New Roman" w:hAnsi="Times New Roman" w:cs="Arial"/>
        </w:rPr>
        <w:t>ESIA INHALATORIA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Los anestésicos inhalatorios se administran fácilmente por vía respiratoria,actúan con rapidez, y el ajuste de la dosis deseada es sencillo y seguro, pues es independiente del peso del paciente, y tienen un elevado margen de seguridad para</w:t>
      </w:r>
      <w:r>
        <w:rPr>
          <w:rFonts w:ascii="Times New Roman" w:hAnsi="Times New Roman" w:cs="Arial"/>
        </w:rPr>
        <w:t xml:space="preserve"> prevenir el despertar intraoperatorio. Se trata de fármacos que se encuentran en estado líquido y que precisan de un vaporizador que los transforma en gas, y de esa forma pueden administrarse a través del circuito de la estación de anestesia.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Los anestési</w:t>
      </w:r>
      <w:r>
        <w:rPr>
          <w:rFonts w:ascii="Times New Roman" w:hAnsi="Times New Roman" w:cs="Arial"/>
        </w:rPr>
        <w:t>cos inhalatorios actúan en diferentes lugares del sistema nervioso central, membranas celulares, receptores proteicos específicos post-sinápticos ( potenciando el efecto inhibidor del ácido gamma-amino-butírico ( GABA) y poseen un efecto sobre la transmisi</w:t>
      </w:r>
      <w:r>
        <w:rPr>
          <w:rFonts w:ascii="Times New Roman" w:hAnsi="Times New Roman" w:cs="Arial"/>
        </w:rPr>
        <w:t>ón del impulso en la sinapsis neuronal y , con concentraciones más altas, la propagación axonal del impulso nervioso. Las técnicas de neuroimagen como la tomografía por emisión de positrones y la resonancia magnética han demostrado que estos agentes modifi</w:t>
      </w:r>
      <w:r>
        <w:rPr>
          <w:rFonts w:ascii="Times New Roman" w:hAnsi="Times New Roman" w:cs="Arial"/>
        </w:rPr>
        <w:t>can la actividad metabólica cerebral de zonas específicas como el tálamo y la sustancia reticular.</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lastRenderedPageBreak/>
        <w:t>Además de la actividad cortical, los anestésicos inhalatorios halogenados, también son capaces de inhibir la actividad neuronal de la médula, bloqueando la t</w:t>
      </w:r>
      <w:r>
        <w:rPr>
          <w:rFonts w:ascii="Times New Roman" w:hAnsi="Times New Roman" w:cs="Arial"/>
        </w:rPr>
        <w:t>ransmisión sináptica de las vías somestésicas y motoras.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Así, la amnesia y la pérdida de consciencia están producidas por el efecto combinado sobre las estructuras medulares y supramedulares, y la inmovilidad, el bloqueo de la respuesta neuro-endocrina y e</w:t>
      </w:r>
      <w:r>
        <w:rPr>
          <w:rFonts w:ascii="Times New Roman" w:hAnsi="Times New Roman" w:cs="Arial"/>
        </w:rPr>
        <w:t>l efecto relajante sobre el músculo esquelético, se deben a su acción a nivel espinal.</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xml:space="preserve">Una vez introducido el anestésico en el organismo por vía respiratoria, las concentraciones del mismo tienden a equilibrarse por su paso a través de los distintos </w:t>
      </w:r>
      <w:r>
        <w:rPr>
          <w:rFonts w:ascii="Times New Roman" w:hAnsi="Times New Roman" w:cs="Arial"/>
        </w:rPr>
        <w:t>compartimentos. El paso del anestésico de un compartimento a otro dependerá de la diferencia de la presión parcial del gas entre los dos compartimentos, de la solubilidad del agente en ese compartimento y del flujo sanguíneo del órgano. Así, el agente anes</w:t>
      </w:r>
      <w:r>
        <w:rPr>
          <w:rFonts w:ascii="Times New Roman" w:hAnsi="Times New Roman" w:cs="Arial"/>
        </w:rPr>
        <w:t>tésico, desde el alveolo, pasa primero del compartimento sanguíneo a los órganos ricamente vascularizados ( cerebro, corazón, riñones, hígado), después a los menos vascularizados ( músculo-piel) y, por último, los débilmente vascularizados ( tejido graso).</w:t>
      </w:r>
      <w:r>
        <w:rPr>
          <w:rFonts w:ascii="Times New Roman" w:hAnsi="Times New Roman" w:cs="Arial"/>
        </w:rPr>
        <w:t xml:space="preserve"> De esta manera se puede entender el paso del anestésico por los diferentes tejidos y comprender la secuencia de sus efectos clínicos.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El objetivo de toda anestesia inhalatoria consiste en alcanzar una concentración adecuada del fármaco anestésico en el ce</w:t>
      </w:r>
      <w:r>
        <w:rPr>
          <w:rFonts w:ascii="Times New Roman" w:hAnsi="Times New Roman" w:cs="Arial"/>
        </w:rPr>
        <w:t>rebro que sea capaz de inhibir las respuestas al estímulo doloroso. La profundidad anestésica puede ser ajustada rápidamente y de forma predecible, ya que podemos monitorizar de manera continua tanto la fracción inspirada del gas anestésico como los nivele</w:t>
      </w:r>
      <w:r>
        <w:rPr>
          <w:rFonts w:ascii="Times New Roman" w:hAnsi="Times New Roman" w:cs="Arial"/>
        </w:rPr>
        <w:t xml:space="preserve">s tisulares mediante la fracción espirada alveolar, que equivale a la concentración a nivel cerebral del anestésico. </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Los efectos farmacodinámicos de este tipo de fármacos están relacionados con la dosis administrada, descritra clásicamente como la concent</w:t>
      </w:r>
      <w:r>
        <w:rPr>
          <w:rFonts w:ascii="Times New Roman" w:hAnsi="Times New Roman" w:cs="Arial"/>
        </w:rPr>
        <w:t xml:space="preserve">ración alveolar mínima ( CAM), que es la concentración alveolar de un anestésico a una atmósfera de presión capaz de inhibir el movimiento </w:t>
      </w:r>
      <w:r>
        <w:rPr>
          <w:rFonts w:ascii="Times New Roman" w:hAnsi="Times New Roman" w:cs="Arial"/>
        </w:rPr>
        <w:lastRenderedPageBreak/>
        <w:t>en respuesta a un estímulo quirúrgico en el 50% de los casos. Esta CAM varía en función del anestésico inhalatorio em</w:t>
      </w:r>
      <w:r>
        <w:rPr>
          <w:rFonts w:ascii="Times New Roman" w:hAnsi="Times New Roman" w:cs="Arial"/>
        </w:rPr>
        <w:t>pleado, de la edad del paciente y también de si se utiliza conjuntamente con otro tipo de fármaco anestésico o analgésico.</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xml:space="preserve">La adminstración de este tipo de anestésicos se realiza mediante una mascarilla facial acoplada a la cara del paciente inicialmente, </w:t>
      </w:r>
      <w:r>
        <w:rPr>
          <w:rFonts w:ascii="Times New Roman" w:hAnsi="Times New Roman" w:cs="Arial"/>
        </w:rPr>
        <w:t>y a través de un tubo endotraqueal o una mascarilla laríngea durante el desarrollo de la anestesia general. La captación del anestésico se valora con la relación en el tiempo entre la concentración alveolar y la concentración inspirada (FA/FI). De esta man</w:t>
      </w:r>
      <w:r>
        <w:rPr>
          <w:rFonts w:ascii="Times New Roman" w:hAnsi="Times New Roman" w:cs="Arial"/>
        </w:rPr>
        <w:t>era, a mayor concentración alveolar, mayor será la captación de anestésico. Los fármacos con una menor solubilidad en sangre producen el mayor incremento en la relación FA/FI, permitiendo una más rápida inducción anestésica, y también una eliminación más v</w:t>
      </w:r>
      <w:r>
        <w:rPr>
          <w:rFonts w:ascii="Times New Roman" w:hAnsi="Times New Roman" w:cs="Arial"/>
        </w:rPr>
        <w:t>eloz del organismo.</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La estructura físicoquímica del los fármacos halogenados condiciona las reglas de su administración. De esta forma, el isoflurano, el desflurano y el enflurano no se pueden administrar durante la inducción sin riesgo de irritación de la</w:t>
      </w:r>
      <w:r>
        <w:rPr>
          <w:rFonts w:ascii="Times New Roman" w:hAnsi="Times New Roman" w:cs="Arial"/>
        </w:rPr>
        <w:t xml:space="preserve"> vía respiratoria (laringoespasmo, broncoespasmo). En cambio, el sevoflurano se puede utilizar sin este riesgo en el niño y en el adulto para la inducción de la anestesia.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A modo de resumen, el anestésico ideal para ser utilizado en la inducción anestésica</w:t>
      </w:r>
      <w:r>
        <w:rPr>
          <w:rFonts w:ascii="Times New Roman" w:hAnsi="Times New Roman" w:cs="Arial"/>
        </w:rPr>
        <w:t xml:space="preserve"> por vía inhalatoria ha de tener las siguientes propiedades: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Tener una baja solubilidad, que permita una captación y eliminación rápidas.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No ser irritante para las vías aéreas.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Permitir el mantenimiento de la respiración espontánea.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Evitar el recue</w:t>
      </w:r>
      <w:r>
        <w:rPr>
          <w:rFonts w:ascii="Times New Roman" w:hAnsi="Times New Roman" w:cs="Arial"/>
        </w:rPr>
        <w:t>rdo intraoperatorio entre los períodos de inducción y mantenimiento.</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Proporcionar un ajuste preciso y rápido de la profundidad anestésica.</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lastRenderedPageBreak/>
        <w:t>- Permitir una inducción anestésica agradable, suave, rápida, y producir mínimas alteraciones hemodinámicas.</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 Faci</w:t>
      </w:r>
      <w:r>
        <w:rPr>
          <w:rFonts w:ascii="Times New Roman" w:hAnsi="Times New Roman" w:cs="Arial"/>
        </w:rPr>
        <w:t>litar una recuperación predecible y rápida, además de ser reversible y seguro.</w:t>
      </w:r>
    </w:p>
    <w:p w:rsidR="001B03C2" w:rsidRDefault="009B166E">
      <w:pPr>
        <w:widowControl/>
        <w:suppressAutoHyphens w:val="0"/>
        <w:spacing w:before="100" w:after="100" w:line="480" w:lineRule="auto"/>
        <w:ind w:left="142"/>
        <w:jc w:val="both"/>
        <w:rPr>
          <w:rFonts w:ascii="Times New Roman" w:hAnsi="Times New Roman" w:cs="Arial"/>
        </w:rPr>
      </w:pPr>
      <w:r>
        <w:rPr>
          <w:rFonts w:ascii="Times New Roman" w:hAnsi="Times New Roman" w:cs="Arial"/>
        </w:rPr>
        <w:t>Los fármacos anestésicos inhalatorios mayoritariamente empleados en el campo de la sedaciones anestésicas son el óxido nitroso y el sevoflurano.</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6.4.2.3 ÓXIDO NITROSO.</w:t>
      </w:r>
    </w:p>
    <w:p w:rsidR="001B03C2" w:rsidRDefault="009B166E">
      <w:pPr>
        <w:spacing w:line="480" w:lineRule="auto"/>
        <w:ind w:left="142"/>
        <w:jc w:val="both"/>
        <w:rPr>
          <w:rFonts w:ascii="Times New Roman" w:eastAsia="AdvPSA322" w:hAnsi="Times New Roman" w:cs="Arial"/>
        </w:rPr>
      </w:pPr>
      <w:r>
        <w:rPr>
          <w:rFonts w:ascii="Times New Roman" w:hAnsi="Times New Roman" w:cs="Arial"/>
        </w:rPr>
        <w:t xml:space="preserve">Se trata de un gas claro, incoloro e inodoro, que produce sedación y anestesia general interaccionando con las membranas celulares del sistema nervioso central tras atravesar la barrera hemato-encefálica. Su captación y eliminación son muy rápidas, por lo </w:t>
      </w:r>
      <w:r>
        <w:rPr>
          <w:rFonts w:ascii="Times New Roman" w:hAnsi="Times New Roman" w:cs="Arial"/>
        </w:rPr>
        <w:t>que su efecto clínico también lo es. Produce cierto grado de sedación, amnesia y analgesia con efectividad variable (64).</w:t>
      </w:r>
      <w:r>
        <w:rPr>
          <w:rFonts w:ascii="Times New Roman" w:eastAsia="Arial" w:hAnsi="Times New Roman" w:cs="Arial"/>
        </w:rPr>
        <w:t xml:space="preserve"> </w:t>
      </w:r>
      <w:r>
        <w:rPr>
          <w:rFonts w:ascii="Times New Roman" w:hAnsi="Times New Roman" w:cs="Arial"/>
        </w:rPr>
        <w:t xml:space="preserve">Posee un perfil bastante seguro aunque es un depresor ligero del miocardio y de la función respiratoria. Se ha empleado conjuntamente </w:t>
      </w:r>
      <w:r>
        <w:rPr>
          <w:rFonts w:ascii="Times New Roman" w:hAnsi="Times New Roman" w:cs="Arial"/>
        </w:rPr>
        <w:t>con el oxígeno para analgesia y sedación en quirófano y procedimientos dentales desde el siglo XIX</w:t>
      </w:r>
      <w:r>
        <w:rPr>
          <w:rFonts w:ascii="Times New Roman" w:eastAsia="AdvPSA322" w:hAnsi="Times New Roman" w:cs="AdvPSA322"/>
        </w:rPr>
        <w:t xml:space="preserve">, </w:t>
      </w:r>
      <w:r>
        <w:rPr>
          <w:rFonts w:ascii="Times New Roman" w:eastAsia="AdvPSA322" w:hAnsi="Times New Roman" w:cs="Arial"/>
        </w:rPr>
        <w:t xml:space="preserve">por lo que existe una amplia experiencia en su utilización. </w:t>
      </w:r>
    </w:p>
    <w:p w:rsidR="001B03C2" w:rsidRDefault="009B166E">
      <w:pPr>
        <w:spacing w:line="480" w:lineRule="auto"/>
        <w:ind w:left="142"/>
        <w:jc w:val="both"/>
        <w:rPr>
          <w:rFonts w:ascii="Times New Roman" w:eastAsia="AdvPSA322" w:hAnsi="Times New Roman" w:cs="AdvPSA322"/>
        </w:rPr>
      </w:pPr>
      <w:r>
        <w:rPr>
          <w:rFonts w:ascii="Times New Roman" w:eastAsia="AdvPSA322" w:hAnsi="Times New Roman" w:cs="AdvPSA322"/>
        </w:rPr>
        <w:t xml:space="preserve">Diversos estudios han probado su utilidad en la sedación de colonoscopias. Saunders et al (65) </w:t>
      </w:r>
      <w:r>
        <w:rPr>
          <w:rFonts w:ascii="Times New Roman" w:eastAsia="AdvPSA322" w:hAnsi="Times New Roman" w:cs="AdvPSA322"/>
        </w:rPr>
        <w:t>compararon la sedación inhalatoria con óxido nitroso con meperidina y midazolam intravenosos. Los pacientes refirieron un grado de molestia similar durante la prueba, siendo menor el tiempo de recuperación en el grupo inhalatorio, y la cefalea el evento ad</w:t>
      </w:r>
      <w:r>
        <w:rPr>
          <w:rFonts w:ascii="Times New Roman" w:eastAsia="AdvPSA322" w:hAnsi="Times New Roman" w:cs="AdvPSA322"/>
        </w:rPr>
        <w:t xml:space="preserve">verso más frecuente. Otros autores (66) encontraron, en ensayos similares, una menor eficacia con el uso del protóxido en comparación con la sedación intravenosa. Estudios más recientes han mostrado la eficacia de la sedación inhalatoria con óxido nitroso </w:t>
      </w:r>
      <w:r>
        <w:rPr>
          <w:rFonts w:ascii="Times New Roman" w:eastAsia="AdvPSA322" w:hAnsi="Times New Roman" w:cs="AdvPSA322"/>
        </w:rPr>
        <w:t>administrado como agente único (67) o conjuntamente a dosis subanestésicas de sevoflurano (68).</w:t>
      </w:r>
    </w:p>
    <w:p w:rsidR="001B03C2" w:rsidRDefault="009B166E">
      <w:pPr>
        <w:spacing w:line="480" w:lineRule="auto"/>
        <w:ind w:left="142"/>
        <w:jc w:val="both"/>
        <w:rPr>
          <w:rFonts w:ascii="Times New Roman" w:eastAsia="AdvPSA322" w:hAnsi="Times New Roman" w:cs="AdvPSA322"/>
        </w:rPr>
      </w:pPr>
      <w:r>
        <w:rPr>
          <w:rFonts w:ascii="Times New Roman" w:eastAsia="AdvPSA322" w:hAnsi="Times New Roman" w:cs="AdvPSA322"/>
        </w:rPr>
        <w:t xml:space="preserve">El óxido nitroso, por tanto, podría tener un papel destacado para la sedación de colonoscopias. Sin </w:t>
      </w:r>
      <w:r>
        <w:rPr>
          <w:rFonts w:ascii="Times New Roman" w:eastAsia="AdvPSA322" w:hAnsi="Times New Roman" w:cs="AdvPSA322"/>
        </w:rPr>
        <w:lastRenderedPageBreak/>
        <w:t xml:space="preserve">embargo, su efectividad frente a la sedación intravenosa no </w:t>
      </w:r>
      <w:r>
        <w:rPr>
          <w:rFonts w:ascii="Times New Roman" w:eastAsia="AdvPSA322" w:hAnsi="Times New Roman" w:cs="AdvPSA322"/>
        </w:rPr>
        <w:t>está demostrada en todos los grupos de población. Éste hecho junto a sus efectos adversos ( nausea, vómitos, cefalea, hipertensión arterial, arritmias cardíacas y posible relación con hipertermia maligna) y la contaminación ambiental, hacen que su empleo n</w:t>
      </w:r>
      <w:r>
        <w:rPr>
          <w:rFonts w:ascii="Times New Roman" w:eastAsia="AdvPSA322" w:hAnsi="Times New Roman" w:cs="AdvPSA322"/>
        </w:rPr>
        <w:t>o se haya extendido en la práctica clínica diaria.</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6.4.2.4 SEVOFLURANO.</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El </w:t>
      </w:r>
      <w:r>
        <w:rPr>
          <w:rFonts w:ascii="Times New Roman" w:hAnsi="Times New Roman" w:cs="Arial"/>
        </w:rPr>
        <w:t>Sevoflurano</w:t>
      </w:r>
      <w:r>
        <w:rPr>
          <w:rFonts w:ascii="Times New Roman" w:hAnsi="Times New Roman" w:cs="Arial"/>
        </w:rPr>
        <w:t xml:space="preserve"> (Sevorane</w:t>
      </w:r>
      <w:r>
        <w:rPr>
          <w:rFonts w:ascii="Times New Roman" w:hAnsi="Times New Roman" w:cs="Arial"/>
          <w:vertAlign w:val="superscript"/>
        </w:rPr>
        <w:t>®</w:t>
      </w:r>
      <w:r>
        <w:rPr>
          <w:rFonts w:ascii="Times New Roman" w:hAnsi="Times New Roman" w:cs="Arial"/>
        </w:rPr>
        <w:t>, Abbott) es un hipnótico, líquido a temperatura ambiente, que se vaporiza para conseguir su uso clínico en forma inhalada, bien con aire ambiente, mezclado c</w:t>
      </w:r>
      <w:r>
        <w:rPr>
          <w:rFonts w:ascii="Times New Roman" w:hAnsi="Times New Roman" w:cs="Arial"/>
        </w:rPr>
        <w:t>on oxígeno, protóxido de nitrógeno, u otros gases. Se presenta en un frasco de 250 ml con líquido al 100%.</w:t>
      </w:r>
    </w:p>
    <w:p w:rsidR="001B03C2" w:rsidRDefault="009B166E">
      <w:pPr>
        <w:spacing w:line="480" w:lineRule="auto"/>
        <w:ind w:left="142"/>
        <w:jc w:val="both"/>
        <w:rPr>
          <w:rFonts w:ascii="Times New Roman" w:eastAsia="Times New Roman" w:hAnsi="Times New Roman" w:cs="Arial"/>
          <w:color w:val="1A181C"/>
          <w:lang w:eastAsia="ar-SA" w:bidi="ar-SA"/>
        </w:rPr>
      </w:pPr>
      <w:r>
        <w:rPr>
          <w:rFonts w:ascii="Times New Roman" w:eastAsia="Times New Roman" w:hAnsi="Times New Roman" w:cs="Arial"/>
          <w:color w:val="1A181C"/>
          <w:lang w:eastAsia="ar-SA" w:bidi="ar-SA"/>
        </w:rPr>
        <w:t xml:space="preserve">Éste fármaco posee las características del producto ideal para realizar una inducción anestésica inhalatoria. Su baja solubilidad en sangre hace que </w:t>
      </w:r>
      <w:r>
        <w:rPr>
          <w:rFonts w:ascii="Times New Roman" w:eastAsia="Times New Roman" w:hAnsi="Times New Roman" w:cs="Arial"/>
          <w:color w:val="1A181C"/>
          <w:lang w:eastAsia="ar-SA" w:bidi="ar-SA"/>
        </w:rPr>
        <w:t>las concentraciones alveolares aumenten rápidamente después de la inducción y desciendan rápidamente después de suprimir la inhalación del fármaco. Su rápida eliminación pulmonar hace que &lt;5% del fármaco absorbido se metabolice en el hígado por el citocrom</w:t>
      </w:r>
      <w:r>
        <w:rPr>
          <w:rFonts w:ascii="Times New Roman" w:eastAsia="Times New Roman" w:hAnsi="Times New Roman" w:cs="Arial"/>
          <w:color w:val="1A181C"/>
          <w:lang w:eastAsia="ar-SA" w:bidi="ar-SA"/>
        </w:rPr>
        <w:t>o P450, a hexafluroisopropanol (HFIP) con eliminación de fluoruro inorgánico y dióxido de carbono (CO</w:t>
      </w:r>
      <w:r>
        <w:rPr>
          <w:rFonts w:ascii="Times New Roman" w:eastAsia="Times New Roman" w:hAnsi="Times New Roman" w:cs="Arial"/>
          <w:color w:val="1A181C"/>
          <w:vertAlign w:val="subscript"/>
          <w:lang w:eastAsia="ar-SA" w:bidi="ar-SA"/>
        </w:rPr>
        <w:t>2</w:t>
      </w:r>
      <w:r>
        <w:rPr>
          <w:rFonts w:ascii="Times New Roman" w:eastAsia="Times New Roman" w:hAnsi="Times New Roman" w:cs="Arial"/>
          <w:color w:val="1A181C"/>
          <w:lang w:eastAsia="ar-SA" w:bidi="ar-SA"/>
        </w:rPr>
        <w:t xml:space="preserve">) (o a fragmentos de un carbono). HFIP se conjuga rápidamente con ácido glucurónico y se excreta por la orina. No se han identificado otros mecanismos de </w:t>
      </w:r>
      <w:r>
        <w:rPr>
          <w:rFonts w:ascii="Times New Roman" w:eastAsia="Times New Roman" w:hAnsi="Times New Roman" w:cs="Arial"/>
          <w:color w:val="1A181C"/>
          <w:lang w:eastAsia="ar-SA" w:bidi="ar-SA"/>
        </w:rPr>
        <w:t>metabolización del sevoflurano. Está contraindicado en pacientes alérgicos a sus componentes o en aquellos susceptibles de desarrollar hipertermia maligna.</w:t>
      </w:r>
    </w:p>
    <w:p w:rsidR="001B03C2" w:rsidRDefault="009B166E">
      <w:pPr>
        <w:spacing w:line="480" w:lineRule="auto"/>
        <w:ind w:left="142"/>
        <w:jc w:val="both"/>
        <w:rPr>
          <w:rFonts w:ascii="Times New Roman" w:hAnsi="Times New Roman" w:cs="Arial"/>
        </w:rPr>
      </w:pPr>
      <w:r>
        <w:rPr>
          <w:rFonts w:ascii="Times New Roman" w:hAnsi="Times New Roman" w:cs="Arial"/>
        </w:rPr>
        <w:t>El sevoflurano tiene unas propiedades que resultan ideales para su uso en procedimientos ambulatorio</w:t>
      </w:r>
      <w:r>
        <w:rPr>
          <w:rFonts w:ascii="Times New Roman" w:hAnsi="Times New Roman" w:cs="Arial"/>
        </w:rPr>
        <w:t>s. Tiene un olor agradable, no pungente, lo que mejora su aceptación en la inducción con mascarilla facial.</w:t>
      </w:r>
    </w:p>
    <w:p w:rsidR="001B03C2" w:rsidRDefault="009B166E">
      <w:pPr>
        <w:spacing w:line="480" w:lineRule="auto"/>
        <w:ind w:left="142"/>
        <w:jc w:val="both"/>
        <w:rPr>
          <w:rFonts w:ascii="Times New Roman" w:hAnsi="Times New Roman" w:cs="Arial"/>
        </w:rPr>
      </w:pPr>
      <w:r>
        <w:rPr>
          <w:rFonts w:ascii="Times New Roman" w:hAnsi="Times New Roman" w:cs="Arial"/>
        </w:rPr>
        <w:t>Posee una solubilidad en sangre muy baja, por lo que la relación de las concentraciones alveolar/inspirada aumenta rápidamente con la inducción, y d</w:t>
      </w:r>
      <w:r>
        <w:rPr>
          <w:rFonts w:ascii="Times New Roman" w:hAnsi="Times New Roman" w:cs="Arial"/>
        </w:rPr>
        <w:t xml:space="preserve">isminuye rápidamente al cesar la administración del agente, lo que proporciona un inicio y recuperación rápida y un ajuste rápido </w:t>
      </w:r>
      <w:r>
        <w:rPr>
          <w:rFonts w:ascii="Times New Roman" w:hAnsi="Times New Roman" w:cs="Arial"/>
        </w:rPr>
        <w:lastRenderedPageBreak/>
        <w:t xml:space="preserve">de la concentración parcial del mismo en la sangre y en el cerebro. </w:t>
      </w:r>
    </w:p>
    <w:p w:rsidR="001B03C2" w:rsidRDefault="009B166E">
      <w:pPr>
        <w:spacing w:line="480" w:lineRule="auto"/>
        <w:ind w:left="142"/>
        <w:jc w:val="both"/>
        <w:rPr>
          <w:rFonts w:ascii="Times New Roman" w:eastAsia="Times New Roman" w:hAnsi="Times New Roman" w:cs="Arial"/>
          <w:lang w:eastAsia="ar-SA" w:bidi="ar-SA"/>
        </w:rPr>
      </w:pPr>
      <w:r>
        <w:rPr>
          <w:rFonts w:ascii="Times New Roman" w:eastAsia="Times New Roman" w:hAnsi="Times New Roman" w:cs="Arial"/>
          <w:lang w:eastAsia="ar-SA" w:bidi="ar-SA"/>
        </w:rPr>
        <w:t xml:space="preserve">Como con todos los anestésicos inhalados potentes, puede </w:t>
      </w:r>
      <w:r>
        <w:rPr>
          <w:rFonts w:ascii="Times New Roman" w:eastAsia="Times New Roman" w:hAnsi="Times New Roman" w:cs="Arial"/>
          <w:lang w:eastAsia="ar-SA" w:bidi="ar-SA"/>
        </w:rPr>
        <w:t>producir depresión cardio-respiratoria dependiente de la dosis. La mayoría de las reacciones adversas tienen un grado de severidad de medio a moderado y son transitorias. Los efectos adversos más frecuentes son la hipotensión, bradicardia, agitación, náuse</w:t>
      </w:r>
      <w:r>
        <w:rPr>
          <w:rFonts w:ascii="Times New Roman" w:eastAsia="Times New Roman" w:hAnsi="Times New Roman" w:cs="Arial"/>
          <w:lang w:eastAsia="ar-SA" w:bidi="ar-SA"/>
        </w:rPr>
        <w:t>as y vómitos. Es poco irritante sobre la vía aérea.</w:t>
      </w:r>
    </w:p>
    <w:p w:rsidR="001B03C2" w:rsidRDefault="009B166E">
      <w:pPr>
        <w:spacing w:line="480" w:lineRule="auto"/>
        <w:ind w:left="142"/>
        <w:jc w:val="both"/>
        <w:rPr>
          <w:rFonts w:ascii="Times New Roman" w:hAnsi="Times New Roman" w:cs="Arial"/>
        </w:rPr>
      </w:pPr>
      <w:r>
        <w:rPr>
          <w:rFonts w:ascii="Times New Roman" w:hAnsi="Times New Roman" w:cs="Arial"/>
        </w:rPr>
        <w:t>No ejerce efecto estimulante en el sistema nervioso simpático. Tiene efecto mínimo sobre la presión intracraneal y previene la respuesta al CO2.</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En cuanto a su dosificación, se pueden utilizar concentraciones de hasta el 8% para la inducción anestésica. Los niveles de anestesia quirúrgica pueden mantenerse 0,5% a 3% en adultos, siendo  </w:t>
      </w:r>
      <w:r>
        <w:rPr>
          <w:rFonts w:ascii="Times New Roman" w:eastAsia="Times New Roman" w:hAnsi="Times New Roman" w:cs="Arial"/>
          <w:color w:val="1A181C"/>
          <w:lang w:eastAsia="ar-SA" w:bidi="ar-SA"/>
        </w:rPr>
        <w:t>la concentración alveolar mínima del 2,05% para un adulto de 40</w:t>
      </w:r>
      <w:r>
        <w:rPr>
          <w:rFonts w:ascii="Times New Roman" w:eastAsia="Times New Roman" w:hAnsi="Times New Roman" w:cs="Arial"/>
          <w:color w:val="1A181C"/>
          <w:lang w:eastAsia="ar-SA" w:bidi="ar-SA"/>
        </w:rPr>
        <w:t xml:space="preserve"> años,</w:t>
      </w:r>
      <w:r>
        <w:rPr>
          <w:rFonts w:ascii="Times New Roman" w:eastAsia="Times New Roman" w:hAnsi="Times New Roman" w:cs="Arial"/>
          <w:b/>
          <w:i/>
          <w:color w:val="1A181C"/>
          <w:lang w:eastAsia="ar-SA" w:bidi="ar-SA"/>
        </w:rPr>
        <w:t xml:space="preserve"> </w:t>
      </w:r>
      <w:r>
        <w:rPr>
          <w:rFonts w:ascii="Times New Roman" w:hAnsi="Times New Roman" w:cs="Arial"/>
        </w:rPr>
        <w:t xml:space="preserve"> menor en ancianos y mayor en niños. </w:t>
      </w:r>
    </w:p>
    <w:p w:rsidR="001B03C2" w:rsidRDefault="009B166E">
      <w:pPr>
        <w:spacing w:line="480" w:lineRule="auto"/>
        <w:ind w:left="142"/>
        <w:jc w:val="both"/>
        <w:rPr>
          <w:rFonts w:ascii="Times New Roman" w:hAnsi="Times New Roman" w:cs="Arial"/>
        </w:rPr>
      </w:pPr>
      <w:r>
        <w:rPr>
          <w:rFonts w:ascii="Times New Roman" w:hAnsi="Times New Roman" w:cs="Arial"/>
        </w:rPr>
        <w:t>El despertar anestésico es más rápido que con otros agentes inhalatorios, y se asocia con una menor incidencia de náuseas y vómitos.</w:t>
      </w:r>
    </w:p>
    <w:p w:rsidR="001B03C2" w:rsidRDefault="009B166E">
      <w:pPr>
        <w:spacing w:line="480" w:lineRule="auto"/>
        <w:ind w:left="142"/>
        <w:jc w:val="both"/>
        <w:rPr>
          <w:rFonts w:ascii="Times New Roman" w:hAnsi="Times New Roman" w:cs="Arial"/>
        </w:rPr>
      </w:pPr>
      <w:r>
        <w:rPr>
          <w:rFonts w:ascii="Times New Roman" w:hAnsi="Times New Roman" w:cs="Arial"/>
        </w:rPr>
        <w:t>La inducción anestésica inhalatoria con Sevoflurano es una técnica probada, so</w:t>
      </w:r>
      <w:r>
        <w:rPr>
          <w:rFonts w:ascii="Times New Roman" w:hAnsi="Times New Roman" w:cs="Arial"/>
        </w:rPr>
        <w:t>bre todo en población infantil, por la dificultad de la canulación de una vía venosa en un niño despierto. Habitualmente se recomienda realizar una premedicación con algún tipo de benzodiacepina antes de iniciar la inducción inhalatoria. Ésta se lleva a ca</w:t>
      </w:r>
      <w:r>
        <w:rPr>
          <w:rFonts w:ascii="Times New Roman" w:hAnsi="Times New Roman" w:cs="Arial"/>
        </w:rPr>
        <w:t>bo mediante una mascarilla facial acoplada a la cara del paciente de forma que se obtenga un sellado lo más hermético posible.</w:t>
      </w:r>
    </w:p>
    <w:p w:rsidR="001B03C2" w:rsidRDefault="009B166E">
      <w:pPr>
        <w:spacing w:line="480" w:lineRule="auto"/>
        <w:ind w:left="142"/>
        <w:jc w:val="both"/>
        <w:rPr>
          <w:rFonts w:ascii="Times New Roman" w:hAnsi="Times New Roman" w:cs="Arial"/>
        </w:rPr>
      </w:pPr>
      <w:r>
        <w:rPr>
          <w:rFonts w:ascii="Times New Roman" w:hAnsi="Times New Roman" w:cs="Arial"/>
        </w:rPr>
        <w:t>Clásicamente se han descrito tres modos diferentes para realizar una inducción inhalatoria con este fármaco (69):</w:t>
      </w:r>
    </w:p>
    <w:p w:rsidR="001B03C2" w:rsidRDefault="009B166E">
      <w:pPr>
        <w:spacing w:line="480" w:lineRule="auto"/>
        <w:ind w:left="142"/>
        <w:jc w:val="both"/>
        <w:rPr>
          <w:rFonts w:ascii="Times New Roman" w:hAnsi="Times New Roman" w:cs="Arial"/>
          <w:u w:val="single"/>
        </w:rPr>
      </w:pPr>
      <w:r>
        <w:rPr>
          <w:rFonts w:ascii="Times New Roman" w:hAnsi="Times New Roman" w:cs="Arial"/>
        </w:rPr>
        <w:t xml:space="preserve">a) </w:t>
      </w:r>
      <w:r>
        <w:rPr>
          <w:rFonts w:ascii="Times New Roman" w:hAnsi="Times New Roman" w:cs="Arial"/>
          <w:u w:val="single"/>
        </w:rPr>
        <w:t xml:space="preserve">Inducción a </w:t>
      </w:r>
      <w:r>
        <w:rPr>
          <w:rFonts w:ascii="Times New Roman" w:hAnsi="Times New Roman" w:cs="Arial"/>
          <w:u w:val="single"/>
        </w:rPr>
        <w:t>volumen corriente son sevoflurano a concentración del 8%:</w:t>
      </w:r>
    </w:p>
    <w:p w:rsidR="001B03C2" w:rsidRDefault="009B166E">
      <w:pPr>
        <w:spacing w:line="480" w:lineRule="auto"/>
        <w:ind w:left="142"/>
        <w:jc w:val="both"/>
        <w:rPr>
          <w:rFonts w:ascii="Times New Roman" w:hAnsi="Times New Roman" w:cs="Arial"/>
        </w:rPr>
      </w:pPr>
      <w:r>
        <w:rPr>
          <w:rFonts w:ascii="Times New Roman" w:hAnsi="Times New Roman" w:cs="Arial"/>
        </w:rPr>
        <w:t>- Se realiza preoxigenación con la mascarilla facial acoplada a la cara del paciente, de forma que éste pueda respirar espontámente. Se comprueba la correcta colocación de la mascarilla y se recoloc</w:t>
      </w:r>
      <w:r>
        <w:rPr>
          <w:rFonts w:ascii="Times New Roman" w:hAnsi="Times New Roman" w:cs="Arial"/>
        </w:rPr>
        <w:t>a en caso de presencia de fuga aérea.</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 Se ceba el circuito del respirador durante 30-60 segundos abriendo el vaporizador de sevoflurano </w:t>
      </w:r>
      <w:r>
        <w:rPr>
          <w:rFonts w:ascii="Times New Roman" w:hAnsi="Times New Roman" w:cs="Arial"/>
        </w:rPr>
        <w:lastRenderedPageBreak/>
        <w:t>al 8% hasta alcanzar una concentración del 6% medida por el analizador de gases de la estación de anestesia.</w:t>
      </w:r>
    </w:p>
    <w:p w:rsidR="001B03C2" w:rsidRDefault="009B166E">
      <w:pPr>
        <w:spacing w:line="480" w:lineRule="auto"/>
        <w:ind w:left="142"/>
        <w:jc w:val="both"/>
        <w:rPr>
          <w:rFonts w:ascii="Times New Roman" w:hAnsi="Times New Roman" w:cs="Arial"/>
        </w:rPr>
      </w:pPr>
      <w:r>
        <w:rPr>
          <w:rFonts w:ascii="Times New Roman" w:hAnsi="Times New Roman" w:cs="Arial"/>
        </w:rPr>
        <w:t>- El pacie</w:t>
      </w:r>
      <w:r>
        <w:rPr>
          <w:rFonts w:ascii="Times New Roman" w:hAnsi="Times New Roman" w:cs="Arial"/>
        </w:rPr>
        <w:t>nte comienza a respirar a través de la mascarilla facial bien ajustada sevoflurano al 8% en oxígeno 100%.</w:t>
      </w:r>
    </w:p>
    <w:p w:rsidR="001B03C2" w:rsidRDefault="009B166E">
      <w:pPr>
        <w:spacing w:line="480" w:lineRule="auto"/>
        <w:ind w:left="142"/>
        <w:jc w:val="both"/>
        <w:rPr>
          <w:rFonts w:ascii="Times New Roman" w:hAnsi="Times New Roman" w:cs="Arial"/>
        </w:rPr>
      </w:pPr>
      <w:r>
        <w:rPr>
          <w:rFonts w:ascii="Times New Roman" w:hAnsi="Times New Roman" w:cs="Arial"/>
        </w:rPr>
        <w:t>- Se asiste la ventilación sin variar la concentración del vaporizador en caso de pérdida de la ventilación espontánea del paciente.</w:t>
      </w:r>
    </w:p>
    <w:p w:rsidR="001B03C2" w:rsidRDefault="009B166E">
      <w:pPr>
        <w:spacing w:line="480" w:lineRule="auto"/>
        <w:ind w:left="142"/>
        <w:jc w:val="both"/>
        <w:rPr>
          <w:rFonts w:ascii="Times New Roman" w:hAnsi="Times New Roman" w:cs="Arial"/>
        </w:rPr>
      </w:pPr>
      <w:r>
        <w:rPr>
          <w:rFonts w:ascii="Times New Roman" w:hAnsi="Times New Roman" w:cs="Arial"/>
        </w:rPr>
        <w:t>- Una vez obtenid</w:t>
      </w:r>
      <w:r>
        <w:rPr>
          <w:rFonts w:ascii="Times New Roman" w:hAnsi="Times New Roman" w:cs="Arial"/>
        </w:rPr>
        <w:t>o un plano anestésico lo suficientemente profundo, comprobado mediante los datos clínicos y/o mediante monitores de profundidad anestésica, se procede a realizar la técnica de acceso a la vía aérea inicialmente programada ( ventilación manual, colocación d</w:t>
      </w:r>
      <w:r>
        <w:rPr>
          <w:rFonts w:ascii="Times New Roman" w:hAnsi="Times New Roman" w:cs="Arial"/>
        </w:rPr>
        <w:t>e mascarilla laríngea o intubación orotraqueal con  o sin relajación neuromuscular).</w:t>
      </w:r>
    </w:p>
    <w:p w:rsidR="001B03C2" w:rsidRDefault="009B166E">
      <w:pPr>
        <w:spacing w:line="480" w:lineRule="auto"/>
        <w:ind w:left="142"/>
        <w:jc w:val="both"/>
        <w:rPr>
          <w:rFonts w:ascii="Times New Roman" w:hAnsi="Times New Roman" w:cs="Arial"/>
        </w:rPr>
      </w:pPr>
      <w:r>
        <w:rPr>
          <w:rFonts w:ascii="Times New Roman" w:hAnsi="Times New Roman" w:cs="Arial"/>
        </w:rPr>
        <w:t>Este tipo de inducción inhalatoria suele resultar algo más lenta que la inducción intravenosa con propofol, y en ocasiones puede producir cierto grado de agitación del pac</w:t>
      </w:r>
      <w:r>
        <w:rPr>
          <w:rFonts w:ascii="Times New Roman" w:hAnsi="Times New Roman" w:cs="Arial"/>
        </w:rPr>
        <w:t xml:space="preserve">iente y ocasionalmente tos. </w:t>
      </w:r>
    </w:p>
    <w:p w:rsidR="001B03C2" w:rsidRDefault="009B166E">
      <w:pPr>
        <w:spacing w:line="480" w:lineRule="auto"/>
        <w:ind w:left="142"/>
        <w:jc w:val="both"/>
        <w:rPr>
          <w:rFonts w:ascii="Times New Roman" w:hAnsi="Times New Roman" w:cs="Arial"/>
          <w:u w:val="single"/>
        </w:rPr>
      </w:pPr>
      <w:r>
        <w:rPr>
          <w:rFonts w:ascii="Times New Roman" w:hAnsi="Times New Roman" w:cs="Arial"/>
        </w:rPr>
        <w:t xml:space="preserve">b) </w:t>
      </w:r>
      <w:r>
        <w:rPr>
          <w:rFonts w:ascii="Times New Roman" w:hAnsi="Times New Roman" w:cs="Arial"/>
          <w:u w:val="single"/>
        </w:rPr>
        <w:t>Inducción a capacidad vital con sevoflurano a aconcentración del 8%:</w:t>
      </w:r>
    </w:p>
    <w:p w:rsidR="001B03C2" w:rsidRDefault="009B166E">
      <w:pPr>
        <w:spacing w:line="480" w:lineRule="auto"/>
        <w:ind w:left="142"/>
        <w:jc w:val="both"/>
        <w:rPr>
          <w:rFonts w:ascii="Times New Roman" w:hAnsi="Times New Roman" w:cs="Arial"/>
        </w:rPr>
      </w:pPr>
      <w:r>
        <w:rPr>
          <w:rFonts w:ascii="Times New Roman" w:hAnsi="Times New Roman" w:cs="Arial"/>
        </w:rPr>
        <w:t>- La fase de preoxigenación, acople de la mascarilla facial y cebado del circuito se realizan de la misma manera que en la inducción a volumen corriente al</w:t>
      </w:r>
      <w:r>
        <w:rPr>
          <w:rFonts w:ascii="Times New Roman" w:hAnsi="Times New Roman" w:cs="Arial"/>
        </w:rPr>
        <w:t xml:space="preserve"> 8%.</w:t>
      </w:r>
    </w:p>
    <w:p w:rsidR="001B03C2" w:rsidRDefault="009B166E">
      <w:pPr>
        <w:spacing w:line="480" w:lineRule="auto"/>
        <w:ind w:left="142"/>
        <w:jc w:val="both"/>
        <w:rPr>
          <w:rFonts w:ascii="Times New Roman" w:hAnsi="Times New Roman" w:cs="Arial"/>
        </w:rPr>
      </w:pPr>
      <w:r>
        <w:rPr>
          <w:rFonts w:ascii="Times New Roman" w:hAnsi="Times New Roman" w:cs="Arial"/>
        </w:rPr>
        <w:t>- En este caso, el paciente debe realizar una espiración forzada, seguida inmediatamente de una inspiración a capacidad vital y después retener la respiración sin expulsar el aire.</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Esta técnica de inducción inhalatoria resulta más rápida que la </w:t>
      </w:r>
      <w:r>
        <w:rPr>
          <w:rFonts w:ascii="Times New Roman" w:hAnsi="Times New Roman" w:cs="Arial"/>
        </w:rPr>
        <w:t>anterior y al igual que aquella, puede ser necesario asistir la ventilación del paciente por pérdida de la ventilación espontánea.</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c) </w:t>
      </w:r>
      <w:r>
        <w:rPr>
          <w:rFonts w:ascii="Times New Roman" w:hAnsi="Times New Roman" w:cs="Arial"/>
          <w:u w:val="single"/>
        </w:rPr>
        <w:t>Inducción progresiva a volumen corriente</w:t>
      </w:r>
      <w:r>
        <w:rPr>
          <w:rFonts w:ascii="Times New Roman" w:hAnsi="Times New Roman" w:cs="Arial"/>
        </w:rPr>
        <w:t>.</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 Se realiza preoxigenación del paciente y acople de la mascarilla facial, como </w:t>
      </w:r>
      <w:r>
        <w:rPr>
          <w:rFonts w:ascii="Times New Roman" w:hAnsi="Times New Roman" w:cs="Arial"/>
        </w:rPr>
        <w:t>en las dos modalidades de inducción anteriores.</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 Se abre el vaporizador del respirador de anestesia y se va aumentando la concentración del gas anestésico un 0.5% cada 2 ó 3 respiraciones del paciente hasta alcanzar la concentración deseada </w:t>
      </w:r>
      <w:r>
        <w:rPr>
          <w:rFonts w:ascii="Times New Roman" w:hAnsi="Times New Roman" w:cs="Arial"/>
        </w:rPr>
        <w:lastRenderedPageBreak/>
        <w:t>en el monitor.</w:t>
      </w:r>
    </w:p>
    <w:p w:rsidR="001B03C2" w:rsidRDefault="009B166E">
      <w:pPr>
        <w:spacing w:line="480" w:lineRule="auto"/>
        <w:ind w:left="142"/>
        <w:jc w:val="both"/>
        <w:rPr>
          <w:rFonts w:ascii="Times New Roman" w:hAnsi="Times New Roman" w:cs="Arial"/>
        </w:rPr>
      </w:pPr>
      <w:r>
        <w:rPr>
          <w:rFonts w:ascii="Times New Roman" w:hAnsi="Times New Roman" w:cs="Arial"/>
        </w:rPr>
        <w:t>Este tipo de inducción inhalatoria es el más lento de los tres en obtener un plano anestésico profundo que permita el acceso a la vía aérea del paciente. Sin embargo es el que presenta menor tasa de pérdida de la ventilación espontanea, por lo que es el q</w:t>
      </w:r>
      <w:r>
        <w:rPr>
          <w:rFonts w:ascii="Times New Roman" w:hAnsi="Times New Roman" w:cs="Arial"/>
        </w:rPr>
        <w:t>ue escogimos a la hora de llevar a cabo nuestro estudio.</w:t>
      </w:r>
    </w:p>
    <w:p w:rsidR="001B03C2" w:rsidRDefault="001B03C2">
      <w:pPr>
        <w:spacing w:line="480" w:lineRule="auto"/>
        <w:ind w:left="142"/>
        <w:jc w:val="both"/>
        <w:rPr>
          <w:rFonts w:ascii="Times New Roman" w:hAnsi="Times New Roman" w:cs="Times New Roman"/>
          <w:b/>
        </w:rPr>
      </w:pPr>
    </w:p>
    <w:p w:rsidR="001B03C2" w:rsidRDefault="001B03C2">
      <w:pPr>
        <w:spacing w:line="480" w:lineRule="auto"/>
        <w:ind w:left="142"/>
        <w:jc w:val="both"/>
        <w:rPr>
          <w:rFonts w:ascii="Times New Roman" w:hAnsi="Times New Roman" w:cs="Times New Roman"/>
          <w:b/>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bCs/>
        </w:rPr>
      </w:pPr>
      <w:r>
        <w:rPr>
          <w:rFonts w:ascii="Times New Roman" w:hAnsi="Times New Roman" w:cs="Arial"/>
          <w:b/>
          <w:bCs/>
        </w:rPr>
        <w:t>7. HIPÓTESIS Y OBJETIVOS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rPr>
      </w:pPr>
      <w:r>
        <w:rPr>
          <w:rFonts w:ascii="Times New Roman" w:hAnsi="Times New Roman" w:cs="Arial"/>
          <w:b/>
        </w:rPr>
        <w:t>7.1 HIPÓTESIS DE TRABAJO.</w:t>
      </w:r>
    </w:p>
    <w:p w:rsidR="001B03C2" w:rsidRDefault="009B166E">
      <w:pPr>
        <w:spacing w:line="480" w:lineRule="auto"/>
        <w:ind w:left="142"/>
        <w:jc w:val="both"/>
        <w:rPr>
          <w:rFonts w:ascii="Times New Roman" w:hAnsi="Times New Roman" w:cs="Arial"/>
        </w:rPr>
      </w:pPr>
      <w:r>
        <w:rPr>
          <w:rFonts w:ascii="Times New Roman" w:hAnsi="Times New Roman" w:cs="Arial"/>
        </w:rPr>
        <w:lastRenderedPageBreak/>
        <w:t>La hipótesis evaluada en el presente estudio fue que la sedación inhalatoria pura empleando sevoflurano a través de una mascarilla</w:t>
      </w:r>
      <w:r>
        <w:rPr>
          <w:rFonts w:ascii="Times New Roman" w:hAnsi="Times New Roman" w:cs="Arial"/>
        </w:rPr>
        <w:t xml:space="preserve"> facial, comparada con la sedación intravenosa empleando un fármaco hipnótico ( propofol) y otro analgésico ( remifentanilo) proporcionaría :</w:t>
      </w:r>
    </w:p>
    <w:p w:rsidR="001B03C2" w:rsidRDefault="001B03C2">
      <w:pPr>
        <w:spacing w:line="480" w:lineRule="auto"/>
        <w:ind w:left="142"/>
        <w:jc w:val="both"/>
        <w:rPr>
          <w:rFonts w:ascii="Times New Roman" w:hAnsi="Times New Roman" w:cs="Arial"/>
        </w:rPr>
      </w:pPr>
    </w:p>
    <w:p w:rsidR="001B03C2" w:rsidRDefault="009B166E">
      <w:pPr>
        <w:numPr>
          <w:ilvl w:val="0"/>
          <w:numId w:val="12"/>
        </w:numPr>
        <w:spacing w:line="480" w:lineRule="auto"/>
        <w:ind w:left="142"/>
        <w:jc w:val="both"/>
        <w:rPr>
          <w:rFonts w:ascii="Times New Roman" w:hAnsi="Times New Roman" w:cs="Arial"/>
        </w:rPr>
      </w:pPr>
      <w:r>
        <w:rPr>
          <w:rFonts w:ascii="Times New Roman" w:hAnsi="Times New Roman" w:cs="Arial"/>
        </w:rPr>
        <w:t>Unas condiciones equiparables, en términos de efectividad, entendiendo ésta como la valoración de la calidad de l</w:t>
      </w:r>
      <w:r>
        <w:rPr>
          <w:rFonts w:ascii="Times New Roman" w:hAnsi="Times New Roman" w:cs="Arial"/>
        </w:rPr>
        <w:t>a sedación por parte del endoscopista.</w:t>
      </w:r>
    </w:p>
    <w:p w:rsidR="001B03C2" w:rsidRDefault="009B166E">
      <w:pPr>
        <w:numPr>
          <w:ilvl w:val="0"/>
          <w:numId w:val="12"/>
        </w:numPr>
        <w:spacing w:line="480" w:lineRule="auto"/>
        <w:ind w:left="142"/>
        <w:jc w:val="both"/>
        <w:rPr>
          <w:rFonts w:ascii="Times New Roman" w:hAnsi="Times New Roman" w:cs="Arial"/>
        </w:rPr>
      </w:pPr>
      <w:r>
        <w:rPr>
          <w:rFonts w:ascii="Times New Roman" w:hAnsi="Times New Roman" w:cs="Arial"/>
        </w:rPr>
        <w:t>La posibilidad de  finalizar el procedimiento endoscópico, con una tasa no superior de complicaciones cardiorrespiratorias, de necesidad de maniobras de auxilio de la vía aérea, de movimientos de los pacientes que dif</w:t>
      </w:r>
      <w:r>
        <w:rPr>
          <w:rFonts w:ascii="Times New Roman" w:hAnsi="Times New Roman" w:cs="Arial"/>
        </w:rPr>
        <w:t>iculten la exploración y de sedación excesiva.</w:t>
      </w:r>
    </w:p>
    <w:p w:rsidR="001B03C2" w:rsidRDefault="009B166E">
      <w:pPr>
        <w:numPr>
          <w:ilvl w:val="0"/>
          <w:numId w:val="12"/>
        </w:numPr>
        <w:spacing w:line="480" w:lineRule="auto"/>
        <w:ind w:left="142"/>
        <w:jc w:val="both"/>
        <w:rPr>
          <w:rFonts w:ascii="Times New Roman" w:hAnsi="Times New Roman" w:cs="Arial"/>
        </w:rPr>
      </w:pPr>
      <w:r>
        <w:rPr>
          <w:rFonts w:ascii="Times New Roman" w:hAnsi="Times New Roman" w:cs="Arial"/>
        </w:rPr>
        <w:t>La posibilidad de dar de alta de forma precoz a los pacientes, con una tasa similar de ingresos hospitalarios.</w:t>
      </w:r>
    </w:p>
    <w:p w:rsidR="001B03C2" w:rsidRDefault="009B166E">
      <w:pPr>
        <w:numPr>
          <w:ilvl w:val="0"/>
          <w:numId w:val="12"/>
        </w:numPr>
        <w:spacing w:line="480" w:lineRule="auto"/>
        <w:ind w:left="142"/>
        <w:jc w:val="both"/>
        <w:rPr>
          <w:rFonts w:ascii="Times New Roman" w:hAnsi="Times New Roman" w:cs="Arial"/>
        </w:rPr>
      </w:pPr>
      <w:r>
        <w:rPr>
          <w:rFonts w:ascii="Times New Roman" w:hAnsi="Times New Roman" w:cs="Arial"/>
        </w:rPr>
        <w:t>Obtener una puntuación similar en la valoración realizada por los pacientes, así como en la encues</w:t>
      </w:r>
      <w:r>
        <w:rPr>
          <w:rFonts w:ascii="Times New Roman" w:hAnsi="Times New Roman" w:cs="Arial"/>
        </w:rPr>
        <w:t>ta de satisfacción tras 24 horas.</w:t>
      </w:r>
    </w:p>
    <w:p w:rsidR="001B03C2" w:rsidRDefault="009B166E">
      <w:pPr>
        <w:spacing w:line="480" w:lineRule="auto"/>
        <w:jc w:val="both"/>
        <w:rPr>
          <w:rFonts w:ascii="Times New Roman" w:hAnsi="Times New Roman" w:cs="Arial"/>
          <w:b/>
          <w:bCs/>
        </w:rPr>
      </w:pPr>
      <w:r>
        <w:rPr>
          <w:rFonts w:ascii="Times New Roman" w:hAnsi="Times New Roman" w:cs="Arial"/>
          <w:b/>
          <w:bCs/>
        </w:rPr>
        <w:t>7.2 OBJETIVOS.</w:t>
      </w:r>
    </w:p>
    <w:p w:rsidR="001B03C2" w:rsidRDefault="001B03C2">
      <w:pPr>
        <w:spacing w:line="480" w:lineRule="auto"/>
        <w:jc w:val="both"/>
        <w:rPr>
          <w:rFonts w:ascii="Times New Roman" w:hAnsi="Times New Roman" w:cs="Arial"/>
          <w:b/>
          <w:bCs/>
        </w:rPr>
      </w:pPr>
    </w:p>
    <w:p w:rsidR="001B03C2" w:rsidRDefault="009B166E">
      <w:pPr>
        <w:spacing w:line="480" w:lineRule="auto"/>
        <w:jc w:val="both"/>
        <w:rPr>
          <w:rFonts w:ascii="Times New Roman" w:hAnsi="Times New Roman" w:cs="Arial"/>
        </w:rPr>
      </w:pPr>
      <w:r>
        <w:rPr>
          <w:rFonts w:ascii="Times New Roman" w:hAnsi="Times New Roman" w:cs="Arial"/>
        </w:rPr>
        <w:t>El objetivo principal del presente estudio fue comparar la efectividad de la sedación mediante una técnica intravenosa convencional frente a otra técnica inhalatoria pura, en pacientes programados para colo</w:t>
      </w:r>
      <w:r>
        <w:rPr>
          <w:rFonts w:ascii="Times New Roman" w:hAnsi="Times New Roman" w:cs="Arial"/>
        </w:rPr>
        <w:t>noscopia diagnóstico-terapéutica en régimen ambulatorio. Dicha efectividad vendrá determinada por la calidad de la sedación según la valoración del endoscopista.</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rPr>
      </w:pPr>
      <w:r>
        <w:rPr>
          <w:rFonts w:ascii="Times New Roman" w:hAnsi="Times New Roman" w:cs="Arial"/>
        </w:rPr>
        <w:t>Los objetivos secundarios del presente estudio fueron:</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 xml:space="preserve">Comparar la frecuencia de </w:t>
      </w:r>
      <w:r>
        <w:rPr>
          <w:rFonts w:ascii="Times New Roman" w:hAnsi="Times New Roman" w:cs="Arial"/>
        </w:rPr>
        <w:t>colonoscopias finalizadas.</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frecuencia de pacientes que presentan desaturación arterial, apnea respiratoria o necesidad de maniobras de auxilio de la vía aérea y asistencia ventilatoria.</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frecuencia de pacientes que presentan movimien</w:t>
      </w:r>
      <w:r>
        <w:rPr>
          <w:rFonts w:ascii="Times New Roman" w:hAnsi="Times New Roman" w:cs="Arial"/>
        </w:rPr>
        <w:t xml:space="preserve">tos que dificultan la </w:t>
      </w:r>
      <w:r>
        <w:rPr>
          <w:rFonts w:ascii="Times New Roman" w:hAnsi="Times New Roman" w:cs="Arial"/>
        </w:rPr>
        <w:lastRenderedPageBreak/>
        <w:t>exploración.</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frecuencia de pacientes que desarrollan complicaciones cardiopulmonares.</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frecuencia de pacientes que presentan sobresedación.</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frecuencia de ingresos hospitalarios.</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 xml:space="preserve">Comparar la </w:t>
      </w:r>
      <w:r>
        <w:rPr>
          <w:rFonts w:ascii="Times New Roman" w:hAnsi="Times New Roman" w:cs="Arial"/>
        </w:rPr>
        <w:t>frecuencia de pacientes dados de alta tras la primera evaluación postanestésica.</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el grado de recuperación a las 24 horas de la exploración.</w:t>
      </w:r>
    </w:p>
    <w:p w:rsidR="001B03C2" w:rsidRDefault="009B166E">
      <w:pPr>
        <w:numPr>
          <w:ilvl w:val="0"/>
          <w:numId w:val="13"/>
        </w:numPr>
        <w:tabs>
          <w:tab w:val="left" w:pos="142"/>
        </w:tabs>
        <w:spacing w:line="480" w:lineRule="auto"/>
        <w:jc w:val="both"/>
        <w:rPr>
          <w:rFonts w:ascii="Times New Roman" w:hAnsi="Times New Roman" w:cs="Arial"/>
        </w:rPr>
      </w:pPr>
      <w:r>
        <w:rPr>
          <w:rFonts w:ascii="Times New Roman" w:hAnsi="Times New Roman" w:cs="Arial"/>
        </w:rPr>
        <w:t>Comparar la opinión y satisfacción de los pacientes.</w:t>
      </w:r>
    </w:p>
    <w:p w:rsidR="001B03C2" w:rsidRDefault="001B03C2">
      <w:pPr>
        <w:spacing w:line="480" w:lineRule="auto"/>
        <w:jc w:val="both"/>
        <w:rPr>
          <w:rFonts w:ascii="Times New Roman" w:hAnsi="Times New Roman"/>
        </w:rPr>
      </w:pP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p w:rsidR="001B03C2" w:rsidRDefault="001B03C2">
      <w:pPr>
        <w:spacing w:line="480" w:lineRule="auto"/>
        <w:jc w:val="both"/>
        <w:rPr>
          <w:rFonts w:ascii="Times New Roman" w:hAnsi="Times New Roman" w:cs="Arial"/>
          <w:b/>
          <w:bCs/>
        </w:rPr>
      </w:pPr>
    </w:p>
    <w:p w:rsidR="001B03C2" w:rsidRDefault="001B03C2">
      <w:pPr>
        <w:spacing w:line="480" w:lineRule="auto"/>
        <w:jc w:val="both"/>
        <w:rPr>
          <w:rFonts w:ascii="Times New Roman" w:hAnsi="Times New Roman" w:cs="Arial"/>
          <w:b/>
          <w:bCs/>
        </w:rPr>
      </w:pPr>
    </w:p>
    <w:p w:rsidR="001B03C2" w:rsidRDefault="001B03C2">
      <w:pPr>
        <w:spacing w:line="480" w:lineRule="auto"/>
        <w:jc w:val="both"/>
        <w:rPr>
          <w:rFonts w:ascii="Times New Roman" w:hAnsi="Times New Roman" w:cs="Arial"/>
          <w:b/>
          <w:bCs/>
        </w:rPr>
      </w:pPr>
    </w:p>
    <w:p w:rsidR="001B03C2" w:rsidRDefault="001B03C2">
      <w:pPr>
        <w:spacing w:line="480" w:lineRule="auto"/>
        <w:jc w:val="both"/>
        <w:rPr>
          <w:rFonts w:ascii="Times New Roman" w:hAnsi="Times New Roman" w:cs="Arial"/>
          <w:b/>
          <w:bCs/>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bCs/>
        </w:rPr>
      </w:pPr>
      <w:r>
        <w:rPr>
          <w:rFonts w:ascii="Times New Roman" w:hAnsi="Times New Roman" w:cs="Arial"/>
          <w:b/>
          <w:bCs/>
        </w:rPr>
        <w:t>8. METODOLOGÍA.</w:t>
      </w:r>
    </w:p>
    <w:p w:rsidR="001B03C2" w:rsidRDefault="001B03C2">
      <w:pPr>
        <w:spacing w:line="480" w:lineRule="auto"/>
        <w:jc w:val="both"/>
        <w:rPr>
          <w:rFonts w:hint="eastAsia"/>
        </w:rPr>
      </w:pPr>
    </w:p>
    <w:p w:rsidR="001B03C2" w:rsidRDefault="009B166E">
      <w:pPr>
        <w:spacing w:line="480" w:lineRule="auto"/>
        <w:jc w:val="both"/>
        <w:rPr>
          <w:rFonts w:ascii="Times New Roman" w:eastAsia="Times New Roman" w:hAnsi="Times New Roman" w:cs="Arial"/>
          <w:b/>
          <w:bCs/>
          <w:lang w:eastAsia="ar-SA" w:bidi="ar-SA"/>
        </w:rPr>
      </w:pPr>
      <w:r>
        <w:rPr>
          <w:rFonts w:ascii="Times New Roman" w:eastAsia="Times New Roman" w:hAnsi="Times New Roman" w:cs="Arial"/>
          <w:b/>
          <w:bCs/>
          <w:lang w:eastAsia="ar-SA" w:bidi="ar-SA"/>
        </w:rPr>
        <w:t>8.1 DISEÑO DEL ESTUDIO.</w:t>
      </w:r>
    </w:p>
    <w:p w:rsidR="001B03C2" w:rsidRDefault="001B03C2">
      <w:pPr>
        <w:widowControl/>
        <w:suppressAutoHyphens w:val="0"/>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lastRenderedPageBreak/>
        <w:t>Se trató de un ensayo clínico aleatorizado, en fase IV, controlado, doble ciego y unicéntrico, en el que se pretendió comparar la sedación inhalatoria pura con sevoflurano frente a la sedación intravenosa convencional con propofol y remifentanilo, en pac</w:t>
      </w:r>
      <w:r>
        <w:rPr>
          <w:rFonts w:ascii="Times New Roman" w:hAnsi="Times New Roman" w:cs="Arial"/>
        </w:rPr>
        <w:t xml:space="preserve">ientes sometidos a colonoscopia diagnóstico-terapéutica en régimen ambulatorio. </w:t>
      </w:r>
    </w:p>
    <w:p w:rsidR="001B03C2" w:rsidRDefault="009B166E">
      <w:pPr>
        <w:spacing w:line="480" w:lineRule="auto"/>
        <w:jc w:val="both"/>
        <w:rPr>
          <w:rFonts w:ascii="Times New Roman" w:hAnsi="Times New Roman" w:cs="Arial"/>
        </w:rPr>
      </w:pPr>
      <w:r>
        <w:rPr>
          <w:rFonts w:ascii="Times New Roman" w:hAnsi="Times New Roman" w:cs="Arial"/>
        </w:rPr>
        <w:t>Se incluyeron un total de 278 pacientes. El flujo de los pacientes participantes en el estudio siguió las recomendaciones de la guía CONSORT sobre ensayos clínicos aleatorizad</w:t>
      </w:r>
      <w:r>
        <w:rPr>
          <w:rFonts w:ascii="Times New Roman" w:hAnsi="Times New Roman" w:cs="Arial"/>
        </w:rPr>
        <w:t>os.</w:t>
      </w:r>
    </w:p>
    <w:p w:rsidR="001B03C2" w:rsidRDefault="009B166E">
      <w:pPr>
        <w:spacing w:before="100" w:line="480" w:lineRule="auto"/>
        <w:jc w:val="both"/>
        <w:rPr>
          <w:rFonts w:ascii="Times New Roman" w:hAnsi="Times New Roman" w:cs="Arial"/>
        </w:rPr>
      </w:pPr>
      <w:r>
        <w:rPr>
          <w:rFonts w:ascii="Times New Roman" w:hAnsi="Times New Roman" w:cs="Arial"/>
        </w:rPr>
        <w:t xml:space="preserve">En ambos grupos de pacientes se procedió como explicamos a continuación, de forma que la única diferencia fue el fármaco hipnótico administrado: </w:t>
      </w:r>
    </w:p>
    <w:p w:rsidR="001B03C2" w:rsidRDefault="009B166E">
      <w:pPr>
        <w:spacing w:line="480" w:lineRule="auto"/>
        <w:jc w:val="both"/>
        <w:rPr>
          <w:rFonts w:ascii="Times New Roman" w:hAnsi="Times New Roman" w:cs="Arial"/>
        </w:rPr>
      </w:pPr>
      <w:r>
        <w:rPr>
          <w:rFonts w:ascii="Times New Roman" w:hAnsi="Times New Roman" w:cs="Arial"/>
        </w:rPr>
        <w:t>Todas las colonoscopias fueron realizadas por el mismo endoscopista, con experiencia acreditada en la real</w:t>
      </w:r>
      <w:r>
        <w:rPr>
          <w:rFonts w:ascii="Times New Roman" w:hAnsi="Times New Roman" w:cs="Arial"/>
        </w:rPr>
        <w:t>ización de este procedimiento ( entre 700 y 750 colonoscopias al año), usando siempre el mismo colonoscopio ( marca Olympus, modelo EVIS EXERA III CF-HQ190L/I, con campo de visión de 160º, profundidad de campo de 2-6 mm, diámetro externo distal de 13,2 mm,</w:t>
      </w:r>
      <w:r>
        <w:rPr>
          <w:rFonts w:ascii="Times New Roman" w:hAnsi="Times New Roman" w:cs="Arial"/>
        </w:rPr>
        <w:t xml:space="preserve"> diámetro del canal de trabajo de 3,7 mm, longitud de trabajo de 1655 mm, sumergible para desinfección y esterilización con agentes químicos, definición 2073600 píxeles).</w:t>
      </w:r>
    </w:p>
    <w:p w:rsidR="001B03C2" w:rsidRDefault="009B166E">
      <w:pPr>
        <w:spacing w:line="480" w:lineRule="auto"/>
        <w:jc w:val="both"/>
        <w:rPr>
          <w:rFonts w:ascii="Times New Roman" w:hAnsi="Times New Roman" w:cs="Arial"/>
        </w:rPr>
      </w:pPr>
      <w:r>
        <w:rPr>
          <w:rFonts w:ascii="Times New Roman" w:hAnsi="Times New Roman" w:cs="Arial"/>
        </w:rPr>
        <w:t>Las sedaciones se realizaron en su totalidad en la Unidad de endoscopias de nuestro C</w:t>
      </w:r>
      <w:r>
        <w:rPr>
          <w:rFonts w:ascii="Times New Roman" w:hAnsi="Times New Roman" w:cs="Arial"/>
        </w:rPr>
        <w:t>entro Hospitalario.</w:t>
      </w:r>
    </w:p>
    <w:p w:rsidR="001B03C2" w:rsidRDefault="009B166E">
      <w:pPr>
        <w:spacing w:line="480" w:lineRule="auto"/>
        <w:jc w:val="both"/>
        <w:rPr>
          <w:rFonts w:ascii="Times New Roman" w:hAnsi="Times New Roman" w:cs="Arial"/>
        </w:rPr>
      </w:pPr>
      <w:r>
        <w:rPr>
          <w:rFonts w:ascii="Times New Roman" w:hAnsi="Times New Roman" w:cs="Arial"/>
        </w:rPr>
        <w:t xml:space="preserve">Tras confirmar la identificación del paciente y el motivo de realización de la exploración, se comprobaron los criterios de inclusión y exclusión del estudio y se obtuvo la conformidad del paciente para participar en el mismo, mediante </w:t>
      </w:r>
      <w:r>
        <w:rPr>
          <w:rFonts w:ascii="Times New Roman" w:hAnsi="Times New Roman" w:cs="Arial"/>
        </w:rPr>
        <w:t>la obtención del consentimiento Informado.</w:t>
      </w:r>
    </w:p>
    <w:p w:rsidR="001B03C2" w:rsidRDefault="009B166E">
      <w:pPr>
        <w:spacing w:line="480" w:lineRule="auto"/>
        <w:jc w:val="both"/>
        <w:rPr>
          <w:rFonts w:ascii="Times New Roman" w:hAnsi="Times New Roman" w:cs="Arial"/>
        </w:rPr>
      </w:pPr>
      <w:r>
        <w:rPr>
          <w:rFonts w:ascii="Times New Roman" w:hAnsi="Times New Roman" w:cs="Arial"/>
        </w:rPr>
        <w:t xml:space="preserve">La posición del paciente fue siempre en decúbito lateral izquierdo para realizar la intervención. Se canalizó un catéter venoso periférico 20G y se infundieron un total de 250 ml de suero fisiológico 0,9% durante </w:t>
      </w:r>
      <w:r>
        <w:rPr>
          <w:rFonts w:ascii="Times New Roman" w:hAnsi="Times New Roman" w:cs="Arial"/>
        </w:rPr>
        <w:t>la exploración. La monitorización consistió en el registro continuo de pulsioximetría (SpO2), electrocardiograma (ECG) y tensión arterial no invasiva (TANI) (monitor  Dräger modelo Infinity Delta).</w:t>
      </w:r>
    </w:p>
    <w:p w:rsidR="001B03C2" w:rsidRDefault="009B166E">
      <w:pPr>
        <w:spacing w:line="480" w:lineRule="auto"/>
        <w:jc w:val="both"/>
        <w:rPr>
          <w:rFonts w:ascii="Times New Roman" w:hAnsi="Times New Roman" w:cs="Arial"/>
        </w:rPr>
      </w:pPr>
      <w:r>
        <w:rPr>
          <w:rFonts w:ascii="Times New Roman" w:hAnsi="Times New Roman" w:cs="Arial"/>
        </w:rPr>
        <w:t>Para el aporte de oxígeno en ambos grupos, se acopló una m</w:t>
      </w:r>
      <w:r>
        <w:rPr>
          <w:rFonts w:ascii="Times New Roman" w:hAnsi="Times New Roman" w:cs="Arial"/>
        </w:rPr>
        <w:t xml:space="preserve">ascarilla facial transparente de la marca </w:t>
      </w:r>
      <w:r>
        <w:rPr>
          <w:rFonts w:ascii="Times New Roman" w:hAnsi="Times New Roman" w:cs="Arial"/>
        </w:rPr>
        <w:lastRenderedPageBreak/>
        <w:t>Rüsch empleando el tamaño apropiado para cada paciente. Dicha mascarilla se conectó a una estación de anestesia (Dräger, modelo Fabius Tiro) en la que se programó un flujo de gas fresco de 6 litros por minuto con m</w:t>
      </w:r>
      <w:r>
        <w:rPr>
          <w:rFonts w:ascii="Times New Roman" w:hAnsi="Times New Roman" w:cs="Arial"/>
        </w:rPr>
        <w:t xml:space="preserve">ezcla de oxígeno y aire, programando una fracción inspirada de oxígeno del 50%, en modo ventilatorio espontáneo y con la válvula APL abierta para evitar la transmisión de presión al aparato respiratorio del paciente. Se realizó la preoxigenación durante 3 </w:t>
      </w:r>
      <w:r>
        <w:rPr>
          <w:rFonts w:ascii="Times New Roman" w:hAnsi="Times New Roman" w:cs="Arial"/>
        </w:rPr>
        <w:t>minutos. Se monitorizaron, además, los parámetros ventilatorios ( frecuencia respiratoria, volumen corriente y capnografía) así como la fracción inspirada y espirada de oxígeno en el grupo P, y de oxígeno y sevoflurano en el grupo S.</w:t>
      </w:r>
    </w:p>
    <w:p w:rsidR="001B03C2" w:rsidRDefault="009B166E">
      <w:pPr>
        <w:spacing w:line="480" w:lineRule="auto"/>
        <w:jc w:val="both"/>
        <w:rPr>
          <w:rFonts w:ascii="Times New Roman" w:hAnsi="Times New Roman" w:cs="Arial"/>
        </w:rPr>
      </w:pPr>
      <w:r>
        <w:rPr>
          <w:rFonts w:ascii="Times New Roman" w:hAnsi="Times New Roman" w:cs="Arial"/>
        </w:rPr>
        <w:t>Se inició el procedimi</w:t>
      </w:r>
      <w:r>
        <w:rPr>
          <w:rFonts w:ascii="Times New Roman" w:hAnsi="Times New Roman" w:cs="Arial"/>
        </w:rPr>
        <w:t>ento administrando a ambos grupos de pacientes 1.5 mg de midazolam iv, como ansiolítico, antes de comenzar la colonoscopia.</w:t>
      </w:r>
    </w:p>
    <w:p w:rsidR="001B03C2" w:rsidRDefault="009B166E">
      <w:pPr>
        <w:spacing w:line="480" w:lineRule="auto"/>
        <w:jc w:val="both"/>
        <w:rPr>
          <w:rFonts w:ascii="Times New Roman" w:hAnsi="Times New Roman" w:cs="Arial"/>
        </w:rPr>
      </w:pPr>
      <w:r>
        <w:rPr>
          <w:rFonts w:ascii="Times New Roman" w:hAnsi="Times New Roman" w:cs="Arial"/>
        </w:rPr>
        <w:t xml:space="preserve">Trascurrido 1 minuto, iniciamos el proceso de sedación ( intravenosa o inhalatoria según el grupo asignado) hasta lograr un plano 3 </w:t>
      </w:r>
      <w:r>
        <w:rPr>
          <w:rFonts w:ascii="Times New Roman" w:hAnsi="Times New Roman" w:cs="Arial"/>
        </w:rPr>
        <w:t>de profundidad anestésica, según la escala de sedación de Ramsay. Tras alcanzar dicho plano de sedación, se comenzó la colonoscopia y mantuvimos la administración de los fármacos sedantes con objeto de permanecer dentro de un plano anestésico adecuado, que</w:t>
      </w:r>
      <w:r>
        <w:rPr>
          <w:rFonts w:ascii="Times New Roman" w:hAnsi="Times New Roman" w:cs="Arial"/>
        </w:rPr>
        <w:t xml:space="preserve"> fue aquel que permitió completar la exploración sin movimientos del paciente que dificultaran la misma, y mantener la ventilación espontánea. </w:t>
      </w:r>
    </w:p>
    <w:p w:rsidR="001B03C2" w:rsidRDefault="009B166E">
      <w:pPr>
        <w:spacing w:line="480" w:lineRule="auto"/>
        <w:jc w:val="both"/>
        <w:rPr>
          <w:rFonts w:ascii="Times New Roman" w:hAnsi="Times New Roman" w:cs="Arial"/>
        </w:rPr>
      </w:pPr>
      <w:r>
        <w:rPr>
          <w:rFonts w:ascii="Times New Roman" w:hAnsi="Times New Roman" w:cs="Arial"/>
        </w:rPr>
        <w:t>Método de sedación empleada según el grupo asignado:</w:t>
      </w:r>
    </w:p>
    <w:p w:rsidR="001B03C2" w:rsidRDefault="009B166E">
      <w:pPr>
        <w:spacing w:line="480" w:lineRule="auto"/>
        <w:jc w:val="both"/>
        <w:rPr>
          <w:rFonts w:ascii="Times New Roman" w:hAnsi="Times New Roman" w:cs="Arial"/>
        </w:rPr>
      </w:pPr>
      <w:r>
        <w:rPr>
          <w:rFonts w:ascii="Times New Roman" w:hAnsi="Times New Roman" w:cs="Arial"/>
        </w:rPr>
        <w:t xml:space="preserve">- Sedación en el grupo P: administramos perfusión continua </w:t>
      </w:r>
      <w:r>
        <w:rPr>
          <w:rFonts w:ascii="Times New Roman" w:hAnsi="Times New Roman" w:cs="Arial"/>
        </w:rPr>
        <w:t>iv de propofol (Propofol Lipuro 1%</w:t>
      </w:r>
      <w:r>
        <w:rPr>
          <w:rFonts w:ascii="Times New Roman" w:hAnsi="Times New Roman" w:cs="Arial"/>
          <w:vertAlign w:val="superscript"/>
        </w:rPr>
        <w:t>®</w:t>
      </w:r>
      <w:r>
        <w:rPr>
          <w:rFonts w:ascii="Times New Roman" w:hAnsi="Times New Roman" w:cs="Arial"/>
        </w:rPr>
        <w:t>, Braun, Melsungen, Germany) a ritmo de 4 mg/kg/h, y remifentanilo ( Ultiva</w:t>
      </w:r>
      <w:r>
        <w:rPr>
          <w:rFonts w:ascii="Times New Roman" w:hAnsi="Times New Roman" w:cs="Arial"/>
          <w:vertAlign w:val="superscript"/>
        </w:rPr>
        <w:t>®</w:t>
      </w:r>
      <w:r>
        <w:rPr>
          <w:rFonts w:ascii="Times New Roman" w:hAnsi="Times New Roman" w:cs="Arial"/>
        </w:rPr>
        <w:t>, GlaxoSmithKline, Brentford, Middlesex, UK) a ritmo entre 0.05-0.10 mcg/kg/min. Aumentamos la profundidad anestésica con bolos de propofol de 20</w:t>
      </w:r>
      <w:r>
        <w:rPr>
          <w:rFonts w:ascii="Times New Roman" w:hAnsi="Times New Roman" w:cs="Arial"/>
        </w:rPr>
        <w:t xml:space="preserve"> mg en los momentos de mayor estímulo doloroso.</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t xml:space="preserve">- Sedación en el grupo S: </w:t>
      </w:r>
      <w:r>
        <w:rPr>
          <w:rFonts w:ascii="Times New Roman" w:hAnsi="Times New Roman" w:cs="Arial"/>
        </w:rPr>
        <w:t>administramos sevoflurano inhalado a una concentración inicial del 2% y suplementamos con bolos inhalatorios en los momentos más dolorosos de la exploración, aumentando la Fi del gas</w:t>
      </w:r>
      <w:r>
        <w:rPr>
          <w:rFonts w:ascii="Times New Roman" w:hAnsi="Times New Roman" w:cs="Arial"/>
        </w:rPr>
        <w:t xml:space="preserve"> hasta alcanzar un máximo del 8%.</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t xml:space="preserve">En ambos grupos, cesamos la administración de los fármacos tras alcanzar el ciego con el </w:t>
      </w:r>
      <w:r>
        <w:rPr>
          <w:rFonts w:ascii="Times New Roman" w:hAnsi="Times New Roman" w:cs="Arial"/>
        </w:rPr>
        <w:lastRenderedPageBreak/>
        <w:t>endoscopio.</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t>Durante la sedación, se permitió modificar el tratamiento asignado a un paciente si así lo creía necesario el anestesiólo</w:t>
      </w:r>
      <w:r>
        <w:rPr>
          <w:rFonts w:ascii="Times New Roman" w:hAnsi="Times New Roman" w:cs="Arial"/>
        </w:rPr>
        <w:t>go. Este hecho se recogió en el CRD, junto con la causa que lo originó.</w:t>
      </w:r>
    </w:p>
    <w:p w:rsidR="001B03C2" w:rsidRDefault="001B03C2">
      <w:pPr>
        <w:tabs>
          <w:tab w:val="left" w:pos="142"/>
        </w:tabs>
        <w:spacing w:line="480" w:lineRule="auto"/>
        <w:jc w:val="both"/>
        <w:rPr>
          <w:rFonts w:ascii="Times New Roman" w:hAnsi="Times New Roman" w:cs="Arial"/>
        </w:rPr>
      </w:pPr>
    </w:p>
    <w:p w:rsidR="001B03C2" w:rsidRDefault="001B03C2">
      <w:pPr>
        <w:tabs>
          <w:tab w:val="left" w:pos="142"/>
        </w:tabs>
        <w:spacing w:line="480" w:lineRule="auto"/>
        <w:jc w:val="both"/>
        <w:rPr>
          <w:rFonts w:hint="eastAsia"/>
        </w:rPr>
      </w:pPr>
    </w:p>
    <w:p w:rsidR="001B03C2" w:rsidRDefault="009B166E">
      <w:pPr>
        <w:tabs>
          <w:tab w:val="left" w:pos="142"/>
        </w:tabs>
        <w:spacing w:line="480" w:lineRule="auto"/>
        <w:jc w:val="both"/>
        <w:rPr>
          <w:rFonts w:ascii="Times New Roman" w:hAnsi="Times New Roman" w:cs="Arial"/>
          <w:b/>
          <w:bCs/>
        </w:rPr>
      </w:pPr>
      <w:r>
        <w:rPr>
          <w:rFonts w:ascii="Times New Roman" w:hAnsi="Times New Roman" w:cs="Arial"/>
          <w:b/>
          <w:bCs/>
        </w:rPr>
        <w:t>8.2 POBLACIÓN Y ÁMBITO.</w:t>
      </w:r>
    </w:p>
    <w:p w:rsidR="001B03C2" w:rsidRDefault="009B166E">
      <w:pPr>
        <w:spacing w:line="480" w:lineRule="auto"/>
        <w:jc w:val="both"/>
        <w:rPr>
          <w:rFonts w:ascii="Times New Roman" w:hAnsi="Times New Roman" w:cs="Arial"/>
        </w:rPr>
      </w:pPr>
      <w:r>
        <w:rPr>
          <w:rFonts w:ascii="Times New Roman" w:hAnsi="Times New Roman" w:cs="Arial"/>
        </w:rPr>
        <w:t>Realizamos un estudio en el que se incluyeron 278 pacientes. El método de muestreo utilizado fue el de selección consecutiva. La muestra se obtuvo a partir  d</w:t>
      </w:r>
      <w:r>
        <w:rPr>
          <w:rFonts w:ascii="Times New Roman" w:hAnsi="Times New Roman" w:cs="Arial"/>
        </w:rPr>
        <w:t>e una población proveniente de diferentes áreas de salud de la Provincia de Castellón, formada por pacientes programados para la realización de colonoscopia diagnóstico-terapéutica  bajo sedación en el Consorcio Hospitalario Provincial de Castellón entre l</w:t>
      </w:r>
      <w:r>
        <w:rPr>
          <w:rFonts w:ascii="Times New Roman" w:hAnsi="Times New Roman" w:cs="Arial"/>
        </w:rPr>
        <w:t>os meses de Julio y Diciembre de 2013. Las exploraciones endoscópicas se realizaron tras la indicación de la misma por el médico  digestólogo, bien tras inclusión del paciente dentro del programa de detección precoz del cáncer de colon, o para control post</w:t>
      </w:r>
      <w:r>
        <w:rPr>
          <w:rFonts w:ascii="Times New Roman" w:hAnsi="Times New Roman" w:cs="Arial"/>
        </w:rPr>
        <w:t xml:space="preserve">quirúrgico o por algún otro motivo médico. En este centro hospitalario, la mayoría de colonoscopias se realizan de forma normalizada en condiciones de sedación intravenosa por el Servicio de Anestesiología. </w:t>
      </w:r>
    </w:p>
    <w:p w:rsidR="001B03C2" w:rsidRDefault="009B166E">
      <w:pPr>
        <w:spacing w:line="480" w:lineRule="auto"/>
        <w:jc w:val="both"/>
        <w:rPr>
          <w:rFonts w:ascii="Times New Roman" w:hAnsi="Times New Roman" w:cs="Arial"/>
        </w:rPr>
      </w:pPr>
      <w:r>
        <w:rPr>
          <w:rFonts w:ascii="Times New Roman" w:hAnsi="Times New Roman" w:cs="Arial"/>
        </w:rPr>
        <w:t>La elegibilidad de los pacientes fue evaluada me</w:t>
      </w:r>
      <w:r>
        <w:rPr>
          <w:rFonts w:ascii="Times New Roman" w:hAnsi="Times New Roman" w:cs="Arial"/>
        </w:rPr>
        <w:t>diante la anamnesis y la revisión de la historia clínica.</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bCs/>
        </w:rPr>
      </w:pPr>
      <w:r>
        <w:rPr>
          <w:rFonts w:ascii="Times New Roman" w:hAnsi="Times New Roman" w:cs="Arial"/>
          <w:b/>
          <w:bCs/>
        </w:rPr>
        <w:t>8.2.1 SELECCIÓN DE LOS PACIENTES.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Los criterios de inclusión para participar en el estudio fueron:</w:t>
      </w:r>
    </w:p>
    <w:p w:rsidR="001B03C2" w:rsidRDefault="009B166E">
      <w:pPr>
        <w:numPr>
          <w:ilvl w:val="0"/>
          <w:numId w:val="2"/>
        </w:numPr>
        <w:spacing w:line="480" w:lineRule="auto"/>
        <w:jc w:val="both"/>
        <w:rPr>
          <w:rFonts w:ascii="Times New Roman" w:hAnsi="Times New Roman" w:cs="Arial"/>
        </w:rPr>
      </w:pPr>
      <w:r>
        <w:rPr>
          <w:rFonts w:ascii="Times New Roman" w:hAnsi="Times New Roman" w:cs="Arial"/>
        </w:rPr>
        <w:t xml:space="preserve">Paciente programado para realización de colonoscopia diagnóstico-terapéutica en régimen </w:t>
      </w:r>
      <w:r>
        <w:rPr>
          <w:rFonts w:ascii="Times New Roman" w:hAnsi="Times New Roman" w:cs="Arial"/>
        </w:rPr>
        <w:t>ambulatorio proveniente de centros de atención primaria de la provincia de Castellón.</w:t>
      </w:r>
    </w:p>
    <w:p w:rsidR="001B03C2" w:rsidRDefault="009B166E">
      <w:pPr>
        <w:numPr>
          <w:ilvl w:val="0"/>
          <w:numId w:val="2"/>
        </w:numPr>
        <w:spacing w:line="480" w:lineRule="auto"/>
        <w:jc w:val="both"/>
        <w:rPr>
          <w:rFonts w:ascii="Times New Roman" w:hAnsi="Times New Roman" w:cs="Arial"/>
        </w:rPr>
      </w:pPr>
      <w:r>
        <w:rPr>
          <w:rFonts w:ascii="Times New Roman" w:hAnsi="Times New Roman" w:cs="Arial"/>
        </w:rPr>
        <w:t>Tener más de 18 años de edad.</w:t>
      </w:r>
    </w:p>
    <w:p w:rsidR="001B03C2" w:rsidRDefault="009B166E">
      <w:pPr>
        <w:numPr>
          <w:ilvl w:val="0"/>
          <w:numId w:val="2"/>
        </w:numPr>
        <w:spacing w:line="480" w:lineRule="auto"/>
        <w:jc w:val="both"/>
        <w:rPr>
          <w:rFonts w:ascii="Times New Roman" w:hAnsi="Times New Roman" w:cs="Arial"/>
        </w:rPr>
      </w:pPr>
      <w:r>
        <w:rPr>
          <w:rFonts w:ascii="Times New Roman" w:hAnsi="Times New Roman" w:cs="Arial"/>
        </w:rPr>
        <w:lastRenderedPageBreak/>
        <w:t>Presentar un estado físico ASA I-III de la American Society of Anethesiology.</w:t>
      </w:r>
    </w:p>
    <w:p w:rsidR="001B03C2" w:rsidRDefault="009B166E">
      <w:pPr>
        <w:numPr>
          <w:ilvl w:val="0"/>
          <w:numId w:val="2"/>
        </w:numPr>
        <w:spacing w:line="480" w:lineRule="auto"/>
        <w:jc w:val="both"/>
        <w:rPr>
          <w:rFonts w:ascii="Times New Roman" w:hAnsi="Times New Roman" w:cs="Arial"/>
        </w:rPr>
      </w:pPr>
      <w:r>
        <w:rPr>
          <w:rFonts w:ascii="Times New Roman" w:hAnsi="Times New Roman" w:cs="Arial"/>
        </w:rPr>
        <w:t>Consentimiento  Informado (CI) firmado anterior a la inclusión</w:t>
      </w:r>
      <w:r>
        <w:rPr>
          <w:rFonts w:ascii="Times New Roman" w:hAnsi="Times New Roman" w:cs="Arial"/>
        </w:rPr>
        <w:t xml:space="preserve"> en el estudio.</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Los criterios de exclusión fueron:</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Rechazo del paciente a participar en el estudio.</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Menores de edad.</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Embarazo o lactancia.</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Historia de enfermedad hepática o renal crónicas.</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Historia de abuso de sustancias psicotropas.</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Enfermedad psiquiátri</w:t>
      </w:r>
      <w:r>
        <w:rPr>
          <w:rFonts w:ascii="Times New Roman" w:hAnsi="Times New Roman" w:cs="Arial"/>
        </w:rPr>
        <w:t>ca.</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Dificultad para comunicarse con el paciente por razones de idioma o déficit intelectual.</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Dificultad para colocar la mascarilla facial y su correcto sellado (presencia de barba, heridas o malformaciones faciales).</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Doble exploración programada (gastrosco</w:t>
      </w:r>
      <w:r>
        <w:rPr>
          <w:rFonts w:ascii="Times New Roman" w:hAnsi="Times New Roman" w:cs="Arial"/>
        </w:rPr>
        <w:t>pia más colonoscopia) o exploración realizada por ostoma.</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Contraindicación de administración de algunos de los fármacos del estudio.</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Alergias a alguno de los componentes de los fármacos del estudio.</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Situación de inestabilidad o descompensación hemodinámica</w:t>
      </w:r>
      <w:r>
        <w:rPr>
          <w:rFonts w:ascii="Times New Roman" w:hAnsi="Times New Roman" w:cs="Arial"/>
        </w:rPr>
        <w:t xml:space="preserve"> o respiratoria del paciente.</w:t>
      </w:r>
    </w:p>
    <w:p w:rsidR="001B03C2" w:rsidRDefault="009B166E">
      <w:pPr>
        <w:numPr>
          <w:ilvl w:val="0"/>
          <w:numId w:val="3"/>
        </w:numPr>
        <w:spacing w:line="480" w:lineRule="auto"/>
        <w:jc w:val="both"/>
        <w:rPr>
          <w:rFonts w:ascii="Times New Roman" w:hAnsi="Times New Roman" w:cs="Arial"/>
        </w:rPr>
      </w:pPr>
      <w:r>
        <w:rPr>
          <w:rFonts w:ascii="Times New Roman" w:hAnsi="Times New Roman" w:cs="Arial"/>
        </w:rPr>
        <w:t>Agravamiento de alguna de las enfermedades concomitantes descritas en la visita basal.</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Todos estos criterios se confirmaron a través de la historia clínica y/o de la entrevista con el paciente.</w:t>
      </w:r>
    </w:p>
    <w:p w:rsidR="001B03C2" w:rsidRDefault="009B166E">
      <w:pPr>
        <w:spacing w:line="480" w:lineRule="auto"/>
        <w:jc w:val="both"/>
        <w:rPr>
          <w:rFonts w:ascii="Times New Roman" w:hAnsi="Times New Roman" w:cs="Arial"/>
        </w:rPr>
      </w:pPr>
      <w:r>
        <w:rPr>
          <w:rFonts w:ascii="Times New Roman" w:hAnsi="Times New Roman" w:cs="Arial"/>
        </w:rPr>
        <w:t>Cada sujeto se consideró inclui</w:t>
      </w:r>
      <w:r>
        <w:rPr>
          <w:rFonts w:ascii="Times New Roman" w:hAnsi="Times New Roman" w:cs="Arial"/>
        </w:rPr>
        <w:t xml:space="preserve">do en el estudio cuando, cumpliendo con los criterios de selección, aceptara su participación en el estudio mediante la firma del CI. </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Los criterios de retirada de los sujetos del estudio fueron:</w:t>
      </w:r>
    </w:p>
    <w:p w:rsidR="001B03C2" w:rsidRDefault="009B166E">
      <w:pPr>
        <w:numPr>
          <w:ilvl w:val="0"/>
          <w:numId w:val="4"/>
        </w:numPr>
        <w:tabs>
          <w:tab w:val="left" w:pos="720"/>
        </w:tabs>
        <w:spacing w:line="480" w:lineRule="auto"/>
        <w:jc w:val="both"/>
        <w:rPr>
          <w:rFonts w:ascii="Times New Roman" w:hAnsi="Times New Roman" w:cs="Arial"/>
        </w:rPr>
      </w:pPr>
      <w:r>
        <w:rPr>
          <w:rFonts w:ascii="Times New Roman" w:hAnsi="Times New Roman" w:cs="Arial"/>
        </w:rPr>
        <w:t xml:space="preserve">Revocación del consentimiento del participante en </w:t>
      </w:r>
      <w:r>
        <w:rPr>
          <w:rFonts w:ascii="Times New Roman" w:hAnsi="Times New Roman" w:cs="Arial"/>
        </w:rPr>
        <w:t>cualquier momento para formar parte del estudio, así como la utilización de sus datos en el análisis, sin justificar su decisión, y sin que por ello se derive responsabilidad ni perjuicio alguno.</w:t>
      </w:r>
    </w:p>
    <w:p w:rsidR="001B03C2" w:rsidRDefault="009B166E">
      <w:pPr>
        <w:numPr>
          <w:ilvl w:val="0"/>
          <w:numId w:val="4"/>
        </w:numPr>
        <w:tabs>
          <w:tab w:val="left" w:pos="720"/>
        </w:tabs>
        <w:spacing w:line="480" w:lineRule="auto"/>
        <w:jc w:val="both"/>
        <w:rPr>
          <w:rFonts w:ascii="Times New Roman" w:hAnsi="Times New Roman" w:cs="Arial"/>
        </w:rPr>
      </w:pPr>
      <w:r>
        <w:rPr>
          <w:rFonts w:ascii="Times New Roman" w:hAnsi="Times New Roman" w:cs="Arial"/>
        </w:rPr>
        <w:t>Pérdida del paciente durante el seguimiento.</w:t>
      </w:r>
    </w:p>
    <w:p w:rsidR="001B03C2" w:rsidRDefault="009B166E">
      <w:pPr>
        <w:numPr>
          <w:ilvl w:val="0"/>
          <w:numId w:val="4"/>
        </w:numPr>
        <w:tabs>
          <w:tab w:val="left" w:pos="720"/>
        </w:tabs>
        <w:spacing w:line="480" w:lineRule="auto"/>
        <w:jc w:val="both"/>
        <w:rPr>
          <w:rFonts w:ascii="Times New Roman" w:hAnsi="Times New Roman" w:cs="Arial"/>
        </w:rPr>
      </w:pPr>
      <w:r>
        <w:rPr>
          <w:rFonts w:ascii="Times New Roman" w:hAnsi="Times New Roman" w:cs="Arial"/>
        </w:rPr>
        <w:t>Cambio en la me</w:t>
      </w:r>
      <w:r>
        <w:rPr>
          <w:rFonts w:ascii="Times New Roman" w:hAnsi="Times New Roman" w:cs="Arial"/>
        </w:rPr>
        <w:t>dicación administrada durante la sedación por decisión del investigador principal.</w:t>
      </w:r>
    </w:p>
    <w:p w:rsidR="001B03C2" w:rsidRDefault="009B166E">
      <w:pPr>
        <w:numPr>
          <w:ilvl w:val="0"/>
          <w:numId w:val="4"/>
        </w:numPr>
        <w:tabs>
          <w:tab w:val="left" w:pos="720"/>
        </w:tabs>
        <w:spacing w:line="480" w:lineRule="auto"/>
        <w:jc w:val="both"/>
        <w:rPr>
          <w:rFonts w:ascii="Times New Roman" w:hAnsi="Times New Roman" w:cs="Arial"/>
        </w:rPr>
      </w:pPr>
      <w:r>
        <w:rPr>
          <w:rFonts w:ascii="Times New Roman" w:hAnsi="Times New Roman" w:cs="Arial"/>
        </w:rPr>
        <w:t>Acontecimiento Adverso Grave durante el estudio.</w:t>
      </w:r>
    </w:p>
    <w:p w:rsidR="001B03C2" w:rsidRDefault="001B03C2">
      <w:pPr>
        <w:tabs>
          <w:tab w:val="left" w:pos="720"/>
        </w:tabs>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Los datos y motivos por los cuales cualquier paciente interrumpió prematuramente el estudio fueron recogidos en el Cuaderno</w:t>
      </w:r>
      <w:r>
        <w:rPr>
          <w:rFonts w:ascii="Times New Roman" w:hAnsi="Times New Roman" w:cs="Arial"/>
        </w:rPr>
        <w:t xml:space="preserve"> de Recogida de Datos ( CRD).</w:t>
      </w:r>
      <w:r>
        <w:rPr>
          <w:rFonts w:ascii="Times New Roman" w:hAnsi="Times New Roman" w:cs="Arial"/>
        </w:rPr>
        <w:t xml:space="preserve"> </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cs="Arial"/>
          <w:b/>
          <w:bCs/>
        </w:rPr>
      </w:pPr>
      <w:r>
        <w:rPr>
          <w:rFonts w:ascii="Times New Roman" w:hAnsi="Times New Roman" w:cs="Arial"/>
          <w:b/>
          <w:bCs/>
        </w:rPr>
        <w:t>8.2.2 CÁLCULO DEL TAMAÑO MUESTRAL.</w:t>
      </w:r>
    </w:p>
    <w:p w:rsidR="001B03C2" w:rsidRDefault="009B166E">
      <w:pPr>
        <w:spacing w:line="480" w:lineRule="auto"/>
        <w:jc w:val="both"/>
        <w:rPr>
          <w:rFonts w:ascii="Times New Roman" w:hAnsi="Times New Roman" w:cs="Arial"/>
        </w:rPr>
      </w:pPr>
      <w:r>
        <w:rPr>
          <w:rFonts w:ascii="Times New Roman" w:hAnsi="Times New Roman" w:cs="Arial"/>
        </w:rPr>
        <w:t>Se calculó el ta</w:t>
      </w:r>
      <w:r>
        <w:rPr>
          <w:rFonts w:ascii="Times New Roman" w:hAnsi="Times New Roman" w:cs="Arial"/>
        </w:rPr>
        <w:t>maño muestral en base a la evaluación del procedimiento de la colonoscopia por el endoscopista mediante escala visual analógica (EVA), para observar diferencias de 10 unidad</w:t>
      </w:r>
      <w:r>
        <w:rPr>
          <w:rFonts w:ascii="Times New Roman" w:hAnsi="Times New Roman" w:cs="Arial"/>
        </w:rPr>
        <w:t>es (10%) en la EVA, suponiendo una varianza de 625. Para los cálculos se utilizaron una potencia del 90% y un nivel de significatividad del 0.05 bilateral, siguiendo el método descrito por Cohen (</w:t>
      </w:r>
      <w:r>
        <w:rPr>
          <w:rFonts w:ascii="Times New Roman" w:hAnsi="Times New Roman" w:cs="Arial"/>
          <w:i/>
          <w:iCs/>
        </w:rPr>
        <w:t xml:space="preserve">Cohen, J. (1988). </w:t>
      </w:r>
      <w:r>
        <w:rPr>
          <w:rFonts w:ascii="Times New Roman" w:hAnsi="Times New Roman" w:cs="Arial"/>
          <w:i/>
          <w:iCs/>
          <w:lang w:val="en-US"/>
        </w:rPr>
        <w:t>Statistical power analysis for the behavio</w:t>
      </w:r>
      <w:r>
        <w:rPr>
          <w:rFonts w:ascii="Times New Roman" w:hAnsi="Times New Roman" w:cs="Arial"/>
          <w:i/>
          <w:iCs/>
          <w:lang w:val="en-US"/>
        </w:rPr>
        <w:t>ral sciences (2nd ed.). Hillsdale,NJ: Lawrence Erlbaum.</w:t>
      </w:r>
      <w:r>
        <w:rPr>
          <w:rFonts w:ascii="Times New Roman" w:hAnsi="Times New Roman" w:cs="Arial"/>
          <w:lang w:val="en-US"/>
        </w:rPr>
        <w:t xml:space="preserve">). </w:t>
      </w:r>
      <w:r>
        <w:rPr>
          <w:rFonts w:ascii="Times New Roman" w:hAnsi="Times New Roman" w:cs="Arial"/>
        </w:rPr>
        <w:t>Se precisaba la inclusión de 132 pacientes en cada uno de los dos brazos del estudio. Se consideró que se podía producir un 5 % de pérdidas de pacientes, por lo que se incluyeron 139 pacientes en ca</w:t>
      </w:r>
      <w:r>
        <w:rPr>
          <w:rFonts w:ascii="Times New Roman" w:hAnsi="Times New Roman" w:cs="Arial"/>
        </w:rPr>
        <w:t>da brazo, es decir, un total de 278 pacientes.</w:t>
      </w:r>
    </w:p>
    <w:p w:rsidR="001B03C2" w:rsidRDefault="001B03C2">
      <w:pPr>
        <w:widowControl/>
        <w:suppressAutoHyphens w:val="0"/>
        <w:spacing w:line="480" w:lineRule="auto"/>
        <w:jc w:val="both"/>
        <w:rPr>
          <w:rFonts w:ascii="Times New Roman" w:hAnsi="Times New Roman"/>
        </w:rPr>
      </w:pPr>
    </w:p>
    <w:p w:rsidR="001B03C2" w:rsidRDefault="009B166E">
      <w:pPr>
        <w:widowControl/>
        <w:suppressAutoHyphens w:val="0"/>
        <w:spacing w:line="480" w:lineRule="auto"/>
        <w:jc w:val="both"/>
        <w:rPr>
          <w:rFonts w:ascii="Times New Roman" w:hAnsi="Times New Roman" w:cs="Arial"/>
          <w:b/>
          <w:bCs/>
        </w:rPr>
      </w:pPr>
      <w:r>
        <w:rPr>
          <w:rFonts w:ascii="Times New Roman" w:hAnsi="Times New Roman" w:cs="Arial"/>
          <w:b/>
          <w:bCs/>
        </w:rPr>
        <w:t>8.3 VARIABLES E INSTRUMENTACIÓN.</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lastRenderedPageBreak/>
        <w:t>8.3.1 VARIABLE PRINCIPAL.</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 xml:space="preserve">La variable principal del estudio fue </w:t>
      </w:r>
      <w:r>
        <w:rPr>
          <w:rFonts w:ascii="Times New Roman" w:hAnsi="Times New Roman" w:cs="Arial"/>
          <w:b/>
          <w:bCs/>
          <w:i/>
          <w:iCs/>
        </w:rPr>
        <w:t>la calidad de la sedación valorada por el endoscopista</w:t>
      </w:r>
      <w:r>
        <w:rPr>
          <w:rFonts w:ascii="Times New Roman" w:hAnsi="Times New Roman" w:cs="Arial"/>
        </w:rPr>
        <w:t xml:space="preserve">, el cual tuvo en cuenta su percepción de la comodidad </w:t>
      </w:r>
      <w:r>
        <w:rPr>
          <w:rFonts w:ascii="Times New Roman" w:hAnsi="Times New Roman" w:cs="Arial"/>
        </w:rPr>
        <w:t xml:space="preserve">o de molestias del paciente y la dificultad para finalizar la exploración. Para medir la calidad de la sedación se empleó la escala visual analógica (EVA) representada en una línea horizontal continua de 0 – 100 mm. Al endoscopista se le pidió que marcase </w:t>
      </w:r>
      <w:r>
        <w:rPr>
          <w:rFonts w:ascii="Times New Roman" w:hAnsi="Times New Roman" w:cs="Arial"/>
        </w:rPr>
        <w:t>entre los dos extremos de la línea el punto que mejor reflejara su valoración. Los valores cercanos a 0 fueron considerados una mala valoración de la sedación, y valores cercanos a 100 una buena valoración.</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rPr>
      </w:pPr>
      <w:r>
        <w:rPr>
          <w:rFonts w:ascii="Times New Roman" w:hAnsi="Times New Roman" w:cs="Arial"/>
        </w:rPr>
        <w:t>8.3.2 VARIABLES SECUNDARIAS.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 xml:space="preserve">Para complementar </w:t>
      </w:r>
      <w:r>
        <w:rPr>
          <w:rFonts w:ascii="Times New Roman" w:hAnsi="Times New Roman" w:cs="Arial"/>
        </w:rPr>
        <w:t>la evaluación de la sedación de forma global, aparte de la valoración por parte del endoscopista, registramos una serie de variables, consideradas como secundarias:</w:t>
      </w:r>
    </w:p>
    <w:p w:rsidR="001B03C2" w:rsidRDefault="001B03C2">
      <w:pPr>
        <w:spacing w:line="480" w:lineRule="auto"/>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Finalización o no de la colonoscopia.</w:t>
      </w:r>
      <w:r>
        <w:rPr>
          <w:rFonts w:ascii="Times New Roman" w:hAnsi="Times New Roman" w:cs="Arial"/>
        </w:rPr>
        <w:t xml:space="preserve"> </w:t>
      </w:r>
    </w:p>
    <w:p w:rsidR="001B03C2" w:rsidRDefault="009B166E">
      <w:pPr>
        <w:spacing w:line="480" w:lineRule="auto"/>
        <w:jc w:val="both"/>
        <w:rPr>
          <w:rFonts w:ascii="Times New Roman" w:hAnsi="Times New Roman" w:cs="Arial"/>
        </w:rPr>
      </w:pPr>
      <w:r>
        <w:rPr>
          <w:rFonts w:ascii="Times New Roman" w:hAnsi="Times New Roman" w:cs="Arial"/>
        </w:rPr>
        <w:t xml:space="preserve">Consideramos completa la colonoscopia cuando se </w:t>
      </w:r>
      <w:r>
        <w:rPr>
          <w:rFonts w:ascii="Times New Roman" w:hAnsi="Times New Roman" w:cs="Arial"/>
        </w:rPr>
        <w:t>alcanzaba la válvula ileo-cecal y se consideró finalizada al retirar el endoscopio la exploración. En caso de no finalización determinamos si fue por causa anestésica o por imposibilidad de avance del colonoscopio por la anatomía del paciente.</w:t>
      </w:r>
    </w:p>
    <w:p w:rsidR="001B03C2" w:rsidRDefault="001B03C2">
      <w:pPr>
        <w:spacing w:line="480" w:lineRule="auto"/>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Variables h</w:t>
      </w:r>
      <w:r>
        <w:rPr>
          <w:rFonts w:ascii="Times New Roman" w:hAnsi="Times New Roman" w:cs="Arial"/>
          <w:b/>
          <w:bCs/>
        </w:rPr>
        <w:t>emodinámicas</w:t>
      </w:r>
      <w:r>
        <w:rPr>
          <w:rFonts w:ascii="Times New Roman" w:hAnsi="Times New Roman" w:cs="Arial"/>
        </w:rPr>
        <w:t xml:space="preserve">. </w:t>
      </w:r>
    </w:p>
    <w:p w:rsidR="001B03C2" w:rsidRDefault="009B166E">
      <w:pPr>
        <w:spacing w:line="480" w:lineRule="auto"/>
        <w:jc w:val="both"/>
        <w:rPr>
          <w:rFonts w:ascii="Times New Roman" w:hAnsi="Times New Roman" w:cs="Arial"/>
        </w:rPr>
      </w:pPr>
      <w:r>
        <w:rPr>
          <w:rFonts w:ascii="Times New Roman" w:hAnsi="Times New Roman" w:cs="Arial"/>
        </w:rPr>
        <w:t>Se registraron la tensión arterial no invasiva (TANI) y la frecuencia cardíaca (FC) en tres momentos diferentes ( basal, al intubar ciego y al finalizar la colonoscopia). Estas variables fueron registradas por una enfermera independiente.</w:t>
      </w:r>
    </w:p>
    <w:p w:rsidR="001B03C2" w:rsidRDefault="001B03C2">
      <w:pPr>
        <w:spacing w:line="480" w:lineRule="auto"/>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lastRenderedPageBreak/>
        <w:t>P</w:t>
      </w:r>
      <w:r>
        <w:rPr>
          <w:rFonts w:ascii="Times New Roman" w:hAnsi="Times New Roman" w:cs="Arial"/>
          <w:b/>
          <w:bCs/>
        </w:rPr>
        <w:t>resencia de complicaciones respiratorias.</w:t>
      </w:r>
      <w:r>
        <w:rPr>
          <w:rFonts w:ascii="Times New Roman" w:hAnsi="Times New Roman" w:cs="Arial"/>
        </w:rPr>
        <w:t xml:space="preserve"> </w:t>
      </w:r>
    </w:p>
    <w:p w:rsidR="001B03C2" w:rsidRDefault="009B166E">
      <w:pPr>
        <w:spacing w:line="480" w:lineRule="auto"/>
        <w:ind w:left="142"/>
        <w:jc w:val="both"/>
        <w:rPr>
          <w:rFonts w:ascii="Times New Roman" w:hAnsi="Times New Roman" w:cs="Arial"/>
        </w:rPr>
      </w:pPr>
      <w:r>
        <w:rPr>
          <w:rFonts w:ascii="Times New Roman" w:hAnsi="Times New Roman" w:cs="Arial"/>
        </w:rPr>
        <w:t>La “</w:t>
      </w:r>
      <w:r>
        <w:rPr>
          <w:rFonts w:ascii="Times New Roman" w:hAnsi="Times New Roman" w:cs="Arial"/>
          <w:i/>
          <w:iCs/>
        </w:rPr>
        <w:t>apnea respiratoria”</w:t>
      </w:r>
      <w:r>
        <w:rPr>
          <w:rFonts w:ascii="Times New Roman" w:hAnsi="Times New Roman" w:cs="Arial"/>
        </w:rPr>
        <w:t xml:space="preserve">, definida como la pérdida de la ventilación espontánea, objetivada por el anestesiólogo. </w:t>
      </w:r>
    </w:p>
    <w:p w:rsidR="001B03C2" w:rsidRDefault="009B166E">
      <w:pPr>
        <w:spacing w:line="480" w:lineRule="auto"/>
        <w:ind w:left="142"/>
        <w:jc w:val="both"/>
        <w:rPr>
          <w:rFonts w:ascii="Times New Roman" w:hAnsi="Times New Roman" w:cs="Arial"/>
        </w:rPr>
      </w:pPr>
      <w:r>
        <w:rPr>
          <w:rFonts w:ascii="Times New Roman" w:hAnsi="Times New Roman" w:cs="Arial"/>
        </w:rPr>
        <w:t>La “</w:t>
      </w:r>
      <w:r>
        <w:rPr>
          <w:rFonts w:ascii="Times New Roman" w:hAnsi="Times New Roman" w:cs="Arial"/>
          <w:i/>
          <w:iCs/>
        </w:rPr>
        <w:t>desaturación arterial”</w:t>
      </w:r>
      <w:r>
        <w:rPr>
          <w:rFonts w:ascii="Times New Roman" w:hAnsi="Times New Roman" w:cs="Arial"/>
        </w:rPr>
        <w:t>, definida como el descenso del valor de la SpO</w:t>
      </w:r>
      <w:r>
        <w:rPr>
          <w:rFonts w:ascii="Times New Roman" w:hAnsi="Times New Roman" w:cs="Arial"/>
          <w:vertAlign w:val="subscript"/>
        </w:rPr>
        <w:t>2</w:t>
      </w:r>
      <w:r>
        <w:rPr>
          <w:rFonts w:ascii="Times New Roman" w:hAnsi="Times New Roman" w:cs="Arial"/>
        </w:rPr>
        <w:t xml:space="preserve"> por debajo del 90%. Esta variable fue  objetivada mediante el pulsioxímetro.</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eastAsia="Arial" w:hAnsi="Times New Roman" w:cs="Arial"/>
        </w:rPr>
        <w:t xml:space="preserve"> </w:t>
      </w:r>
      <w:r>
        <w:rPr>
          <w:rFonts w:ascii="Times New Roman" w:hAnsi="Times New Roman" w:cs="Arial"/>
          <w:b/>
          <w:bCs/>
        </w:rPr>
        <w:t>Necesidad de maniobras de auxilio de la vía aérea:</w:t>
      </w:r>
      <w:r>
        <w:rPr>
          <w:rFonts w:ascii="Times New Roman" w:hAnsi="Times New Roman" w:cs="Arial"/>
        </w:rPr>
        <w:t xml:space="preserve"> subluxación mandibular, uso de cánula orofaríngea, ventilación manual o intubación traqueal (IOT). Objetivadas por el anestes</w:t>
      </w:r>
      <w:r>
        <w:rPr>
          <w:rFonts w:ascii="Times New Roman" w:hAnsi="Times New Roman" w:cs="Arial"/>
        </w:rPr>
        <w:t>iólogo.</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rPr>
        <w:t xml:space="preserve">Presencia de </w:t>
      </w:r>
      <w:r>
        <w:rPr>
          <w:rFonts w:ascii="Times New Roman" w:hAnsi="Times New Roman" w:cs="Arial"/>
          <w:b/>
          <w:bCs/>
        </w:rPr>
        <w:t>otras complicaciones</w:t>
      </w:r>
      <w:r>
        <w:rPr>
          <w:rFonts w:ascii="Times New Roman" w:hAnsi="Times New Roman" w:cs="Arial"/>
        </w:rPr>
        <w:t xml:space="preserve"> como bradicardia extrema, parada cardiorrespiratoria, problemas neurológicos o perforación intestinal. Objetivadas por el anestesiólogo.</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Tiempo de duración total</w:t>
      </w:r>
      <w:r>
        <w:rPr>
          <w:rFonts w:ascii="Times New Roman" w:hAnsi="Times New Roman" w:cs="Arial"/>
        </w:rPr>
        <w:t xml:space="preserve"> de la colonoscopia en minutos hasta completar la e</w:t>
      </w:r>
      <w:r>
        <w:rPr>
          <w:rFonts w:ascii="Times New Roman" w:hAnsi="Times New Roman" w:cs="Arial"/>
        </w:rPr>
        <w:t xml:space="preserve">xploración, y </w:t>
      </w:r>
      <w:r>
        <w:rPr>
          <w:rFonts w:ascii="Times New Roman" w:hAnsi="Times New Roman" w:cs="Arial"/>
          <w:b/>
          <w:bCs/>
        </w:rPr>
        <w:t>tiempo hasta alcanzar ciego</w:t>
      </w:r>
      <w:r>
        <w:rPr>
          <w:rFonts w:ascii="Times New Roman" w:hAnsi="Times New Roman" w:cs="Arial"/>
        </w:rPr>
        <w:t>. Esta variable fue medida por la enfermera independiente.</w:t>
      </w:r>
    </w:p>
    <w:p w:rsidR="001B03C2" w:rsidRDefault="001B03C2">
      <w:pPr>
        <w:pStyle w:val="Prrafodelista"/>
        <w:spacing w:line="480" w:lineRule="auto"/>
        <w:jc w:val="both"/>
        <w:rPr>
          <w:rFonts w:ascii="Times New Roman" w:hAnsi="Times New Roman" w:cs="Arial"/>
          <w:szCs w:val="24"/>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Presencia de estado de sedación excesivo durante o tras el procedimiento</w:t>
      </w:r>
      <w:r>
        <w:rPr>
          <w:rFonts w:ascii="Times New Roman" w:hAnsi="Times New Roman" w:cs="Arial"/>
        </w:rPr>
        <w:t xml:space="preserve">. </w:t>
      </w:r>
    </w:p>
    <w:p w:rsidR="001B03C2" w:rsidRDefault="009B166E">
      <w:pPr>
        <w:spacing w:line="480" w:lineRule="auto"/>
        <w:jc w:val="both"/>
        <w:rPr>
          <w:rFonts w:ascii="Times New Roman" w:hAnsi="Times New Roman" w:cs="Arial"/>
        </w:rPr>
      </w:pPr>
      <w:r>
        <w:rPr>
          <w:rFonts w:ascii="Times New Roman" w:hAnsi="Times New Roman" w:cs="Arial"/>
        </w:rPr>
        <w:t>Será valorado por el anestesiólogo utilizando la escala de sedación de Ramsay, y</w:t>
      </w:r>
      <w:r>
        <w:rPr>
          <w:rFonts w:ascii="Times New Roman" w:hAnsi="Times New Roman" w:cs="Arial"/>
        </w:rPr>
        <w:t xml:space="preserve"> considerará una sedación excesiva el grado 6 de esa escala.</w:t>
      </w:r>
    </w:p>
    <w:p w:rsidR="001B03C2" w:rsidRDefault="001B03C2">
      <w:pPr>
        <w:spacing w:line="480" w:lineRule="auto"/>
        <w:ind w:left="142"/>
        <w:jc w:val="both"/>
        <w:rPr>
          <w:rFonts w:ascii="Times New Roman" w:hAnsi="Times New Roman" w:cs="Arial"/>
          <w:i/>
        </w:rPr>
      </w:pPr>
    </w:p>
    <w:p w:rsidR="001B03C2" w:rsidRDefault="001B03C2">
      <w:pPr>
        <w:spacing w:line="480" w:lineRule="auto"/>
        <w:ind w:left="142"/>
        <w:jc w:val="both"/>
        <w:rPr>
          <w:rFonts w:ascii="Times New Roman" w:hAnsi="Times New Roman" w:cs="Arial"/>
          <w:i/>
        </w:rPr>
      </w:pPr>
    </w:p>
    <w:p w:rsidR="001B03C2" w:rsidRDefault="001B03C2">
      <w:pPr>
        <w:spacing w:line="480" w:lineRule="auto"/>
        <w:ind w:left="142"/>
        <w:jc w:val="both"/>
        <w:rPr>
          <w:rFonts w:ascii="Times New Roman" w:hAnsi="Times New Roman" w:cs="Arial"/>
          <w:i/>
        </w:rPr>
      </w:pPr>
    </w:p>
    <w:tbl>
      <w:tblPr>
        <w:tblW w:w="0" w:type="auto"/>
        <w:tblInd w:w="-278"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000"/>
      </w:tblPr>
      <w:tblGrid>
        <w:gridCol w:w="331"/>
        <w:gridCol w:w="8358"/>
      </w:tblGrid>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1</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Paciente ansioso, agitado o inquieto.</w:t>
            </w:r>
          </w:p>
        </w:tc>
      </w:tr>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2</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Paciente colaborador, orientado y tranquilo.</w:t>
            </w:r>
          </w:p>
        </w:tc>
      </w:tr>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3</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Dormido, responde a órdenes verbales.</w:t>
            </w:r>
          </w:p>
        </w:tc>
      </w:tr>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lastRenderedPageBreak/>
              <w:t>4</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 xml:space="preserve">Dormido, con respuesta viva a estímulo verbal potente o </w:t>
            </w:r>
            <w:r>
              <w:rPr>
                <w:rFonts w:ascii="Times New Roman" w:hAnsi="Times New Roman" w:cs="Arial"/>
              </w:rPr>
              <w:t>mecánico.</w:t>
            </w:r>
          </w:p>
        </w:tc>
      </w:tr>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5</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Dormido, con respuesta lenta a estímulo verbal potente o mecánico.</w:t>
            </w:r>
          </w:p>
        </w:tc>
      </w:tr>
      <w:tr w:rsidR="001B03C2">
        <w:trPr>
          <w:cantSplit/>
        </w:trPr>
        <w:tc>
          <w:tcPr>
            <w:tcW w:w="331"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6</w:t>
            </w:r>
          </w:p>
        </w:tc>
        <w:tc>
          <w:tcPr>
            <w:tcW w:w="8358"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jc w:val="both"/>
              <w:rPr>
                <w:rFonts w:ascii="Times New Roman" w:hAnsi="Times New Roman" w:cs="Arial"/>
              </w:rPr>
            </w:pPr>
            <w:r>
              <w:rPr>
                <w:rFonts w:ascii="Times New Roman" w:hAnsi="Times New Roman" w:cs="Arial"/>
              </w:rPr>
              <w:t>Dormido, sin respuesta.</w:t>
            </w:r>
          </w:p>
        </w:tc>
      </w:tr>
    </w:tbl>
    <w:p w:rsidR="001B03C2" w:rsidRDefault="009B166E">
      <w:pPr>
        <w:widowControl/>
        <w:suppressAutoHyphens w:val="0"/>
        <w:spacing w:line="480" w:lineRule="auto"/>
        <w:jc w:val="both"/>
        <w:rPr>
          <w:rFonts w:ascii="Times New Roman" w:eastAsia="Times New Roman" w:hAnsi="Times New Roman" w:cs="Arial"/>
          <w:i/>
          <w:iCs/>
          <w:sz w:val="20"/>
          <w:szCs w:val="20"/>
          <w:lang w:val="en-US" w:eastAsia="ar-SA" w:bidi="ar-SA"/>
        </w:rPr>
      </w:pPr>
      <w:r>
        <w:rPr>
          <w:rFonts w:ascii="Times New Roman" w:eastAsia="Times New Roman" w:hAnsi="Times New Roman" w:cs="Arial"/>
          <w:i/>
          <w:iCs/>
          <w:sz w:val="20"/>
          <w:szCs w:val="20"/>
          <w:lang w:val="en-US" w:eastAsia="ar-SA" w:bidi="ar-SA"/>
        </w:rPr>
        <w:t>Ramsay M, Savege T, Simpson BR, Goodwin R: Controlled sedation with alphaxolone-alphadolone. BMJ 1974; 2 (920):656-659</w:t>
      </w:r>
    </w:p>
    <w:p w:rsidR="001B03C2" w:rsidRDefault="001B03C2">
      <w:pPr>
        <w:spacing w:line="480" w:lineRule="auto"/>
        <w:jc w:val="both"/>
        <w:rPr>
          <w:rFonts w:ascii="Times New Roman" w:hAnsi="Times New Roman" w:cs="Arial"/>
          <w:lang w:val="en-US"/>
        </w:rPr>
      </w:pPr>
    </w:p>
    <w:p w:rsidR="001B03C2" w:rsidRDefault="001B03C2">
      <w:pPr>
        <w:spacing w:line="480" w:lineRule="auto"/>
        <w:jc w:val="both"/>
        <w:rPr>
          <w:rFonts w:ascii="Times New Roman" w:hAnsi="Times New Roman" w:cs="Arial"/>
          <w:lang w:val="en-US"/>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 xml:space="preserve">Presencia de movimientos </w:t>
      </w:r>
      <w:r>
        <w:rPr>
          <w:rFonts w:ascii="Times New Roman" w:hAnsi="Times New Roman" w:cs="Arial"/>
          <w:b/>
          <w:bCs/>
        </w:rPr>
        <w:t>involuntarios del paciente</w:t>
      </w:r>
      <w:r>
        <w:rPr>
          <w:rFonts w:ascii="Times New Roman" w:hAnsi="Times New Roman" w:cs="Arial"/>
        </w:rPr>
        <w:t xml:space="preserve"> durante la colonoscopia, valorado por la enfermera independiente según cinco grados:</w:t>
      </w:r>
    </w:p>
    <w:p w:rsidR="001B03C2" w:rsidRDefault="001B03C2">
      <w:pPr>
        <w:spacing w:line="480" w:lineRule="auto"/>
        <w:ind w:left="142"/>
        <w:jc w:val="both"/>
        <w:rPr>
          <w:rFonts w:ascii="Times New Roman" w:hAnsi="Times New Roman" w:cs="Arial"/>
        </w:rPr>
      </w:pPr>
    </w:p>
    <w:tbl>
      <w:tblPr>
        <w:tblW w:w="0" w:type="auto"/>
        <w:tblInd w:w="-420"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000"/>
      </w:tblPr>
      <w:tblGrid>
        <w:gridCol w:w="9084"/>
        <w:gridCol w:w="1160"/>
      </w:tblGrid>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b/>
              </w:rPr>
            </w:pPr>
            <w:r>
              <w:rPr>
                <w:rFonts w:ascii="Times New Roman" w:eastAsia="Arial" w:hAnsi="Times New Roman" w:cs="Arial"/>
                <w:b/>
              </w:rPr>
              <w:t xml:space="preserve">          </w:t>
            </w:r>
            <w:r>
              <w:rPr>
                <w:rFonts w:ascii="Times New Roman" w:hAnsi="Times New Roman" w:cs="Arial"/>
                <w:b/>
              </w:rPr>
              <w:t>MOVIMIENTOS DEL PACIENTE DURANTE LA COLONOSCOPIA</w:t>
            </w:r>
          </w:p>
        </w:tc>
        <w:tc>
          <w:tcPr>
            <w:tcW w:w="1214" w:type="dxa"/>
            <w:tcBorders>
              <w:top w:val="single" w:sz="4" w:space="0" w:color="000001"/>
              <w:left w:val="nil"/>
              <w:bottom w:val="single" w:sz="4" w:space="0" w:color="000001"/>
              <w:right w:val="single" w:sz="4" w:space="0" w:color="000001"/>
            </w:tcBorders>
            <w:shd w:val="clear" w:color="auto" w:fill="FFFFFF"/>
            <w:tcMar>
              <w:left w:w="108" w:type="dxa"/>
            </w:tcMar>
          </w:tcPr>
          <w:p w:rsidR="001B03C2" w:rsidRDefault="001B03C2">
            <w:pPr>
              <w:spacing w:line="480" w:lineRule="auto"/>
              <w:ind w:left="142"/>
              <w:jc w:val="both"/>
              <w:rPr>
                <w:rFonts w:ascii="Times New Roman" w:hAnsi="Times New Roman" w:cs="Arial"/>
                <w:b/>
              </w:rPr>
            </w:pPr>
          </w:p>
        </w:tc>
      </w:tr>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NO HAY MOVIMIENTOS </w:t>
            </w:r>
          </w:p>
        </w:tc>
        <w:tc>
          <w:tcPr>
            <w:tcW w:w="121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0</w:t>
            </w:r>
          </w:p>
        </w:tc>
      </w:tr>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SÓLO ANTE ESTÍMULOS MUY DOLOROSOS Y AGRESIVOS </w:t>
            </w:r>
          </w:p>
        </w:tc>
        <w:tc>
          <w:tcPr>
            <w:tcW w:w="121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1</w:t>
            </w:r>
          </w:p>
        </w:tc>
      </w:tr>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ANTE ESTÍMULOS DOLOROSOS MEDIOS (p.ej si la enfermera que asiste al endoscopista presiona el abdomen) </w:t>
            </w:r>
          </w:p>
        </w:tc>
        <w:tc>
          <w:tcPr>
            <w:tcW w:w="121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2</w:t>
            </w:r>
          </w:p>
        </w:tc>
      </w:tr>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DURANTE GRAN PARTE DE LA COLONOSCOPIA, DIFICULTANDO LA EXPLORACIÓN </w:t>
            </w:r>
          </w:p>
        </w:tc>
        <w:tc>
          <w:tcPr>
            <w:tcW w:w="121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3</w:t>
            </w:r>
          </w:p>
        </w:tc>
      </w:tr>
      <w:tr w:rsidR="001B03C2">
        <w:trPr>
          <w:cantSplit/>
        </w:trPr>
        <w:tc>
          <w:tcPr>
            <w:tcW w:w="960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DURANTE GRAN PARTE DE LA COLONOSCOPIA, IMPIDIENDO LA EXPLORACIÓN </w:t>
            </w:r>
          </w:p>
        </w:tc>
        <w:tc>
          <w:tcPr>
            <w:tcW w:w="1214"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4</w:t>
            </w:r>
          </w:p>
        </w:tc>
      </w:tr>
    </w:tbl>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Estos </w:t>
      </w:r>
      <w:r>
        <w:rPr>
          <w:rFonts w:ascii="Times New Roman" w:hAnsi="Times New Roman" w:cs="Arial"/>
        </w:rPr>
        <w:t xml:space="preserve">movimientos serán posteriormente agrupados a la hora de exponer los resultados, en dos tipos de movimientos: por una parte, aquellos que no suponen dificultad para el endoscopista para el avance del colonoscopio ( corresponden con los grupos 0,1 y 2 de la </w:t>
      </w:r>
      <w:r>
        <w:rPr>
          <w:rFonts w:ascii="Times New Roman" w:hAnsi="Times New Roman" w:cs="Arial"/>
        </w:rPr>
        <w:t>escala de movimientos) y por otra parte, aquellos que sí suponen dificultad para el endoscopista ( grupos 3 y 4 de la escala de movimientos).</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Dosis de fármacos administrados.</w:t>
      </w:r>
      <w:r>
        <w:rPr>
          <w:rFonts w:ascii="Times New Roman" w:hAnsi="Times New Roman" w:cs="Arial"/>
        </w:rPr>
        <w:t xml:space="preserve"> </w:t>
      </w:r>
    </w:p>
    <w:p w:rsidR="001B03C2" w:rsidRDefault="009B166E">
      <w:pPr>
        <w:spacing w:line="480" w:lineRule="auto"/>
        <w:ind w:left="142"/>
        <w:jc w:val="both"/>
        <w:rPr>
          <w:rFonts w:ascii="Times New Roman" w:hAnsi="Times New Roman" w:cs="Arial"/>
        </w:rPr>
      </w:pPr>
      <w:r>
        <w:rPr>
          <w:rFonts w:ascii="Times New Roman" w:hAnsi="Times New Roman" w:cs="Arial"/>
        </w:rPr>
        <w:t>El anestesiólogo anotó la dosis administrada de propofol en mg y la de remifena</w:t>
      </w:r>
      <w:r>
        <w:rPr>
          <w:rFonts w:ascii="Times New Roman" w:hAnsi="Times New Roman" w:cs="Arial"/>
        </w:rPr>
        <w:t>nilo en mcg en el grupo P. En el grupo S, anotó la máxima concentración de gas anestésico empleada durante la sedación, puediendo ser una concentración baja ( Fracción espirada (FE)&lt;2%), media ( FE 2-4%) o alta ( FE &gt;4%).</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b/>
          <w:bCs/>
        </w:rPr>
      </w:pPr>
      <w:r>
        <w:rPr>
          <w:rFonts w:ascii="Times New Roman" w:hAnsi="Times New Roman" w:cs="Arial"/>
          <w:b/>
          <w:bCs/>
        </w:rPr>
        <w:t>Grado de recuperación tras la sed</w:t>
      </w:r>
      <w:r>
        <w:rPr>
          <w:rFonts w:ascii="Times New Roman" w:hAnsi="Times New Roman" w:cs="Arial"/>
          <w:b/>
          <w:bCs/>
        </w:rPr>
        <w:t>ación.</w:t>
      </w:r>
    </w:p>
    <w:p w:rsidR="001B03C2" w:rsidRDefault="009B166E">
      <w:pPr>
        <w:spacing w:line="480" w:lineRule="auto"/>
        <w:ind w:left="142"/>
        <w:jc w:val="both"/>
        <w:rPr>
          <w:rFonts w:ascii="Times New Roman" w:hAnsi="Times New Roman" w:cs="Arial"/>
        </w:rPr>
      </w:pPr>
      <w:r>
        <w:rPr>
          <w:rFonts w:ascii="Times New Roman" w:hAnsi="Times New Roman" w:cs="Arial"/>
        </w:rPr>
        <w:t>Fue valorado por una enfermera independiente mediante una escala validada para pacientes sometidos a procesos ambulatorios. Consideramos alta con valores de al menos 9 puntos sobre 10 posibles. Se realizó una primera valoración a los 30 minutos de f</w:t>
      </w:r>
      <w:r>
        <w:rPr>
          <w:rFonts w:ascii="Times New Roman" w:hAnsi="Times New Roman" w:cs="Arial"/>
        </w:rPr>
        <w:t>inalizar la exploración, y otra a los 60 minutos, en caso de no haber sido dado de alta tras la primera valoración.</w:t>
      </w:r>
    </w:p>
    <w:p w:rsidR="001B03C2" w:rsidRDefault="001B03C2">
      <w:pPr>
        <w:spacing w:line="480" w:lineRule="auto"/>
        <w:ind w:left="142"/>
        <w:jc w:val="both"/>
        <w:rPr>
          <w:rFonts w:ascii="Times New Roman" w:hAnsi="Times New Roman"/>
        </w:rPr>
      </w:pPr>
    </w:p>
    <w:p w:rsidR="001B03C2" w:rsidRDefault="001B03C2">
      <w:pPr>
        <w:spacing w:line="480" w:lineRule="auto"/>
        <w:ind w:left="142"/>
        <w:jc w:val="both"/>
        <w:rPr>
          <w:rFonts w:ascii="Times New Roman" w:hAnsi="Times New Roman" w:cs="Arial"/>
        </w:rPr>
      </w:pPr>
      <w:r w:rsidRPr="001B03C2">
        <w:pict>
          <v:rect id="_x0000_s1026" style="position:absolute;left:0;text-align:left;margin-left:34.7pt;margin-top:9.5pt;width:412.5pt;height:229.1pt;z-index:251658240;mso-wrap-distance-left:7.05pt;mso-wrap-distance-right:7.05pt" strokeweight="0">
            <v:fill opacity="0"/>
            <v:textbox inset=".05pt,.05pt,.05pt,.05pt">
              <w:txbxContent>
                <w:tbl>
                  <w:tblPr>
                    <w:tblW w:w="0" w:type="auto"/>
                    <w:tblInd w:w="83"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000"/>
                  </w:tblPr>
                  <w:tblGrid>
                    <w:gridCol w:w="1986"/>
                    <w:gridCol w:w="3759"/>
                    <w:gridCol w:w="966"/>
                    <w:gridCol w:w="1639"/>
                  </w:tblGrid>
                  <w:tr w:rsidR="001B03C2">
                    <w:trPr>
                      <w:cantSplit/>
                      <w:trHeight w:val="263"/>
                    </w:trPr>
                    <w:tc>
                      <w:tcPr>
                        <w:tcW w:w="208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Categoría</w:t>
                        </w: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Ítems</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Puntos 30’</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Puntos 60’</w:t>
                        </w:r>
                      </w:p>
                    </w:tc>
                  </w:tr>
                  <w:tr w:rsidR="001B03C2">
                    <w:trPr>
                      <w:cantSplit/>
                      <w:trHeight w:val="263"/>
                    </w:trPr>
                    <w:tc>
                      <w:tcPr>
                        <w:tcW w:w="2088" w:type="dxa"/>
                        <w:tcBorders>
                          <w:top w:val="single" w:sz="4" w:space="0" w:color="000001"/>
                          <w:left w:val="single" w:sz="4" w:space="0" w:color="000001"/>
                          <w:bottom w:val="nil"/>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Dentro del 20% de los valores preoperatorios</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r>
                  <w:tr w:rsidR="001B03C2">
                    <w:trPr>
                      <w:cantSplit/>
                      <w:trHeight w:val="248"/>
                    </w:trPr>
                    <w:tc>
                      <w:tcPr>
                        <w:tcW w:w="2088" w:type="dxa"/>
                        <w:tcBorders>
                          <w:top w:val="nil"/>
                          <w:left w:val="single" w:sz="4" w:space="0" w:color="000001"/>
                          <w:bottom w:val="nil"/>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Signos Vitales</w:t>
                        </w: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 xml:space="preserve">20- 40% de los valores </w:t>
                        </w:r>
                        <w:r>
                          <w:rPr>
                            <w:rFonts w:eastAsia="UniversLTStd;Arial Unicode MS" w:cs="Times New Roman"/>
                            <w:b/>
                            <w:bCs/>
                            <w:sz w:val="16"/>
                            <w:szCs w:val="16"/>
                          </w:rPr>
                          <w:t>preoperatorios</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r>
                  <w:tr w:rsidR="001B03C2">
                    <w:trPr>
                      <w:cantSplit/>
                      <w:trHeight w:val="263"/>
                    </w:trPr>
                    <w:tc>
                      <w:tcPr>
                        <w:tcW w:w="2088" w:type="dxa"/>
                        <w:tcBorders>
                          <w:top w:val="nil"/>
                          <w:left w:val="single" w:sz="4" w:space="0" w:color="000001"/>
                          <w:bottom w:val="single" w:sz="4" w:space="0" w:color="000001"/>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&gt; 40% de los valores preoperatorios</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r>
                  <w:tr w:rsidR="001B03C2">
                    <w:trPr>
                      <w:cantSplit/>
                      <w:trHeight w:val="263"/>
                    </w:trPr>
                    <w:tc>
                      <w:tcPr>
                        <w:tcW w:w="2088" w:type="dxa"/>
                        <w:tcBorders>
                          <w:top w:val="single" w:sz="4" w:space="0" w:color="000001"/>
                          <w:left w:val="single" w:sz="4" w:space="0" w:color="000001"/>
                          <w:bottom w:val="nil"/>
                          <w:right w:val="nil"/>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Deambula sin asistencia</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r>
                  <w:tr w:rsidR="001B03C2">
                    <w:trPr>
                      <w:cantSplit/>
                      <w:trHeight w:val="263"/>
                    </w:trPr>
                    <w:tc>
                      <w:tcPr>
                        <w:tcW w:w="2088" w:type="dxa"/>
                        <w:tcBorders>
                          <w:top w:val="nil"/>
                          <w:left w:val="single" w:sz="4" w:space="0" w:color="000001"/>
                          <w:bottom w:val="nil"/>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Nivel de Actividad</w:t>
                        </w: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Deambula con asistencia</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r>
                  <w:tr w:rsidR="001B03C2">
                    <w:trPr>
                      <w:cantSplit/>
                      <w:trHeight w:val="263"/>
                    </w:trPr>
                    <w:tc>
                      <w:tcPr>
                        <w:tcW w:w="2088" w:type="dxa"/>
                        <w:tcBorders>
                          <w:top w:val="nil"/>
                          <w:left w:val="single" w:sz="4" w:space="0" w:color="000001"/>
                          <w:bottom w:val="single" w:sz="4" w:space="0" w:color="000001"/>
                          <w:right w:val="nil"/>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Incapaz de deambular</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r>
                  <w:tr w:rsidR="001B03C2">
                    <w:trPr>
                      <w:cantSplit/>
                      <w:trHeight w:val="263"/>
                    </w:trPr>
                    <w:tc>
                      <w:tcPr>
                        <w:tcW w:w="2088" w:type="dxa"/>
                        <w:tcBorders>
                          <w:top w:val="single" w:sz="4" w:space="0" w:color="000001"/>
                          <w:left w:val="single" w:sz="4" w:space="0" w:color="000001"/>
                          <w:bottom w:val="nil"/>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Leve (cede con medicacion oral)</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r>
                  <w:tr w:rsidR="001B03C2">
                    <w:trPr>
                      <w:cantSplit/>
                      <w:trHeight w:val="263"/>
                    </w:trPr>
                    <w:tc>
                      <w:tcPr>
                        <w:tcW w:w="2088" w:type="dxa"/>
                        <w:tcBorders>
                          <w:top w:val="nil"/>
                          <w:left w:val="single" w:sz="4" w:space="0" w:color="000001"/>
                          <w:bottom w:val="nil"/>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Náuseas y vómitos</w:t>
                        </w: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 xml:space="preserve">Moderado </w:t>
                        </w:r>
                        <w:r>
                          <w:rPr>
                            <w:rFonts w:eastAsia="UniversLTStd;Arial Unicode MS" w:cs="Times New Roman"/>
                            <w:b/>
                            <w:bCs/>
                            <w:sz w:val="16"/>
                            <w:szCs w:val="16"/>
                          </w:rPr>
                          <w:t>(cede con medicacion parenteral)</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r>
                  <w:tr w:rsidR="001B03C2">
                    <w:trPr>
                      <w:cantSplit/>
                      <w:trHeight w:val="248"/>
                    </w:trPr>
                    <w:tc>
                      <w:tcPr>
                        <w:tcW w:w="2088" w:type="dxa"/>
                        <w:tcBorders>
                          <w:top w:val="nil"/>
                          <w:left w:val="single" w:sz="4" w:space="0" w:color="000001"/>
                          <w:bottom w:val="single" w:sz="4" w:space="0" w:color="000001"/>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Severo (no cede a pesar del tratamiento repetitivo</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r>
                  <w:tr w:rsidR="001B03C2">
                    <w:trPr>
                      <w:cantSplit/>
                      <w:trHeight w:val="263"/>
                    </w:trPr>
                    <w:tc>
                      <w:tcPr>
                        <w:tcW w:w="2088" w:type="dxa"/>
                        <w:tcBorders>
                          <w:top w:val="single" w:sz="4" w:space="0" w:color="000001"/>
                          <w:left w:val="single" w:sz="4" w:space="0" w:color="000001"/>
                          <w:bottom w:val="nil"/>
                          <w:right w:val="nil"/>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Leve (puede necesitar medicacion oral)</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r>
                  <w:tr w:rsidR="001B03C2">
                    <w:trPr>
                      <w:cantSplit/>
                      <w:trHeight w:val="263"/>
                    </w:trPr>
                    <w:tc>
                      <w:tcPr>
                        <w:tcW w:w="2088" w:type="dxa"/>
                        <w:tcBorders>
                          <w:top w:val="nil"/>
                          <w:left w:val="single" w:sz="4" w:space="0" w:color="000001"/>
                          <w:bottom w:val="nil"/>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Dolor</w:t>
                        </w: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Moderado (cede con medicacion parenteral)</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r>
                  <w:tr w:rsidR="001B03C2">
                    <w:trPr>
                      <w:cantSplit/>
                      <w:trHeight w:val="263"/>
                    </w:trPr>
                    <w:tc>
                      <w:tcPr>
                        <w:tcW w:w="2088" w:type="dxa"/>
                        <w:tcBorders>
                          <w:top w:val="nil"/>
                          <w:left w:val="single" w:sz="4" w:space="0" w:color="000001"/>
                          <w:bottom w:val="single" w:sz="4" w:space="0" w:color="000001"/>
                          <w:right w:val="nil"/>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 xml:space="preserve">Severo (no cede a pesar del tratamiento </w:t>
                        </w:r>
                        <w:r>
                          <w:rPr>
                            <w:rFonts w:eastAsia="UniversLTStd;Arial Unicode MS" w:cs="Times New Roman"/>
                            <w:b/>
                            <w:bCs/>
                            <w:sz w:val="16"/>
                            <w:szCs w:val="16"/>
                          </w:rPr>
                          <w:t>repetitivo)</w:t>
                        </w: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r>
                  <w:tr w:rsidR="001B03C2">
                    <w:trPr>
                      <w:cantSplit/>
                      <w:trHeight w:val="263"/>
                    </w:trPr>
                    <w:tc>
                      <w:tcPr>
                        <w:tcW w:w="2088" w:type="dxa"/>
                        <w:tcBorders>
                          <w:top w:val="single" w:sz="4" w:space="0" w:color="000001"/>
                          <w:left w:val="single" w:sz="4" w:space="0" w:color="000001"/>
                          <w:bottom w:val="nil"/>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Nulo o leve</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2</w:t>
                        </w:r>
                      </w:p>
                    </w:tc>
                  </w:tr>
                  <w:tr w:rsidR="001B03C2">
                    <w:trPr>
                      <w:cantSplit/>
                      <w:trHeight w:val="263"/>
                    </w:trPr>
                    <w:tc>
                      <w:tcPr>
                        <w:tcW w:w="2088" w:type="dxa"/>
                        <w:tcBorders>
                          <w:top w:val="nil"/>
                          <w:left w:val="single" w:sz="4" w:space="0" w:color="000001"/>
                          <w:bottom w:val="nil"/>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Sangrado</w:t>
                        </w: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Moderado</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1</w:t>
                        </w:r>
                      </w:p>
                    </w:tc>
                  </w:tr>
                  <w:tr w:rsidR="001B03C2">
                    <w:trPr>
                      <w:cantSplit/>
                      <w:trHeight w:val="248"/>
                    </w:trPr>
                    <w:tc>
                      <w:tcPr>
                        <w:tcW w:w="2088" w:type="dxa"/>
                        <w:tcBorders>
                          <w:top w:val="nil"/>
                          <w:left w:val="single" w:sz="4" w:space="0" w:color="000001"/>
                          <w:bottom w:val="single" w:sz="4" w:space="0" w:color="000001"/>
                          <w:right w:val="nil"/>
                        </w:tcBorders>
                        <w:shd w:val="clear" w:color="auto" w:fill="FBD4B4"/>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4192"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Severo ( requiere revisión)</w:t>
                        </w:r>
                      </w:p>
                    </w:tc>
                    <w:tc>
                      <w:tcPr>
                        <w:tcW w:w="996" w:type="dxa"/>
                        <w:tcBorders>
                          <w:top w:val="single" w:sz="4" w:space="0" w:color="000001"/>
                          <w:left w:val="single" w:sz="4" w:space="0" w:color="000001"/>
                          <w:bottom w:val="single" w:sz="4" w:space="0" w:color="000001"/>
                          <w:right w:val="nil"/>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c>
                      <w:tcPr>
                        <w:tcW w:w="1789" w:type="dxa"/>
                        <w:tcBorders>
                          <w:top w:val="single" w:sz="4" w:space="0" w:color="000001"/>
                          <w:left w:val="single" w:sz="4" w:space="0" w:color="000001"/>
                          <w:bottom w:val="single" w:sz="4" w:space="0" w:color="000001"/>
                          <w:right w:val="single" w:sz="4" w:space="0" w:color="000001"/>
                        </w:tcBorders>
                        <w:shd w:val="clear" w:color="auto" w:fill="FBD4B4"/>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Times New Roman" w:cs="Times New Roman"/>
                            <w:b/>
                            <w:bCs/>
                            <w:sz w:val="16"/>
                            <w:szCs w:val="16"/>
                          </w:rPr>
                          <w:t xml:space="preserve">  </w:t>
                        </w:r>
                        <w:r>
                          <w:rPr>
                            <w:rFonts w:eastAsia="UniversLTStd;Arial Unicode MS" w:cs="Times New Roman"/>
                            <w:b/>
                            <w:bCs/>
                            <w:sz w:val="16"/>
                            <w:szCs w:val="16"/>
                          </w:rPr>
                          <w:t>0</w:t>
                        </w:r>
                      </w:p>
                    </w:tc>
                  </w:tr>
                  <w:tr w:rsidR="001B03C2">
                    <w:trPr>
                      <w:cantSplit/>
                      <w:trHeight w:val="277"/>
                    </w:trPr>
                    <w:tc>
                      <w:tcPr>
                        <w:tcW w:w="208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360" w:lineRule="auto"/>
                          <w:ind w:left="142"/>
                          <w:jc w:val="both"/>
                          <w:rPr>
                            <w:rFonts w:eastAsia="UniversLTStd;Arial Unicode MS" w:cs="Times New Roman"/>
                            <w:b/>
                            <w:bCs/>
                            <w:sz w:val="16"/>
                            <w:szCs w:val="16"/>
                          </w:rPr>
                        </w:pPr>
                        <w:r>
                          <w:rPr>
                            <w:rFonts w:eastAsia="UniversLTStd;Arial Unicode MS" w:cs="Times New Roman"/>
                            <w:b/>
                            <w:bCs/>
                            <w:sz w:val="16"/>
                            <w:szCs w:val="16"/>
                          </w:rPr>
                          <w:t xml:space="preserve">PUNTUACIÓN TOTAL </w:t>
                        </w:r>
                      </w:p>
                    </w:tc>
                    <w:tc>
                      <w:tcPr>
                        <w:tcW w:w="4192" w:type="dxa"/>
                        <w:tcBorders>
                          <w:top w:val="single" w:sz="4" w:space="0" w:color="000001"/>
                          <w:left w:val="nil"/>
                          <w:bottom w:val="single" w:sz="4" w:space="0" w:color="000001"/>
                          <w:right w:val="nil"/>
                        </w:tcBorders>
                        <w:shd w:val="clear" w:color="auto" w:fill="FFFFFF"/>
                        <w:tcMar>
                          <w:left w:w="108" w:type="dxa"/>
                        </w:tcMar>
                      </w:tcPr>
                      <w:p w:rsidR="001B03C2" w:rsidRDefault="001B03C2">
                        <w:pPr>
                          <w:spacing w:line="360" w:lineRule="auto"/>
                          <w:ind w:left="142"/>
                          <w:jc w:val="both"/>
                          <w:rPr>
                            <w:rFonts w:eastAsia="UniversLTStd;Arial Unicode MS" w:cs="Times New Roman"/>
                            <w:b/>
                            <w:bCs/>
                            <w:sz w:val="16"/>
                            <w:szCs w:val="16"/>
                          </w:rPr>
                        </w:pPr>
                      </w:p>
                    </w:tc>
                    <w:tc>
                      <w:tcPr>
                        <w:tcW w:w="996"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c>
                      <w:tcPr>
                        <w:tcW w:w="1789"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1B03C2">
                        <w:pPr>
                          <w:spacing w:line="360" w:lineRule="auto"/>
                          <w:ind w:left="142"/>
                          <w:jc w:val="both"/>
                          <w:rPr>
                            <w:rFonts w:eastAsia="UniversLTStd;Arial Unicode MS" w:cs="Times New Roman"/>
                            <w:b/>
                            <w:bCs/>
                            <w:sz w:val="16"/>
                            <w:szCs w:val="16"/>
                          </w:rPr>
                        </w:pPr>
                      </w:p>
                    </w:tc>
                  </w:tr>
                </w:tbl>
                <w:p w:rsidR="001B03C2" w:rsidRDefault="009B166E">
                  <w:pPr>
                    <w:rPr>
                      <w:rFonts w:eastAsia="Times New Roman" w:cs="Times New Roman"/>
                    </w:rPr>
                  </w:pPr>
                  <w:r>
                    <w:rPr>
                      <w:rFonts w:eastAsia="Times New Roman" w:cs="Times New Roman"/>
                    </w:rPr>
                    <w:t xml:space="preserve"> </w:t>
                  </w:r>
                </w:p>
              </w:txbxContent>
            </v:textbox>
            <w10:wrap type="square"/>
          </v:rect>
        </w:pict>
      </w:r>
    </w:p>
    <w:p w:rsidR="001B03C2" w:rsidRDefault="001B03C2">
      <w:pPr>
        <w:spacing w:line="480" w:lineRule="auto"/>
        <w:ind w:left="142"/>
        <w:jc w:val="both"/>
        <w:rPr>
          <w:rFonts w:ascii="Times New Roman" w:hAnsi="Times New Roman" w:cs="Arial"/>
        </w:rPr>
      </w:pPr>
    </w:p>
    <w:p w:rsidR="001B03C2" w:rsidRDefault="001B03C2">
      <w:pPr>
        <w:spacing w:line="480" w:lineRule="auto"/>
        <w:jc w:val="both"/>
        <w:rPr>
          <w:rFonts w:ascii="Times New Roman" w:hAnsi="Times New Roman" w:cs="Arial"/>
          <w:b/>
        </w:rPr>
      </w:pPr>
    </w:p>
    <w:p w:rsidR="001B03C2" w:rsidRDefault="009B166E">
      <w:pPr>
        <w:spacing w:line="480" w:lineRule="auto"/>
        <w:ind w:left="142"/>
        <w:jc w:val="both"/>
        <w:rPr>
          <w:rFonts w:ascii="Times New Roman" w:eastAsia="Arial" w:hAnsi="Times New Roman" w:cs="Arial"/>
          <w:bCs/>
        </w:rPr>
      </w:pPr>
      <w:r>
        <w:rPr>
          <w:rFonts w:ascii="Times New Roman" w:eastAsia="Arial" w:hAnsi="Times New Roman" w:cs="Arial"/>
          <w:bCs/>
        </w:rPr>
        <w:t xml:space="preserve">                      </w:t>
      </w:r>
    </w:p>
    <w:p w:rsidR="001B03C2" w:rsidRDefault="001B03C2">
      <w:pPr>
        <w:spacing w:line="480" w:lineRule="auto"/>
        <w:ind w:left="142"/>
        <w:jc w:val="both"/>
        <w:rPr>
          <w:rFonts w:ascii="Times New Roman" w:hAnsi="Times New Roman" w:cs="Arial"/>
          <w:bCs/>
        </w:rPr>
      </w:pPr>
    </w:p>
    <w:p w:rsidR="001B03C2" w:rsidRDefault="001B03C2">
      <w:pPr>
        <w:spacing w:line="480" w:lineRule="auto"/>
        <w:ind w:left="142"/>
        <w:jc w:val="both"/>
        <w:rPr>
          <w:rFonts w:ascii="Times New Roman" w:hAnsi="Times New Roman" w:cs="Arial"/>
          <w:bCs/>
        </w:rPr>
      </w:pPr>
    </w:p>
    <w:p w:rsidR="001B03C2" w:rsidRDefault="001B03C2">
      <w:pPr>
        <w:spacing w:line="480" w:lineRule="auto"/>
        <w:ind w:left="142"/>
        <w:jc w:val="both"/>
        <w:rPr>
          <w:rFonts w:ascii="Times New Roman" w:hAnsi="Times New Roman" w:cs="Arial"/>
          <w:bCs/>
        </w:rPr>
      </w:pPr>
    </w:p>
    <w:p w:rsidR="001B03C2" w:rsidRDefault="001B03C2">
      <w:pPr>
        <w:spacing w:line="480" w:lineRule="auto"/>
        <w:ind w:left="142"/>
        <w:jc w:val="both"/>
        <w:rPr>
          <w:rFonts w:ascii="Times New Roman" w:hAnsi="Times New Roman" w:cs="Arial"/>
          <w:bCs/>
        </w:rPr>
      </w:pPr>
    </w:p>
    <w:p w:rsidR="001B03C2" w:rsidRDefault="001B03C2">
      <w:pPr>
        <w:spacing w:line="480" w:lineRule="auto"/>
        <w:jc w:val="both"/>
        <w:rPr>
          <w:rFonts w:hint="eastAsia"/>
          <w:i/>
          <w:iCs/>
          <w:sz w:val="20"/>
          <w:szCs w:val="20"/>
        </w:rPr>
      </w:pPr>
    </w:p>
    <w:p w:rsidR="001B03C2" w:rsidRDefault="001B03C2">
      <w:pPr>
        <w:spacing w:line="480" w:lineRule="auto"/>
        <w:jc w:val="both"/>
        <w:rPr>
          <w:rFonts w:hint="eastAsia"/>
          <w:i/>
          <w:iCs/>
          <w:sz w:val="20"/>
          <w:szCs w:val="20"/>
        </w:rPr>
      </w:pPr>
    </w:p>
    <w:p w:rsidR="001B03C2" w:rsidRDefault="009B166E">
      <w:pPr>
        <w:spacing w:line="480" w:lineRule="auto"/>
        <w:jc w:val="both"/>
        <w:rPr>
          <w:rFonts w:ascii="Times New Roman" w:hAnsi="Times New Roman" w:cs="Arial"/>
          <w:bCs/>
          <w:i/>
          <w:iCs/>
          <w:sz w:val="20"/>
          <w:szCs w:val="20"/>
          <w:lang w:val="en-US"/>
        </w:rPr>
      </w:pPr>
      <w:r>
        <w:rPr>
          <w:rFonts w:ascii="Times New Roman" w:hAnsi="Times New Roman" w:cs="Arial"/>
          <w:bCs/>
          <w:i/>
          <w:iCs/>
          <w:sz w:val="20"/>
          <w:szCs w:val="20"/>
          <w:lang w:val="en-US"/>
        </w:rPr>
        <w:t xml:space="preserve">Chung F. Recovery pattern and home-readiness after ambulatory surgery. Anesth Analg </w:t>
      </w:r>
      <w:r>
        <w:rPr>
          <w:rFonts w:ascii="Times New Roman" w:hAnsi="Times New Roman" w:cs="Arial"/>
          <w:bCs/>
          <w:i/>
          <w:iCs/>
          <w:sz w:val="20"/>
          <w:szCs w:val="20"/>
          <w:lang w:val="en-US"/>
        </w:rPr>
        <w:t>1995;80:896-902.</w:t>
      </w:r>
    </w:p>
    <w:p w:rsidR="001B03C2" w:rsidRDefault="009B166E">
      <w:pPr>
        <w:spacing w:line="480" w:lineRule="auto"/>
        <w:jc w:val="both"/>
        <w:rPr>
          <w:rFonts w:ascii="Times New Roman" w:hAnsi="Times New Roman" w:cs="Arial"/>
          <w:bCs/>
          <w:i/>
          <w:iCs/>
          <w:sz w:val="20"/>
          <w:szCs w:val="20"/>
          <w:lang w:val="en-US"/>
        </w:rPr>
      </w:pPr>
      <w:r>
        <w:rPr>
          <w:rFonts w:ascii="Times New Roman" w:hAnsi="Times New Roman" w:cs="Arial"/>
          <w:bCs/>
          <w:i/>
          <w:iCs/>
          <w:sz w:val="20"/>
          <w:szCs w:val="20"/>
          <w:lang w:val="en-US"/>
        </w:rPr>
        <w:t>Chung F, Mezei G. Adverse outcomes in ambulatory anesthesia. Can J Anesth 1999;46(5):R18-R26</w:t>
      </w:r>
    </w:p>
    <w:p w:rsidR="001B03C2" w:rsidRDefault="001B03C2">
      <w:pPr>
        <w:spacing w:line="480" w:lineRule="auto"/>
        <w:ind w:left="142"/>
        <w:jc w:val="both"/>
        <w:rPr>
          <w:rFonts w:ascii="Times New Roman" w:hAnsi="Times New Roman" w:cs="Arial"/>
          <w:bCs/>
          <w:lang w:val="en-US"/>
        </w:rPr>
      </w:pPr>
    </w:p>
    <w:p w:rsidR="001B03C2" w:rsidRDefault="009B166E">
      <w:pPr>
        <w:numPr>
          <w:ilvl w:val="0"/>
          <w:numId w:val="9"/>
        </w:numPr>
        <w:tabs>
          <w:tab w:val="left" w:pos="142"/>
        </w:tabs>
        <w:spacing w:line="480" w:lineRule="auto"/>
        <w:ind w:left="142"/>
        <w:jc w:val="both"/>
        <w:rPr>
          <w:rFonts w:ascii="Times New Roman" w:hAnsi="Times New Roman" w:cs="Arial"/>
          <w:b/>
          <w:bCs/>
        </w:rPr>
      </w:pPr>
      <w:r>
        <w:rPr>
          <w:rFonts w:ascii="Times New Roman" w:hAnsi="Times New Roman" w:cs="Arial"/>
          <w:b/>
          <w:bCs/>
        </w:rPr>
        <w:t>Valoración de la sedación por parte del paciente.</w:t>
      </w:r>
    </w:p>
    <w:p w:rsidR="001B03C2" w:rsidRDefault="009B166E">
      <w:pPr>
        <w:spacing w:line="480" w:lineRule="auto"/>
        <w:jc w:val="both"/>
        <w:rPr>
          <w:rFonts w:ascii="Times New Roman" w:hAnsi="Times New Roman" w:cs="Arial"/>
        </w:rPr>
      </w:pPr>
      <w:r>
        <w:rPr>
          <w:rFonts w:ascii="Times New Roman" w:hAnsi="Times New Roman" w:cs="Arial"/>
        </w:rPr>
        <w:t xml:space="preserve">Se utilizó la EVA, donde un valor cercano a 0 equivalía a una mala opinión y uno cercano a 100 </w:t>
      </w:r>
      <w:r>
        <w:rPr>
          <w:rFonts w:ascii="Times New Roman" w:hAnsi="Times New Roman" w:cs="Arial"/>
        </w:rPr>
        <w:t>equivalía a una muy buena opinión. Fue administrada por una enfermera que había permanecido fuera de la sala de endoscopia, y realizada por el paciente en el momento de ser dado de alta. Además se recabaron las observaciones que el paciente realizó sobre e</w:t>
      </w:r>
      <w:r>
        <w:rPr>
          <w:rFonts w:ascii="Times New Roman" w:hAnsi="Times New Roman" w:cs="Arial"/>
        </w:rPr>
        <w:t>l procedimiento, como dolor u otras posibles molestias.</w:t>
      </w:r>
    </w:p>
    <w:p w:rsidR="001B03C2" w:rsidRDefault="001B03C2">
      <w:pPr>
        <w:spacing w:line="480" w:lineRule="auto"/>
        <w:jc w:val="both"/>
        <w:rPr>
          <w:rFonts w:ascii="Times New Roman" w:hAnsi="Times New Roman" w:cs="Arial"/>
          <w:b/>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b/>
          <w:bCs/>
        </w:rPr>
        <w:t>Recuperación del paciente a las 24 h del procedimiento.</w:t>
      </w:r>
      <w:r>
        <w:rPr>
          <w:rFonts w:ascii="Times New Roman" w:hAnsi="Times New Roman" w:cs="Arial"/>
        </w:rPr>
        <w:t xml:space="preserve"> </w:t>
      </w:r>
    </w:p>
    <w:p w:rsidR="001B03C2" w:rsidRDefault="009B166E">
      <w:pPr>
        <w:spacing w:line="480" w:lineRule="auto"/>
        <w:jc w:val="both"/>
        <w:rPr>
          <w:rFonts w:ascii="Times New Roman" w:hAnsi="Times New Roman" w:cs="Arial"/>
        </w:rPr>
      </w:pPr>
      <w:r>
        <w:rPr>
          <w:rFonts w:ascii="Times New Roman" w:hAnsi="Times New Roman" w:cs="Arial"/>
        </w:rPr>
        <w:t>Se realizó una encuesta telefónica transcurridas 24 horas, en la que el paciente respondió a una serie de preguntas sobre presencia o no de: d</w:t>
      </w:r>
      <w:r>
        <w:rPr>
          <w:rFonts w:ascii="Times New Roman" w:hAnsi="Times New Roman" w:cs="Arial"/>
        </w:rPr>
        <w:t>olor, nauseas, desorientación, deambulación, tolerancia de alimentos y reincorporación a las actividades cotidianas. También dio su opinión general sobre el procedimiento.</w:t>
      </w:r>
    </w:p>
    <w:p w:rsidR="001B03C2" w:rsidRDefault="009B166E">
      <w:pPr>
        <w:spacing w:line="480" w:lineRule="auto"/>
        <w:jc w:val="both"/>
        <w:rPr>
          <w:rFonts w:ascii="Times New Roman" w:hAnsi="Times New Roman" w:cs="Arial"/>
        </w:rPr>
      </w:pPr>
      <w:r>
        <w:rPr>
          <w:rFonts w:ascii="Times New Roman" w:hAnsi="Times New Roman" w:cs="Arial"/>
        </w:rPr>
        <w:t>Dicha encuesta la realizó una enfermera desconocedora de la sedación utilizada. Si t</w:t>
      </w:r>
      <w:r>
        <w:rPr>
          <w:rFonts w:ascii="Times New Roman" w:hAnsi="Times New Roman" w:cs="Arial"/>
        </w:rPr>
        <w:t>ras la primera llamada no se pudo contactar con el paciente, se volvió a comunicar con él tres veces más durante el horario laboral. Si pese a eso no pudo localizarse, se anotó este hecho en el CRD.</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rPr>
      </w:pPr>
      <w:r>
        <w:rPr>
          <w:rFonts w:ascii="Times New Roman" w:hAnsi="Times New Roman" w:cs="Arial"/>
          <w:b/>
        </w:rPr>
        <w:t xml:space="preserve">8.3.3 </w:t>
      </w:r>
      <w:r>
        <w:rPr>
          <w:rFonts w:ascii="Times New Roman" w:hAnsi="Times New Roman" w:cs="Arial"/>
        </w:rPr>
        <w:t>VARIABLES CONTROL.</w:t>
      </w:r>
      <w:r>
        <w:rPr>
          <w:rFonts w:ascii="Times New Roman" w:hAnsi="Times New Roman" w:cs="Arial"/>
          <w:b/>
        </w:rPr>
        <w:t xml:space="preserve"> </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Dichas variables fueron recog</w:t>
      </w:r>
      <w:r>
        <w:rPr>
          <w:rFonts w:ascii="Times New Roman" w:hAnsi="Times New Roman" w:cs="Arial"/>
        </w:rPr>
        <w:t>idas en el CRD al inicio del procedimiento por una enfermera independiente. Fueron:</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rPr>
        <w:t>Datos demográficos y antropométricos: edad en años, sexo, peso en kilogramos (Kg) y talla en centímetros (cm).</w:t>
      </w:r>
    </w:p>
    <w:p w:rsidR="001B03C2" w:rsidRDefault="001B03C2">
      <w:pPr>
        <w:tabs>
          <w:tab w:val="left" w:pos="142"/>
        </w:tabs>
        <w:spacing w:line="480" w:lineRule="auto"/>
        <w:ind w:left="142" w:hanging="360"/>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rPr>
        <w:lastRenderedPageBreak/>
        <w:t xml:space="preserve">Antecedentes médicos: tabaquismo, enolismo, hipertensión </w:t>
      </w:r>
      <w:r>
        <w:rPr>
          <w:rFonts w:ascii="Times New Roman" w:hAnsi="Times New Roman" w:cs="Arial"/>
        </w:rPr>
        <w:t>arterial (HTA), diabetes mellitus (DM), enfermedades cardiacas, enfermedades pulmonares y estado físico según la American Society of Anesthesiologists (ASA).</w:t>
      </w: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tbl>
      <w:tblPr>
        <w:tblW w:w="0" w:type="auto"/>
        <w:tblInd w:w="300" w:type="dxa"/>
        <w:tblBorders>
          <w:top w:val="single" w:sz="4" w:space="0" w:color="000001"/>
          <w:left w:val="single" w:sz="4" w:space="0" w:color="000001"/>
          <w:bottom w:val="single" w:sz="4" w:space="0" w:color="000001"/>
          <w:right w:val="nil"/>
          <w:insideH w:val="single" w:sz="4" w:space="0" w:color="000001"/>
          <w:insideV w:val="nil"/>
        </w:tblBorders>
        <w:tblCellMar>
          <w:left w:w="78" w:type="dxa"/>
        </w:tblCellMar>
        <w:tblLook w:val="0000"/>
      </w:tblPr>
      <w:tblGrid>
        <w:gridCol w:w="2828"/>
        <w:gridCol w:w="6127"/>
      </w:tblGrid>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b/>
              </w:rPr>
            </w:pPr>
            <w:r>
              <w:rPr>
                <w:rFonts w:ascii="Times New Roman" w:hAnsi="Times New Roman" w:cs="Arial"/>
                <w:b/>
              </w:rPr>
              <w:t>CLASIFICACIÓN ASA</w:t>
            </w:r>
          </w:p>
        </w:tc>
        <w:tc>
          <w:tcPr>
            <w:tcW w:w="6127" w:type="dxa"/>
            <w:tcBorders>
              <w:top w:val="single" w:sz="4" w:space="0" w:color="000001"/>
              <w:left w:val="nil"/>
              <w:bottom w:val="single" w:sz="4" w:space="0" w:color="000001"/>
              <w:right w:val="single" w:sz="4" w:space="0" w:color="000001"/>
            </w:tcBorders>
            <w:shd w:val="clear" w:color="auto" w:fill="FFFFFF"/>
            <w:tcMar>
              <w:left w:w="108" w:type="dxa"/>
            </w:tcMar>
          </w:tcPr>
          <w:p w:rsidR="001B03C2" w:rsidRDefault="001B03C2">
            <w:pPr>
              <w:spacing w:line="480" w:lineRule="auto"/>
              <w:ind w:left="142"/>
              <w:jc w:val="both"/>
              <w:rPr>
                <w:rFonts w:ascii="Times New Roman" w:hAnsi="Times New Roman" w:cs="Arial"/>
                <w:b/>
              </w:rPr>
            </w:pPr>
          </w:p>
        </w:tc>
      </w:tr>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ASA I</w:t>
            </w:r>
          </w:p>
        </w:tc>
        <w:tc>
          <w:tcPr>
            <w:tcW w:w="61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Paciente sano</w:t>
            </w:r>
          </w:p>
        </w:tc>
      </w:tr>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ASA II</w:t>
            </w:r>
          </w:p>
        </w:tc>
        <w:tc>
          <w:tcPr>
            <w:tcW w:w="61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Enfermedad no limitante</w:t>
            </w:r>
          </w:p>
        </w:tc>
      </w:tr>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ASA III</w:t>
            </w:r>
          </w:p>
        </w:tc>
        <w:tc>
          <w:tcPr>
            <w:tcW w:w="61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 xml:space="preserve">Enfermedad </w:t>
            </w:r>
            <w:r>
              <w:rPr>
                <w:rFonts w:ascii="Times New Roman" w:hAnsi="Times New Roman" w:cs="Arial"/>
              </w:rPr>
              <w:t>limitante</w:t>
            </w:r>
          </w:p>
        </w:tc>
      </w:tr>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ASA IV</w:t>
            </w:r>
          </w:p>
        </w:tc>
        <w:tc>
          <w:tcPr>
            <w:tcW w:w="61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Enfermedad que amenaza la vida del paciente</w:t>
            </w:r>
          </w:p>
        </w:tc>
      </w:tr>
      <w:tr w:rsidR="001B03C2">
        <w:trPr>
          <w:cantSplit/>
        </w:trPr>
        <w:tc>
          <w:tcPr>
            <w:tcW w:w="2828" w:type="dxa"/>
            <w:tcBorders>
              <w:top w:val="single" w:sz="4" w:space="0" w:color="000001"/>
              <w:left w:val="single" w:sz="4" w:space="0" w:color="000001"/>
              <w:bottom w:val="single" w:sz="4" w:space="0" w:color="000001"/>
              <w:right w:val="nil"/>
            </w:tcBorders>
            <w:shd w:val="clear" w:color="auto" w:fill="FFFFFF"/>
            <w:tcMar>
              <w:left w:w="78" w:type="dxa"/>
            </w:tcMar>
          </w:tcPr>
          <w:p w:rsidR="001B03C2" w:rsidRDefault="009B166E">
            <w:pPr>
              <w:spacing w:line="480" w:lineRule="auto"/>
              <w:ind w:left="142"/>
              <w:jc w:val="both"/>
              <w:rPr>
                <w:rFonts w:ascii="Times New Roman" w:hAnsi="Times New Roman" w:cs="Arial"/>
                <w:vanish/>
              </w:rPr>
            </w:pPr>
            <w:r>
              <w:rPr>
                <w:rFonts w:ascii="Times New Roman" w:hAnsi="Times New Roman" w:cs="Arial"/>
              </w:rPr>
              <w:t>ASA V</w:t>
            </w:r>
            <w:r>
              <w:rPr>
                <w:rFonts w:ascii="Times New Roman" w:hAnsi="Times New Roman" w:cs="Arial"/>
                <w:vanish/>
              </w:rPr>
              <w:t>VIiCACIcan Society of Anaesthesia (ASA). cardiacas, enfermedades pulmonares y estado fnestesipista como la enfermera descono</w:t>
            </w:r>
          </w:p>
        </w:tc>
        <w:tc>
          <w:tcPr>
            <w:tcW w:w="6127" w:type="dxa"/>
            <w:tcBorders>
              <w:top w:val="single" w:sz="4" w:space="0" w:color="000001"/>
              <w:left w:val="single" w:sz="4" w:space="0" w:color="000001"/>
              <w:bottom w:val="single" w:sz="4" w:space="0" w:color="000001"/>
              <w:right w:val="single" w:sz="4" w:space="0" w:color="000001"/>
            </w:tcBorders>
            <w:shd w:val="clear" w:color="auto" w:fill="FFFFFF"/>
            <w:tcMar>
              <w:left w:w="78" w:type="dxa"/>
            </w:tcMar>
          </w:tcPr>
          <w:p w:rsidR="001B03C2" w:rsidRDefault="009B166E">
            <w:pPr>
              <w:spacing w:line="480" w:lineRule="auto"/>
              <w:ind w:left="142"/>
              <w:jc w:val="both"/>
              <w:rPr>
                <w:rFonts w:ascii="Times New Roman" w:hAnsi="Times New Roman" w:cs="Arial"/>
              </w:rPr>
            </w:pPr>
            <w:r>
              <w:rPr>
                <w:rFonts w:ascii="Times New Roman" w:hAnsi="Times New Roman" w:cs="Arial"/>
              </w:rPr>
              <w:t>Paciente moribundo</w:t>
            </w:r>
          </w:p>
        </w:tc>
      </w:tr>
    </w:tbl>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rPr>
        <w:t xml:space="preserve">Consumo de fármacos que pudieran afectar </w:t>
      </w:r>
      <w:r>
        <w:rPr>
          <w:rFonts w:ascii="Times New Roman" w:hAnsi="Times New Roman" w:cs="Arial"/>
        </w:rPr>
        <w:t>a algunas de las variables que medimos: antihipertensivos, broncodilatadores, ansiolíticos y analgésicos mayores.</w:t>
      </w:r>
    </w:p>
    <w:p w:rsidR="001B03C2" w:rsidRDefault="001B03C2">
      <w:pPr>
        <w:spacing w:line="480" w:lineRule="auto"/>
        <w:ind w:left="142"/>
        <w:jc w:val="both"/>
        <w:rPr>
          <w:rFonts w:ascii="Times New Roman" w:hAnsi="Times New Roman" w:cs="Arial"/>
        </w:rPr>
      </w:pPr>
    </w:p>
    <w:p w:rsidR="001B03C2" w:rsidRDefault="009B166E">
      <w:pPr>
        <w:numPr>
          <w:ilvl w:val="0"/>
          <w:numId w:val="9"/>
        </w:numPr>
        <w:tabs>
          <w:tab w:val="left" w:pos="142"/>
        </w:tabs>
        <w:spacing w:line="480" w:lineRule="auto"/>
        <w:ind w:left="142"/>
        <w:jc w:val="both"/>
        <w:rPr>
          <w:rFonts w:ascii="Times New Roman" w:hAnsi="Times New Roman" w:cs="Arial"/>
        </w:rPr>
      </w:pPr>
      <w:r>
        <w:rPr>
          <w:rFonts w:ascii="Times New Roman" w:hAnsi="Times New Roman" w:cs="Arial"/>
        </w:rPr>
        <w:t>Variables que pudieran afectar al umbral de dolor de los pacientes, y por tanto a la dificultad de la sedación y de la colonoscopia: delgadez</w:t>
      </w:r>
      <w:r>
        <w:rPr>
          <w:rFonts w:ascii="Times New Roman" w:hAnsi="Times New Roman" w:cs="Arial"/>
        </w:rPr>
        <w:t xml:space="preserve"> extrema, antecedente de cirugía abdómino-pélvica, radioterapia abdominal, presencia de divertículos ya conocidos, antecedentes de exploraciones previas dolorosas, y estado de ansiedad. Esta última se medirá mediante la escala STAI (State-Trait Anxiety Inv</w:t>
      </w:r>
      <w:r>
        <w:rPr>
          <w:rFonts w:ascii="Times New Roman" w:hAnsi="Times New Roman" w:cs="Arial"/>
        </w:rPr>
        <w:t>entory) validada y ampliamente utilizada.</w:t>
      </w:r>
    </w:p>
    <w:p w:rsidR="001B03C2" w:rsidRDefault="009B166E">
      <w:pPr>
        <w:spacing w:line="480" w:lineRule="auto"/>
        <w:ind w:left="142"/>
        <w:jc w:val="both"/>
        <w:rPr>
          <w:rFonts w:ascii="Times New Roman" w:hAnsi="Times New Roman" w:cs="Arial"/>
          <w:bCs/>
          <w:i/>
          <w:sz w:val="20"/>
          <w:szCs w:val="20"/>
          <w:lang w:val="en-US"/>
        </w:rPr>
      </w:pPr>
      <w:r>
        <w:rPr>
          <w:rFonts w:ascii="Times New Roman" w:hAnsi="Times New Roman" w:cs="Arial"/>
          <w:bCs/>
          <w:i/>
          <w:sz w:val="20"/>
          <w:szCs w:val="20"/>
          <w:lang w:val="en-US"/>
        </w:rPr>
        <w:t>(Spielberger, C.D., Gorsuch, R., y Lushene, R. (1970). Manual for the State-Trait Anxiety Inventory. Palo Alto, California:               Consulting Psychologist Press.)</w:t>
      </w:r>
    </w:p>
    <w:p w:rsidR="001B03C2" w:rsidRDefault="009B166E">
      <w:pPr>
        <w:spacing w:line="480" w:lineRule="auto"/>
        <w:ind w:left="142"/>
        <w:jc w:val="both"/>
        <w:rPr>
          <w:rFonts w:ascii="Times New Roman" w:hAnsi="Times New Roman" w:cs="Arial"/>
          <w:bCs/>
          <w:i/>
          <w:sz w:val="20"/>
          <w:szCs w:val="20"/>
        </w:rPr>
      </w:pPr>
      <w:r>
        <w:rPr>
          <w:rFonts w:ascii="Times New Roman" w:hAnsi="Times New Roman" w:cs="Arial"/>
          <w:bCs/>
          <w:i/>
          <w:sz w:val="20"/>
          <w:szCs w:val="20"/>
          <w:lang w:val="en-US"/>
        </w:rPr>
        <w:t>(Spielberger, C.D., Gorsuch, R.L., y Lushene</w:t>
      </w:r>
      <w:r>
        <w:rPr>
          <w:rFonts w:ascii="Times New Roman" w:hAnsi="Times New Roman" w:cs="Arial"/>
          <w:bCs/>
          <w:i/>
          <w:sz w:val="20"/>
          <w:szCs w:val="20"/>
          <w:lang w:val="en-US"/>
        </w:rPr>
        <w:t xml:space="preserve">, R. (1982). </w:t>
      </w:r>
      <w:r>
        <w:rPr>
          <w:rFonts w:ascii="Times New Roman" w:hAnsi="Times New Roman" w:cs="Arial"/>
          <w:bCs/>
          <w:i/>
          <w:sz w:val="20"/>
          <w:szCs w:val="20"/>
        </w:rPr>
        <w:t>Manual del Cuestionario de Ansiedad Estado/Rasgo (STAI). Madrid, España: TEA Ediciones.)</w:t>
      </w:r>
    </w:p>
    <w:p w:rsidR="001B03C2" w:rsidRDefault="001B03C2">
      <w:pPr>
        <w:spacing w:line="480" w:lineRule="auto"/>
        <w:ind w:left="142"/>
        <w:jc w:val="both"/>
        <w:rPr>
          <w:rFonts w:hint="eastAsia"/>
        </w:rPr>
      </w:pPr>
    </w:p>
    <w:p w:rsidR="001B03C2" w:rsidRDefault="001B03C2">
      <w:pPr>
        <w:spacing w:line="480" w:lineRule="auto"/>
        <w:ind w:left="142"/>
        <w:jc w:val="both"/>
        <w:rPr>
          <w:rFonts w:hint="eastAsia"/>
        </w:rPr>
      </w:pPr>
    </w:p>
    <w:p w:rsidR="001B03C2" w:rsidRDefault="009B166E">
      <w:pPr>
        <w:spacing w:line="480" w:lineRule="auto"/>
        <w:ind w:left="142"/>
        <w:jc w:val="both"/>
        <w:rPr>
          <w:rFonts w:ascii="Times New Roman" w:hAnsi="Times New Roman" w:cs="Arial"/>
          <w:b/>
          <w:bCs/>
        </w:rPr>
      </w:pPr>
      <w:r>
        <w:rPr>
          <w:rFonts w:ascii="Times New Roman" w:hAnsi="Times New Roman" w:cs="Arial"/>
          <w:b/>
          <w:bCs/>
        </w:rPr>
        <w:t>8.4 MEDIDAS PARA MINIMIZAR O EVITAR SESGOS.</w:t>
      </w:r>
    </w:p>
    <w:p w:rsidR="001B03C2" w:rsidRDefault="001B03C2">
      <w:pPr>
        <w:tabs>
          <w:tab w:val="left" w:pos="142"/>
        </w:tabs>
        <w:spacing w:line="480" w:lineRule="auto"/>
        <w:jc w:val="both"/>
        <w:rPr>
          <w:rFonts w:ascii="Times New Roman" w:hAnsi="Times New Roman" w:cs="Arial"/>
          <w:b/>
          <w:bCs/>
        </w:rPr>
      </w:pPr>
    </w:p>
    <w:p w:rsidR="001B03C2" w:rsidRDefault="009B166E">
      <w:pPr>
        <w:tabs>
          <w:tab w:val="left" w:pos="142"/>
        </w:tabs>
        <w:spacing w:line="480" w:lineRule="auto"/>
        <w:jc w:val="both"/>
        <w:rPr>
          <w:rFonts w:ascii="Times New Roman" w:hAnsi="Times New Roman" w:cs="Arial"/>
          <w:b/>
          <w:bCs/>
        </w:rPr>
      </w:pPr>
      <w:r>
        <w:rPr>
          <w:rFonts w:ascii="Times New Roman" w:hAnsi="Times New Roman" w:cs="Arial"/>
          <w:b/>
          <w:bCs/>
        </w:rPr>
        <w:t>8.4.1 ALEATORIZACIÓN.</w:t>
      </w:r>
    </w:p>
    <w:p w:rsidR="001B03C2" w:rsidRDefault="009B166E">
      <w:pPr>
        <w:tabs>
          <w:tab w:val="left" w:pos="142"/>
        </w:tabs>
        <w:spacing w:line="480" w:lineRule="auto"/>
        <w:jc w:val="both"/>
        <w:rPr>
          <w:rFonts w:ascii="Times New Roman" w:hAnsi="Times New Roman" w:cs="Arial"/>
        </w:rPr>
      </w:pPr>
      <w:r>
        <w:rPr>
          <w:rFonts w:ascii="Times New Roman" w:hAnsi="Times New Roman" w:cs="Arial"/>
        </w:rPr>
        <w:t xml:space="preserve">Tras ser incluidos en el estudio, los pacientes se fueron asignando a cada grupo de </w:t>
      </w:r>
      <w:r>
        <w:rPr>
          <w:rFonts w:ascii="Times New Roman" w:hAnsi="Times New Roman" w:cs="Arial"/>
        </w:rPr>
        <w:t>tratamiento mediante un procedimiento de aleatorización centralizada. Se dispuso de unos sobres cerrados numerados con el</w:t>
      </w:r>
      <w:r>
        <w:rPr>
          <w:rFonts w:ascii="Times New Roman" w:hAnsi="Times New Roman" w:cs="Arial"/>
          <w:b/>
          <w:bCs/>
        </w:rPr>
        <w:t xml:space="preserve"> </w:t>
      </w:r>
      <w:r>
        <w:rPr>
          <w:rFonts w:ascii="Times New Roman" w:hAnsi="Times New Roman" w:cs="Arial"/>
        </w:rPr>
        <w:t xml:space="preserve">resultado de esta asignación. A través del IVRS (Interactive Voice Response), se comunicó al anestesiólogo responsable de la sedación </w:t>
      </w:r>
      <w:r>
        <w:rPr>
          <w:rFonts w:ascii="Times New Roman" w:hAnsi="Times New Roman" w:cs="Arial"/>
        </w:rPr>
        <w:t>el grupo al cual se asignó cada paciente, justo antes de que éste entrara en la sala de exploraciones endoscópicas. El anestesiólogo aplicó la técnica anestésica correspondiente, siendo el Grupo P (control) la sedación intravenosa con propofol y remifentan</w:t>
      </w:r>
      <w:r>
        <w:rPr>
          <w:rFonts w:ascii="Times New Roman" w:hAnsi="Times New Roman" w:cs="Arial"/>
        </w:rPr>
        <w:t>ilo ( n= 139), y el grupo S (estudio) la sedación inhalatoria con sevoflurano ( n= 139).</w:t>
      </w:r>
    </w:p>
    <w:p w:rsidR="001B03C2" w:rsidRDefault="001B03C2">
      <w:pPr>
        <w:tabs>
          <w:tab w:val="left" w:pos="142"/>
        </w:tabs>
        <w:spacing w:line="480" w:lineRule="auto"/>
        <w:jc w:val="both"/>
        <w:rPr>
          <w:rFonts w:ascii="Times New Roman" w:hAnsi="Times New Roman" w:cs="Arial"/>
          <w:b/>
          <w:bCs/>
        </w:rPr>
      </w:pPr>
    </w:p>
    <w:p w:rsidR="001B03C2" w:rsidRDefault="009B166E">
      <w:pPr>
        <w:tabs>
          <w:tab w:val="left" w:pos="142"/>
        </w:tabs>
        <w:spacing w:line="480" w:lineRule="auto"/>
        <w:jc w:val="both"/>
        <w:rPr>
          <w:rFonts w:ascii="Times New Roman" w:hAnsi="Times New Roman" w:cs="Arial"/>
          <w:b/>
          <w:bCs/>
        </w:rPr>
      </w:pPr>
      <w:r>
        <w:rPr>
          <w:rFonts w:ascii="Times New Roman" w:hAnsi="Times New Roman" w:cs="Arial"/>
          <w:b/>
          <w:bCs/>
        </w:rPr>
        <w:t>8.4.2 ENMASCARAMIENTO.</w:t>
      </w:r>
    </w:p>
    <w:p w:rsidR="001B03C2" w:rsidRDefault="009B166E">
      <w:pPr>
        <w:spacing w:line="480" w:lineRule="auto"/>
        <w:jc w:val="both"/>
        <w:rPr>
          <w:rFonts w:ascii="Times New Roman" w:hAnsi="Times New Roman" w:cs="Arial"/>
        </w:rPr>
      </w:pPr>
      <w:r>
        <w:rPr>
          <w:rFonts w:ascii="Times New Roman" w:hAnsi="Times New Roman" w:cs="Arial"/>
        </w:rPr>
        <w:t xml:space="preserve">Para asegurar el doble ciego, se procedió de igual forma en todos los casos, utilizando un doble enmascaramiento, de forma que ni el paciente, </w:t>
      </w:r>
      <w:r>
        <w:rPr>
          <w:rFonts w:ascii="Times New Roman" w:hAnsi="Times New Roman" w:cs="Arial"/>
        </w:rPr>
        <w:t xml:space="preserve">ni el endoscopista, pudieron conocer el tipo de sedación empleada: </w:t>
      </w:r>
    </w:p>
    <w:p w:rsidR="001B03C2" w:rsidRDefault="009B166E">
      <w:pPr>
        <w:spacing w:line="480" w:lineRule="auto"/>
        <w:jc w:val="both"/>
        <w:rPr>
          <w:rFonts w:ascii="Times New Roman" w:hAnsi="Times New Roman" w:cs="Arial"/>
        </w:rPr>
      </w:pPr>
      <w:r>
        <w:rPr>
          <w:rFonts w:ascii="Times New Roman" w:hAnsi="Times New Roman" w:cs="Arial"/>
        </w:rPr>
        <w:t xml:space="preserve">- En el grupo P, las bombas de infusión contenían una jeringuilla de 50 ml con propofol al 1% (líquido de color blanco) y otra jeringuilla de 50 ml con 1 mg de remifentanilo diluido en 50 </w:t>
      </w:r>
      <w:r>
        <w:rPr>
          <w:rFonts w:ascii="Times New Roman" w:hAnsi="Times New Roman" w:cs="Arial"/>
        </w:rPr>
        <w:t>ml de suero fisiológico (líquido transparente). Se aplicó una mascarilla facial transparente con un flujo de oxígeno-aire de 6 lpm y FiO</w:t>
      </w:r>
      <w:r>
        <w:rPr>
          <w:rFonts w:ascii="Times New Roman" w:hAnsi="Times New Roman" w:cs="Arial"/>
          <w:vertAlign w:val="subscript"/>
        </w:rPr>
        <w:t>2</w:t>
      </w:r>
      <w:r>
        <w:rPr>
          <w:rFonts w:ascii="Times New Roman" w:hAnsi="Times New Roman" w:cs="Arial"/>
        </w:rPr>
        <w:t xml:space="preserve"> del 50%. </w:t>
      </w:r>
    </w:p>
    <w:p w:rsidR="001B03C2" w:rsidRDefault="009B166E">
      <w:pPr>
        <w:spacing w:line="480" w:lineRule="auto"/>
        <w:jc w:val="both"/>
        <w:rPr>
          <w:rFonts w:ascii="Times New Roman" w:hAnsi="Times New Roman" w:cs="Arial"/>
        </w:rPr>
      </w:pPr>
      <w:r>
        <w:rPr>
          <w:rFonts w:ascii="Times New Roman" w:hAnsi="Times New Roman" w:cs="Arial"/>
        </w:rPr>
        <w:t xml:space="preserve">- En el grupo S, las bombas de infusión fueron de idéntico aspecto, pero una contenía una jeringuilla de 50 </w:t>
      </w:r>
      <w:r>
        <w:rPr>
          <w:rFonts w:ascii="Times New Roman" w:hAnsi="Times New Roman" w:cs="Arial"/>
        </w:rPr>
        <w:t>ml de un preparado lipídico para nutriciones artificiales (líquido de color blanco), y la otra bomba contenía una jeringuilla de 50 ml con suero fisiológico (líquido transparente). Se aplicó una mascarilla facial transparente idéntica a la empleada en el g</w:t>
      </w:r>
      <w:r>
        <w:rPr>
          <w:rFonts w:ascii="Times New Roman" w:hAnsi="Times New Roman" w:cs="Arial"/>
        </w:rPr>
        <w:t>rupo P, con flujo de oxígeno-</w:t>
      </w:r>
      <w:r>
        <w:rPr>
          <w:rFonts w:ascii="Times New Roman" w:hAnsi="Times New Roman" w:cs="Arial"/>
        </w:rPr>
        <w:lastRenderedPageBreak/>
        <w:t>aire de 6 lpm y FiO</w:t>
      </w:r>
      <w:r>
        <w:rPr>
          <w:rFonts w:ascii="Times New Roman" w:hAnsi="Times New Roman" w:cs="Arial"/>
          <w:vertAlign w:val="subscript"/>
        </w:rPr>
        <w:t>2</w:t>
      </w:r>
      <w:r>
        <w:rPr>
          <w:rFonts w:ascii="Times New Roman" w:hAnsi="Times New Roman" w:cs="Arial"/>
        </w:rPr>
        <w:t xml:space="preserve"> del 50%.</w:t>
      </w:r>
    </w:p>
    <w:p w:rsidR="001B03C2" w:rsidRDefault="009B166E">
      <w:pPr>
        <w:spacing w:line="480" w:lineRule="auto"/>
        <w:jc w:val="both"/>
        <w:rPr>
          <w:rFonts w:ascii="Times New Roman" w:hAnsi="Times New Roman" w:cs="Arial"/>
        </w:rPr>
      </w:pPr>
      <w:r>
        <w:rPr>
          <w:rFonts w:ascii="Times New Roman" w:hAnsi="Times New Roman" w:cs="Arial"/>
        </w:rPr>
        <w:t>A ambos grupos de pacientes se les advirtió la posibilidad de padecer dolor de tipo irritativo a nivel de la zona de punción del catéter venoso, y se les administró 20 mg de lidocaína iv antes de c</w:t>
      </w:r>
      <w:r>
        <w:rPr>
          <w:rFonts w:ascii="Times New Roman" w:hAnsi="Times New Roman" w:cs="Arial"/>
        </w:rPr>
        <w:t>omenzar la infusión de los productos que contenían las jeringuillas. De esa manera, todos los pacientes eran conocedores de que se les administraba a través de la vía dos medicaciones, una de color blanco y otra transparente.(FOTOS)</w:t>
      </w:r>
    </w:p>
    <w:p w:rsidR="001B03C2" w:rsidRDefault="009B166E">
      <w:pPr>
        <w:spacing w:line="480" w:lineRule="auto"/>
        <w:jc w:val="both"/>
        <w:rPr>
          <w:rFonts w:ascii="Times New Roman" w:hAnsi="Times New Roman" w:cs="Arial"/>
        </w:rPr>
      </w:pPr>
      <w:r>
        <w:rPr>
          <w:rFonts w:ascii="Times New Roman" w:hAnsi="Times New Roman" w:cs="Arial"/>
        </w:rPr>
        <w:t>De igual forma, se acop</w:t>
      </w:r>
      <w:r>
        <w:rPr>
          <w:rFonts w:ascii="Times New Roman" w:hAnsi="Times New Roman" w:cs="Arial"/>
        </w:rPr>
        <w:t>ló una mascarilla facial transparente a la cara de cada paciente, con un flujo de oxígeno-aire de 6 lpm y FiO2 del 50% para administración de oxígeno en el grupo P y oxígeno y sevoflurano en el S. (FOTO)</w:t>
      </w:r>
    </w:p>
    <w:p w:rsidR="001B03C2" w:rsidRDefault="009B166E">
      <w:pPr>
        <w:spacing w:line="480" w:lineRule="auto"/>
        <w:jc w:val="both"/>
        <w:rPr>
          <w:rFonts w:ascii="Times New Roman" w:hAnsi="Times New Roman" w:cs="Arial"/>
        </w:rPr>
      </w:pPr>
      <w:r>
        <w:rPr>
          <w:rFonts w:ascii="Times New Roman" w:hAnsi="Times New Roman" w:cs="Arial"/>
        </w:rPr>
        <w:t>A ambos grupos de pacientes se les advirtió de la po</w:t>
      </w:r>
      <w:r>
        <w:rPr>
          <w:rFonts w:ascii="Times New Roman" w:hAnsi="Times New Roman" w:cs="Arial"/>
        </w:rPr>
        <w:t>sibilidad de percibir un olor especial a través de la mascarilla facial una vez acoplada. Así, todos eran conscientes de que se les administraba algún tipo de gas a través de la mascarilla facial .</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 xml:space="preserve">Para asegurar el cegado, se colocó, además, una talla de </w:t>
      </w:r>
      <w:r>
        <w:rPr>
          <w:rFonts w:ascii="Times New Roman" w:hAnsi="Times New Roman" w:cs="Arial"/>
        </w:rPr>
        <w:t>tela de forma que existió una separación visual entre la cabecera del paciente y el lugar de trabajo del endoscopista y de la enfermera que recogió datos del proceso. De esa manera, el endoscopista no tenía posibilidad de observar el tipo de sedación emple</w:t>
      </w:r>
      <w:r>
        <w:rPr>
          <w:rFonts w:ascii="Times New Roman" w:hAnsi="Times New Roman" w:cs="Arial"/>
        </w:rPr>
        <w:t>ada. Además, por la técnica al realizar la exploración, el endoscopista estuvo de espaldas a la cabecera del paciente, lo que minimizó las posibilidades de recoger información que pudiera orientarle acerca del método de sedación empleado.</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En todo momento, </w:t>
      </w:r>
      <w:r>
        <w:rPr>
          <w:rFonts w:ascii="Times New Roman" w:hAnsi="Times New Roman" w:cs="Arial"/>
        </w:rPr>
        <w:t xml:space="preserve">en ambos grupos de pacientes, se mantuvo conectado y en funcionamiento el sistema de extracción de gases del respirador de anestesia, además de mantener una ventilación continua de la sala de endoscopias. Así redujimos la posibilidad de fuga de gases y de </w:t>
      </w:r>
      <w:r>
        <w:rPr>
          <w:rFonts w:ascii="Times New Roman" w:hAnsi="Times New Roman" w:cs="Arial"/>
        </w:rPr>
        <w:t>contaminación ambiental.</w:t>
      </w:r>
    </w:p>
    <w:p w:rsidR="001B03C2" w:rsidRDefault="001B03C2">
      <w:pPr>
        <w:spacing w:line="480" w:lineRule="auto"/>
        <w:ind w:left="142"/>
        <w:jc w:val="both"/>
        <w:rPr>
          <w:rFonts w:hint="eastAsia"/>
        </w:rPr>
      </w:pPr>
    </w:p>
    <w:p w:rsidR="001B03C2" w:rsidRDefault="001B03C2">
      <w:pPr>
        <w:spacing w:line="480" w:lineRule="auto"/>
        <w:ind w:left="142"/>
        <w:jc w:val="both"/>
        <w:rPr>
          <w:rFonts w:hint="eastAsia"/>
        </w:rPr>
      </w:pPr>
    </w:p>
    <w:p w:rsidR="001B03C2" w:rsidRDefault="009B166E">
      <w:pPr>
        <w:spacing w:line="480" w:lineRule="auto"/>
        <w:ind w:left="142"/>
        <w:jc w:val="both"/>
        <w:rPr>
          <w:rFonts w:ascii="Times New Roman" w:hAnsi="Times New Roman" w:cs="Arial"/>
          <w:b/>
          <w:bCs/>
        </w:rPr>
      </w:pPr>
      <w:r>
        <w:rPr>
          <w:rFonts w:ascii="Times New Roman" w:hAnsi="Times New Roman" w:cs="Arial"/>
          <w:b/>
          <w:bCs/>
        </w:rPr>
        <w:lastRenderedPageBreak/>
        <w:t>8.5 CONSIDERACIONES ÉTICAS.</w:t>
      </w:r>
    </w:p>
    <w:p w:rsidR="001B03C2" w:rsidRDefault="009B166E">
      <w:pPr>
        <w:widowControl/>
        <w:suppressAutoHyphens w:val="0"/>
        <w:spacing w:line="480" w:lineRule="auto"/>
        <w:jc w:val="both"/>
        <w:rPr>
          <w:rFonts w:ascii="Times New Roman" w:eastAsia="Times New Roman" w:hAnsi="Times New Roman" w:cs="Arial"/>
          <w:lang w:eastAsia="ar-SA" w:bidi="ar-SA"/>
        </w:rPr>
      </w:pPr>
      <w:r>
        <w:rPr>
          <w:rFonts w:ascii="Times New Roman" w:eastAsia="Times New Roman" w:hAnsi="Times New Roman" w:cs="Arial"/>
          <w:lang w:eastAsia="ar-SA" w:bidi="ar-SA"/>
        </w:rPr>
        <w:t>Este estudio se realizó de acuerdo a los principios manifestados en la Declaración de Helsinki y posteriores enmiendas y con arreglo a la Guía de Buenas Prácticas Clínicas (BPC) (CPMP/ICH/135/95). El e</w:t>
      </w:r>
      <w:r>
        <w:rPr>
          <w:rFonts w:ascii="Times New Roman" w:eastAsia="Times New Roman" w:hAnsi="Times New Roman" w:cs="Arial"/>
          <w:lang w:eastAsia="ar-SA" w:bidi="ar-SA"/>
        </w:rPr>
        <w:t>studio contó, además, con la aprobación del Comité Ético de Investigación Clínica (CEIC) del Consorcio Hospitalario Provincial de Castellón, y con la de la Agencia Española del Medicamento y Productos Sanitarios (AEMPS). Todos los pacientes del estudio fue</w:t>
      </w:r>
      <w:r>
        <w:rPr>
          <w:rFonts w:ascii="Times New Roman" w:eastAsia="Times New Roman" w:hAnsi="Times New Roman" w:cs="Arial"/>
          <w:lang w:eastAsia="ar-SA" w:bidi="ar-SA"/>
        </w:rPr>
        <w:t>ron informados sobre los detalles del estudio y firmaron un documento de Consentimiento Informado.</w:t>
      </w:r>
    </w:p>
    <w:p w:rsidR="001B03C2" w:rsidRDefault="001B03C2">
      <w:pPr>
        <w:spacing w:line="480" w:lineRule="auto"/>
        <w:jc w:val="both"/>
        <w:rPr>
          <w:rFonts w:ascii="Times New Roman" w:hAnsi="Times New Roman" w:cs="Arial"/>
          <w:b/>
          <w:bCs/>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bCs/>
        </w:rPr>
      </w:pPr>
      <w:r>
        <w:rPr>
          <w:rFonts w:ascii="Times New Roman" w:hAnsi="Times New Roman" w:cs="Arial"/>
          <w:b/>
          <w:bCs/>
        </w:rPr>
        <w:t>8.6 ANÁLISIS ESTADÍSTICO.</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rPr>
      </w:pPr>
      <w:r>
        <w:rPr>
          <w:rFonts w:ascii="Times New Roman" w:hAnsi="Times New Roman" w:cs="Arial"/>
          <w:b/>
        </w:rPr>
        <w:t>8.6.1 DESCRIPCIÓN DE LOS MÉTODOS ESTADÍSTICOS EMPLEADOS.</w:t>
      </w:r>
    </w:p>
    <w:p w:rsidR="001B03C2" w:rsidRDefault="001B03C2">
      <w:pPr>
        <w:spacing w:line="480" w:lineRule="auto"/>
        <w:ind w:left="360"/>
        <w:jc w:val="both"/>
        <w:rPr>
          <w:rFonts w:ascii="Times New Roman" w:hAnsi="Times New Roman" w:cs="Times New Roman"/>
          <w:b/>
        </w:rPr>
      </w:pPr>
    </w:p>
    <w:p w:rsidR="001B03C2" w:rsidRDefault="009B166E">
      <w:pPr>
        <w:spacing w:line="480" w:lineRule="auto"/>
        <w:jc w:val="both"/>
        <w:rPr>
          <w:rFonts w:ascii="Times New Roman" w:hAnsi="Times New Roman" w:cs="Arial"/>
        </w:rPr>
      </w:pPr>
      <w:r>
        <w:rPr>
          <w:rFonts w:ascii="Times New Roman" w:hAnsi="Times New Roman" w:cs="Arial"/>
        </w:rPr>
        <w:t xml:space="preserve">Se realizará un estudio descriptivo de las variables según la </w:t>
      </w:r>
      <w:r>
        <w:rPr>
          <w:rFonts w:ascii="Times New Roman" w:hAnsi="Times New Roman" w:cs="Arial"/>
        </w:rPr>
        <w:t xml:space="preserve">naturaleza de las mismas. Cálculo de medias, medidas de dispersión e intervalos de confianza del 95% para las variables continuas, y distribución de frecuencias y proporciones para las variables categóricas. El test de Kolgomorov-Smirnov se utilizará para </w:t>
      </w:r>
      <w:r>
        <w:rPr>
          <w:rFonts w:ascii="Times New Roman" w:hAnsi="Times New Roman" w:cs="Arial"/>
        </w:rPr>
        <w:t>determinar si los datos se ajustan a la distribución normal. Las variables cuantitativas con una distribución normal se compararán con el test de t de Student o en el caso de que no se cumpla la normalidad su alternativa no paramétrica, prueba de los rango</w:t>
      </w:r>
      <w:r>
        <w:rPr>
          <w:rFonts w:ascii="Times New Roman" w:hAnsi="Times New Roman" w:cs="Arial"/>
        </w:rPr>
        <w:t>s con signo de Wilcoxon. Las variables cualitativas se compararán con el test de Pearson y se aplicará el test exacto de Fisher cuando alguna frecuencia esperada no sea mayor de 5. Las diferencias entre los parámetros basales y los finales a la intervenció</w:t>
      </w:r>
      <w:r>
        <w:rPr>
          <w:rFonts w:ascii="Times New Roman" w:hAnsi="Times New Roman" w:cs="Arial"/>
        </w:rPr>
        <w:t>n, así como el</w:t>
      </w:r>
      <w:r>
        <w:rPr>
          <w:rFonts w:ascii="Times New Roman" w:hAnsi="Times New Roman" w:cs="Times New Roman"/>
        </w:rPr>
        <w:t xml:space="preserve"> </w:t>
      </w:r>
      <w:r>
        <w:rPr>
          <w:rFonts w:ascii="Times New Roman" w:hAnsi="Times New Roman" w:cs="Arial"/>
        </w:rPr>
        <w:t xml:space="preserve">estado de recuperación y la opinión del paciente se correlacionarán mediante el coeficiente de correlación de Spearman y se compararán con el test de la t de Student para datos pareados. Para estudiar las variaciones entre basal, mitad y </w:t>
      </w:r>
      <w:r>
        <w:rPr>
          <w:rFonts w:ascii="Times New Roman" w:hAnsi="Times New Roman" w:cs="Arial"/>
        </w:rPr>
        <w:lastRenderedPageBreak/>
        <w:t>fin</w:t>
      </w:r>
      <w:r>
        <w:rPr>
          <w:rFonts w:ascii="Times New Roman" w:hAnsi="Times New Roman" w:cs="Arial"/>
        </w:rPr>
        <w:t>al de la intervención se utilizará el análisis de la varianza (ANOVA).</w:t>
      </w:r>
    </w:p>
    <w:p w:rsidR="001B03C2" w:rsidRDefault="001B03C2">
      <w:pPr>
        <w:spacing w:line="480" w:lineRule="auto"/>
        <w:ind w:left="360"/>
        <w:jc w:val="both"/>
        <w:rPr>
          <w:rFonts w:ascii="Times New Roman" w:hAnsi="Times New Roman" w:cs="Times New Roman"/>
          <w:b/>
        </w:rPr>
      </w:pPr>
    </w:p>
    <w:p w:rsidR="001B03C2" w:rsidRDefault="009B166E">
      <w:pPr>
        <w:spacing w:line="480" w:lineRule="auto"/>
        <w:jc w:val="both"/>
        <w:rPr>
          <w:rFonts w:ascii="Times New Roman" w:hAnsi="Times New Roman" w:cs="Arial"/>
          <w:b/>
        </w:rPr>
      </w:pPr>
      <w:r>
        <w:rPr>
          <w:rFonts w:ascii="Times New Roman" w:hAnsi="Times New Roman" w:cs="Arial"/>
          <w:b/>
        </w:rPr>
        <w:t>8.6.2 NIVEL DE SIGNIFICACIÓN.</w:t>
      </w:r>
    </w:p>
    <w:p w:rsidR="001B03C2" w:rsidRDefault="001B03C2">
      <w:pPr>
        <w:spacing w:line="480" w:lineRule="auto"/>
        <w:ind w:left="360"/>
        <w:jc w:val="both"/>
        <w:rPr>
          <w:rFonts w:ascii="Times New Roman" w:hAnsi="Times New Roman" w:cs="Arial"/>
          <w:b/>
        </w:rPr>
      </w:pPr>
    </w:p>
    <w:p w:rsidR="001B03C2" w:rsidRDefault="009B166E">
      <w:pPr>
        <w:spacing w:line="480" w:lineRule="auto"/>
        <w:jc w:val="both"/>
        <w:rPr>
          <w:rFonts w:ascii="Times New Roman" w:hAnsi="Times New Roman" w:cs="Arial"/>
        </w:rPr>
      </w:pPr>
      <w:r>
        <w:rPr>
          <w:rFonts w:ascii="Times New Roman" w:hAnsi="Times New Roman" w:cs="Arial"/>
        </w:rPr>
        <w:t>El nivel de significación será del 5% y la potencia de las pruebas estadísticas aplicadas será de al menos el 80%. Se considerarán significativos de dife</w:t>
      </w:r>
      <w:r>
        <w:rPr>
          <w:rFonts w:ascii="Times New Roman" w:hAnsi="Times New Roman" w:cs="Arial"/>
        </w:rPr>
        <w:t>rencias los p-valores menores de 0.05. Todos los análisis y gráficos se realizarán con los software estadísticos SPSS v. 17, Rv.2.13 y STAT SE v.12.</w:t>
      </w:r>
    </w:p>
    <w:p w:rsidR="001B03C2" w:rsidRDefault="001B03C2">
      <w:pPr>
        <w:spacing w:line="480" w:lineRule="auto"/>
        <w:ind w:left="360"/>
        <w:jc w:val="both"/>
        <w:rPr>
          <w:rFonts w:ascii="Times New Roman" w:hAnsi="Times New Roman" w:cs="Times New Roman"/>
        </w:rPr>
      </w:pPr>
    </w:p>
    <w:p w:rsidR="001B03C2" w:rsidRDefault="009B166E">
      <w:pPr>
        <w:spacing w:line="480" w:lineRule="auto"/>
        <w:jc w:val="both"/>
        <w:rPr>
          <w:rFonts w:ascii="Times New Roman" w:hAnsi="Times New Roman" w:cs="Arial"/>
          <w:b/>
        </w:rPr>
      </w:pPr>
      <w:r>
        <w:rPr>
          <w:rFonts w:ascii="Times New Roman" w:eastAsia="Arial" w:hAnsi="Times New Roman" w:cs="Arial"/>
          <w:b/>
        </w:rPr>
        <w:t>8</w:t>
      </w:r>
      <w:r>
        <w:rPr>
          <w:rFonts w:ascii="Times New Roman" w:eastAsia="Times New Roman" w:hAnsi="Times New Roman" w:cs="Arial"/>
          <w:b/>
        </w:rPr>
        <w:t>.6</w:t>
      </w:r>
      <w:r>
        <w:rPr>
          <w:rFonts w:ascii="Times New Roman" w:hAnsi="Times New Roman" w:cs="Arial"/>
          <w:b/>
        </w:rPr>
        <w:t>.3 CÁLCULO DEL TAMAÑO MUESTRAL.</w:t>
      </w:r>
    </w:p>
    <w:p w:rsidR="001B03C2" w:rsidRDefault="001B03C2">
      <w:pPr>
        <w:spacing w:line="480" w:lineRule="auto"/>
        <w:ind w:left="360"/>
        <w:jc w:val="both"/>
        <w:rPr>
          <w:rFonts w:ascii="Times New Roman" w:hAnsi="Times New Roman" w:cs="Times New Roman"/>
          <w:b/>
        </w:rPr>
      </w:pPr>
    </w:p>
    <w:p w:rsidR="001B03C2" w:rsidRDefault="009B166E">
      <w:pPr>
        <w:spacing w:line="480" w:lineRule="auto"/>
        <w:jc w:val="both"/>
        <w:rPr>
          <w:rFonts w:ascii="Times New Roman" w:hAnsi="Times New Roman" w:cs="Arial"/>
        </w:rPr>
      </w:pPr>
      <w:r>
        <w:rPr>
          <w:rFonts w:ascii="Times New Roman" w:hAnsi="Times New Roman" w:cs="Arial"/>
        </w:rPr>
        <w:t xml:space="preserve">Se ha calculado el tamaño muestral para la evaluación del </w:t>
      </w:r>
      <w:r>
        <w:rPr>
          <w:rFonts w:ascii="Times New Roman" w:hAnsi="Times New Roman" w:cs="Arial"/>
        </w:rPr>
        <w:t>procedimiento de la colonoscopia por el endoscopista mediante escala visual analógica (EVA), para observar diferencias de 10 unidades (10%) en la EVA, suponiendo una varianza de 625. Para los cálculos se ha utilizado una potencia del 90% y un nivel de sign</w:t>
      </w:r>
      <w:r>
        <w:rPr>
          <w:rFonts w:ascii="Times New Roman" w:hAnsi="Times New Roman" w:cs="Arial"/>
        </w:rPr>
        <w:t>ificatividad del 0.05 bilateral, siguiendo el método descrito por Cohen (</w:t>
      </w:r>
      <w:r>
        <w:rPr>
          <w:rFonts w:ascii="Times New Roman" w:hAnsi="Times New Roman" w:cs="Arial"/>
          <w:i/>
          <w:iCs/>
        </w:rPr>
        <w:t xml:space="preserve">Cohen, J. (1988). </w:t>
      </w:r>
      <w:r>
        <w:rPr>
          <w:rFonts w:ascii="Times New Roman" w:hAnsi="Times New Roman" w:cs="Arial"/>
          <w:i/>
          <w:iCs/>
          <w:lang w:val="en-US"/>
        </w:rPr>
        <w:t>Statistical power analysis for the behavioral sciences (2nd ed.). Hillsdale,NJ: Lawrence Erlbaum.</w:t>
      </w:r>
      <w:r>
        <w:rPr>
          <w:rFonts w:ascii="Times New Roman" w:hAnsi="Times New Roman" w:cs="Arial"/>
          <w:lang w:val="en-US"/>
        </w:rPr>
        <w:t xml:space="preserve">). </w:t>
      </w:r>
      <w:r>
        <w:rPr>
          <w:rFonts w:ascii="Times New Roman" w:hAnsi="Times New Roman" w:cs="Arial"/>
        </w:rPr>
        <w:t>Se ha obtenido que se precisa de la inclusión de 132 pacientes en</w:t>
      </w:r>
      <w:r>
        <w:rPr>
          <w:rFonts w:ascii="Times New Roman" w:hAnsi="Times New Roman" w:cs="Arial"/>
        </w:rPr>
        <w:t xml:space="preserve"> cada uno de los dos brazos del estudio. Se considera que se pueden producir un 5 % de pérdidas de pacientes, por lo que se incluirán 139 pacientes en cada brazo, es decir, un total de 278 pacientes.</w:t>
      </w: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bCs/>
        </w:rPr>
      </w:pPr>
      <w:r>
        <w:rPr>
          <w:rFonts w:ascii="Times New Roman" w:hAnsi="Times New Roman" w:cs="Arial"/>
          <w:b/>
          <w:bCs/>
        </w:rPr>
        <w:t>9. RESULTADOS.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b/>
          <w:bCs/>
        </w:rPr>
      </w:pPr>
      <w:r>
        <w:rPr>
          <w:rFonts w:ascii="Times New Roman" w:hAnsi="Times New Roman" w:cs="Arial"/>
          <w:b/>
          <w:bCs/>
        </w:rPr>
        <w:t>9.1 SUJETOS DEL ESTUDIO.</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rPr>
      </w:pPr>
      <w:r>
        <w:rPr>
          <w:rFonts w:ascii="Times New Roman" w:hAnsi="Times New Roman" w:cs="Arial"/>
        </w:rPr>
        <w:t>9.1.1 Diagrama de flujo de la muestra de pacientes.</w:t>
      </w:r>
    </w:p>
    <w:p w:rsidR="001B03C2" w:rsidRDefault="001B03C2">
      <w:pPr>
        <w:spacing w:line="480" w:lineRule="auto"/>
        <w:ind w:left="142"/>
        <w:jc w:val="both"/>
        <w:rPr>
          <w:rFonts w:ascii="Times New Roman" w:hAnsi="Times New Roman" w:cs="Arial"/>
        </w:rPr>
      </w:pPr>
    </w:p>
    <w:p w:rsidR="001B03C2" w:rsidRDefault="009B166E">
      <w:pPr>
        <w:spacing w:line="480" w:lineRule="auto"/>
        <w:jc w:val="both"/>
        <w:rPr>
          <w:rFonts w:ascii="Times New Roman" w:hAnsi="Times New Roman" w:cs="Arial"/>
        </w:rPr>
      </w:pPr>
      <w:r>
        <w:rPr>
          <w:rFonts w:ascii="Times New Roman" w:hAnsi="Times New Roman" w:cs="Arial"/>
        </w:rPr>
        <w:t>Un total de 316 pacientes fueros evaluados inicialmente para poder ser incluidos en el estudio. Tras esa evaluación inicial, 38 sujetos fueron excluidos debido a los siguientes motivos:</w:t>
      </w:r>
    </w:p>
    <w:p w:rsidR="001B03C2" w:rsidRDefault="009B166E">
      <w:pPr>
        <w:spacing w:line="480" w:lineRule="auto"/>
        <w:ind w:left="142"/>
        <w:jc w:val="both"/>
        <w:rPr>
          <w:rFonts w:ascii="Times New Roman" w:hAnsi="Times New Roman" w:cs="Arial"/>
        </w:rPr>
      </w:pPr>
      <w:r>
        <w:rPr>
          <w:rFonts w:ascii="Times New Roman" w:hAnsi="Times New Roman" w:cs="Arial"/>
        </w:rPr>
        <w:t>- Enfermedad hep</w:t>
      </w:r>
      <w:r>
        <w:rPr>
          <w:rFonts w:ascii="Times New Roman" w:hAnsi="Times New Roman" w:cs="Arial"/>
        </w:rPr>
        <w:t>ática o renal crónica ( n= 3).</w:t>
      </w:r>
    </w:p>
    <w:p w:rsidR="001B03C2" w:rsidRDefault="009B166E">
      <w:pPr>
        <w:spacing w:line="480" w:lineRule="auto"/>
        <w:ind w:left="142"/>
        <w:jc w:val="both"/>
        <w:rPr>
          <w:rFonts w:ascii="Times New Roman" w:hAnsi="Times New Roman" w:cs="Arial"/>
        </w:rPr>
      </w:pPr>
      <w:r>
        <w:rPr>
          <w:rFonts w:ascii="Times New Roman" w:hAnsi="Times New Roman" w:cs="Arial"/>
        </w:rPr>
        <w:t>- Dificultad para comunicación con el paciente ( n= 8).</w:t>
      </w:r>
    </w:p>
    <w:p w:rsidR="001B03C2" w:rsidRDefault="009B166E">
      <w:pPr>
        <w:spacing w:line="480" w:lineRule="auto"/>
        <w:ind w:left="142"/>
        <w:jc w:val="both"/>
        <w:rPr>
          <w:rFonts w:ascii="Times New Roman" w:hAnsi="Times New Roman" w:cs="Arial"/>
        </w:rPr>
      </w:pPr>
      <w:r>
        <w:rPr>
          <w:rFonts w:ascii="Times New Roman" w:hAnsi="Times New Roman" w:cs="Arial"/>
        </w:rPr>
        <w:t>- Exploración a través de ostoma o realización de sigmoidoscopia ( n= 4).</w:t>
      </w:r>
    </w:p>
    <w:p w:rsidR="001B03C2" w:rsidRDefault="009B166E">
      <w:pPr>
        <w:spacing w:line="480" w:lineRule="auto"/>
        <w:ind w:left="142"/>
        <w:jc w:val="both"/>
        <w:rPr>
          <w:rFonts w:ascii="Times New Roman" w:hAnsi="Times New Roman" w:cs="Arial"/>
        </w:rPr>
      </w:pPr>
      <w:r>
        <w:rPr>
          <w:rFonts w:ascii="Times New Roman" w:hAnsi="Times New Roman" w:cs="Arial"/>
        </w:rPr>
        <w:t>- Doble exploración ( gastoscopia y colonoscopia) ( n = 10).</w:t>
      </w:r>
    </w:p>
    <w:p w:rsidR="001B03C2" w:rsidRDefault="009B166E">
      <w:pPr>
        <w:spacing w:line="480" w:lineRule="auto"/>
        <w:ind w:left="142"/>
        <w:jc w:val="both"/>
        <w:rPr>
          <w:rFonts w:ascii="Times New Roman" w:hAnsi="Times New Roman" w:cs="Arial"/>
        </w:rPr>
      </w:pPr>
      <w:r>
        <w:rPr>
          <w:rFonts w:ascii="Times New Roman" w:hAnsi="Times New Roman" w:cs="Arial"/>
        </w:rPr>
        <w:t xml:space="preserve">- Presencia de barba o </w:t>
      </w:r>
      <w:r>
        <w:rPr>
          <w:rFonts w:ascii="Times New Roman" w:hAnsi="Times New Roman" w:cs="Arial"/>
        </w:rPr>
        <w:t>malformaciones faciales ( n = 4).</w:t>
      </w:r>
    </w:p>
    <w:p w:rsidR="001B03C2" w:rsidRDefault="009B166E">
      <w:pPr>
        <w:spacing w:line="480" w:lineRule="auto"/>
        <w:ind w:left="142"/>
        <w:jc w:val="both"/>
        <w:rPr>
          <w:rFonts w:ascii="Times New Roman" w:hAnsi="Times New Roman" w:cs="Arial"/>
        </w:rPr>
      </w:pPr>
      <w:r>
        <w:rPr>
          <w:rFonts w:ascii="Times New Roman" w:hAnsi="Times New Roman" w:cs="Arial"/>
        </w:rPr>
        <w:t>- Enfermedad psiquiátrica ( n= 3).</w:t>
      </w:r>
    </w:p>
    <w:p w:rsidR="001B03C2" w:rsidRDefault="009B166E">
      <w:pPr>
        <w:spacing w:line="480" w:lineRule="auto"/>
        <w:ind w:left="142"/>
        <w:jc w:val="both"/>
        <w:rPr>
          <w:rFonts w:ascii="Times New Roman" w:hAnsi="Times New Roman" w:cs="Arial"/>
        </w:rPr>
      </w:pPr>
      <w:r>
        <w:rPr>
          <w:rFonts w:ascii="Times New Roman" w:hAnsi="Times New Roman" w:cs="Arial"/>
        </w:rPr>
        <w:t>- Rechazo a participar en el estudio ( n = 5).</w:t>
      </w:r>
    </w:p>
    <w:p w:rsidR="001B03C2" w:rsidRDefault="009B166E">
      <w:pPr>
        <w:spacing w:line="480" w:lineRule="auto"/>
        <w:ind w:left="142"/>
        <w:jc w:val="both"/>
        <w:rPr>
          <w:rFonts w:ascii="Times New Roman" w:hAnsi="Times New Roman" w:cs="Arial"/>
        </w:rPr>
      </w:pPr>
      <w:r>
        <w:rPr>
          <w:rFonts w:ascii="Times New Roman" w:hAnsi="Times New Roman" w:cs="Arial"/>
        </w:rPr>
        <w:t>- Descompensación de su patología cardíaca de base ( n = 1).</w:t>
      </w:r>
    </w:p>
    <w:p w:rsidR="001B03C2" w:rsidRDefault="001B03C2">
      <w:pPr>
        <w:spacing w:line="480" w:lineRule="auto"/>
        <w:ind w:left="142"/>
        <w:jc w:val="both"/>
        <w:rPr>
          <w:rFonts w:ascii="Times New Roman" w:hAnsi="Times New Roman"/>
        </w:rPr>
      </w:pPr>
    </w:p>
    <w:p w:rsidR="001B03C2" w:rsidRDefault="009B166E">
      <w:pPr>
        <w:spacing w:line="480" w:lineRule="auto"/>
        <w:ind w:left="142"/>
        <w:jc w:val="both"/>
        <w:rPr>
          <w:rFonts w:ascii="Times New Roman" w:hAnsi="Times New Roman" w:cs="Arial"/>
        </w:rPr>
      </w:pPr>
      <w:r>
        <w:rPr>
          <w:rFonts w:ascii="Times New Roman" w:hAnsi="Times New Roman" w:cs="Arial"/>
        </w:rPr>
        <w:t>Finalmente, 278 sujetos fueron aleatoriamente asignados a uno de los siguiente</w:t>
      </w:r>
      <w:r>
        <w:rPr>
          <w:rFonts w:ascii="Times New Roman" w:hAnsi="Times New Roman" w:cs="Arial"/>
        </w:rPr>
        <w:t>s grupos: grupo S ( sedación inhalatoria pura con sevoflurano) o grupo P ( sedación intravenosa con propofol y remifentanilo) (Fig.1)</w:t>
      </w:r>
    </w:p>
    <w:p w:rsidR="001B03C2" w:rsidRDefault="001B03C2">
      <w:pPr>
        <w:spacing w:line="480" w:lineRule="auto"/>
        <w:ind w:left="142"/>
        <w:jc w:val="both"/>
        <w:rPr>
          <w:rFonts w:ascii="Times New Roman" w:hAnsi="Times New Roman" w:cs="Arial"/>
        </w:rPr>
      </w:pPr>
    </w:p>
    <w:p w:rsidR="001B03C2" w:rsidRDefault="009B166E">
      <w:pPr>
        <w:shd w:val="clear" w:color="auto" w:fill="FFFFFF"/>
        <w:spacing w:line="480" w:lineRule="auto"/>
        <w:jc w:val="both"/>
        <w:rPr>
          <w:rFonts w:ascii="Times New Roman" w:hAnsi="Times New Roman" w:cs="Arial"/>
          <w:i/>
          <w:iCs/>
          <w:sz w:val="20"/>
          <w:szCs w:val="20"/>
        </w:rPr>
      </w:pPr>
      <w:r>
        <w:rPr>
          <w:rFonts w:ascii="Times New Roman" w:hAnsi="Times New Roman" w:cs="Arial"/>
          <w:i/>
          <w:iCs/>
          <w:sz w:val="20"/>
          <w:szCs w:val="20"/>
        </w:rPr>
        <w:t>Fig. 1 Diagrama de flujo de los pacientes.</w:t>
      </w:r>
      <w:r>
        <w:rPr>
          <w:rFonts w:ascii="Times New Roman" w:hAnsi="Times New Roman" w:cs="Arial"/>
          <w:i/>
          <w:iCs/>
          <w:noProof/>
          <w:sz w:val="20"/>
          <w:szCs w:val="20"/>
          <w:lang w:eastAsia="es-ES" w:bidi="ar-SA"/>
        </w:rPr>
        <w:drawing>
          <wp:anchor distT="0" distB="0" distL="0" distR="0" simplePos="0" relativeHeight="251657216" behindDoc="0" locked="0" layoutInCell="1" allowOverlap="1">
            <wp:simplePos x="0" y="0"/>
            <wp:positionH relativeFrom="column">
              <wp:align>center</wp:align>
            </wp:positionH>
            <wp:positionV relativeFrom="paragraph">
              <wp:posOffset>86360</wp:posOffset>
            </wp:positionV>
            <wp:extent cx="5748020" cy="3227705"/>
            <wp:effectExtent l="0" t="0" r="0" b="0"/>
            <wp:wrapSquare wrapText="largest"/>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8"/>
                    <a:stretch>
                      <a:fillRect/>
                    </a:stretch>
                  </pic:blipFill>
                  <pic:spPr bwMode="auto">
                    <a:xfrm>
                      <a:off x="0" y="0"/>
                      <a:ext cx="5748020" cy="3227705"/>
                    </a:xfrm>
                    <a:prstGeom prst="rect">
                      <a:avLst/>
                    </a:prstGeom>
                    <a:noFill/>
                    <a:ln w="9525">
                      <a:noFill/>
                      <a:miter lim="800000"/>
                      <a:headEnd/>
                      <a:tailEnd/>
                    </a:ln>
                  </pic:spPr>
                </pic:pic>
              </a:graphicData>
            </a:graphic>
          </wp:anchor>
        </w:drawing>
      </w:r>
    </w:p>
    <w:p w:rsidR="001B03C2" w:rsidRDefault="001B03C2">
      <w:pPr>
        <w:rPr>
          <w:rFonts w:hint="eastAsia"/>
        </w:rPr>
        <w:sectPr w:rsidR="001B03C2">
          <w:headerReference w:type="default" r:id="rId9"/>
          <w:pgSz w:w="11906" w:h="16838"/>
          <w:pgMar w:top="1984" w:right="1134" w:bottom="1134" w:left="1134" w:header="1134" w:footer="0" w:gutter="0"/>
          <w:cols w:space="720"/>
          <w:formProt w:val="0"/>
          <w:docGrid w:linePitch="312" w:charSpace="-6145"/>
        </w:sectPr>
      </w:pPr>
    </w:p>
    <w:p w:rsidR="001B03C2" w:rsidRDefault="001B03C2">
      <w:pPr>
        <w:shd w:val="clear" w:color="auto" w:fill="FFFFFF"/>
        <w:spacing w:line="480" w:lineRule="auto"/>
        <w:jc w:val="both"/>
        <w:rPr>
          <w:rFonts w:hint="eastAsia"/>
        </w:rPr>
      </w:pPr>
    </w:p>
    <w:p w:rsidR="001B03C2" w:rsidRDefault="009B166E">
      <w:pPr>
        <w:spacing w:line="480" w:lineRule="auto"/>
        <w:jc w:val="both"/>
        <w:rPr>
          <w:rFonts w:ascii="Times New Roman" w:hAnsi="Times New Roman" w:cs="Arial"/>
        </w:rPr>
      </w:pPr>
      <w:r>
        <w:rPr>
          <w:rFonts w:ascii="Times New Roman" w:hAnsi="Times New Roman" w:cs="Arial"/>
        </w:rPr>
        <w:t>9.1.2 Análisis descriptivo del total de la muestra.</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 xml:space="preserve">Realizamos inicialmente un análisis descriptivo de las variables control de la muestra, </w:t>
      </w:r>
      <w:r>
        <w:rPr>
          <w:rFonts w:ascii="Times New Roman" w:hAnsi="Times New Roman" w:cs="Arial"/>
        </w:rPr>
        <w:t>independientemente del tipo de sedación empleado, para exponer las características generales de los pacientes incluidos en el estudio.</w:t>
      </w:r>
    </w:p>
    <w:p w:rsidR="001B03C2" w:rsidRDefault="001B03C2">
      <w:pPr>
        <w:spacing w:line="480" w:lineRule="auto"/>
        <w:ind w:left="142"/>
        <w:jc w:val="both"/>
        <w:rPr>
          <w:rFonts w:ascii="Times New Roman" w:hAnsi="Times New Roman" w:cs="Arial"/>
        </w:rPr>
      </w:pP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t>9.1.2.1 Descripción de la muestra.</w:t>
      </w:r>
    </w:p>
    <w:p w:rsidR="001B03C2" w:rsidRDefault="001B03C2">
      <w:pPr>
        <w:spacing w:line="480" w:lineRule="auto"/>
        <w:ind w:left="142"/>
        <w:jc w:val="both"/>
        <w:rPr>
          <w:rFonts w:ascii="Times New Roman" w:hAnsi="Times New Roman" w:cs="Arial"/>
        </w:rPr>
      </w:pPr>
    </w:p>
    <w:p w:rsidR="001B03C2" w:rsidRDefault="009B166E">
      <w:pPr>
        <w:spacing w:line="480" w:lineRule="auto"/>
        <w:ind w:left="142"/>
        <w:jc w:val="both"/>
        <w:rPr>
          <w:rFonts w:ascii="Times New Roman" w:hAnsi="Times New Roman" w:cs="Arial"/>
        </w:rPr>
      </w:pPr>
      <w:r>
        <w:rPr>
          <w:rFonts w:ascii="Times New Roman" w:hAnsi="Times New Roman" w:cs="Arial"/>
        </w:rPr>
        <w:lastRenderedPageBreak/>
        <w:t xml:space="preserve">Las características de los pacientes de la muestra quedan expuestas en la tabla 1. </w:t>
      </w:r>
      <w:r>
        <w:rPr>
          <w:rFonts w:ascii="Times New Roman" w:hAnsi="Times New Roman" w:cs="Arial"/>
        </w:rPr>
        <w:t>Estaba compuesta por 278 pacientes. La edad media fue de 59.55 +/- 13.04 años, un 46.4% eran hombres y un 53.6% mujeres. La mayoría de pacientes fueron clasificados como ASA I y II, la patología más frecuente fue la de tipo cardiovascular y la medicación m</w:t>
      </w:r>
      <w:r>
        <w:rPr>
          <w:rFonts w:ascii="Times New Roman" w:hAnsi="Times New Roman" w:cs="Arial"/>
        </w:rPr>
        <w:t>ás utilizada fueron los ansiolíticos. Dentro de los factores posibles modificadores del umbral de dolor destacó la presencia de cirugía abdominal previa.</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rPr>
      </w:pPr>
      <w:r>
        <w:rPr>
          <w:rFonts w:ascii="Times New Roman" w:hAnsi="Times New Roman" w:cs="Arial"/>
          <w:i/>
          <w:iCs/>
        </w:rPr>
        <w:t>Tabla 1. Características generales de los pacientes de la muestra.</w:t>
      </w:r>
      <w:r>
        <w:rPr>
          <w:rFonts w:ascii="Times New Roman" w:hAnsi="Times New Roman" w:cs="Arial"/>
        </w:rPr>
        <w:t xml:space="preserve">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3621"/>
        <w:gridCol w:w="2998"/>
        <w:gridCol w:w="3070"/>
      </w:tblGrid>
      <w:tr w:rsidR="001B03C2">
        <w:trPr>
          <w:cantSplit/>
        </w:trPr>
        <w:tc>
          <w:tcPr>
            <w:tcW w:w="3625" w:type="dxa"/>
            <w:tcBorders>
              <w:top w:val="single" w:sz="2" w:space="0" w:color="000001"/>
              <w:left w:val="single" w:sz="2" w:space="0" w:color="000001"/>
              <w:bottom w:val="single" w:sz="2" w:space="0" w:color="000001"/>
              <w:right w:val="nil"/>
            </w:tcBorders>
            <w:shd w:val="clear" w:color="auto" w:fill="FFFF00"/>
            <w:tcMar>
              <w:left w:w="39" w:type="dxa"/>
            </w:tcMar>
          </w:tcPr>
          <w:p w:rsidR="001B03C2" w:rsidRDefault="009B166E">
            <w:pPr>
              <w:pStyle w:val="Contenidodelatabla"/>
              <w:spacing w:line="480" w:lineRule="auto"/>
              <w:jc w:val="center"/>
              <w:rPr>
                <w:rFonts w:ascii="Times New Roman" w:hAnsi="Times New Roman" w:cs="Arial"/>
                <w:b/>
                <w:bCs/>
                <w:color w:val="FF3333"/>
                <w:shd w:val="clear" w:color="auto" w:fill="FFFF00"/>
              </w:rPr>
            </w:pPr>
            <w:r>
              <w:rPr>
                <w:rFonts w:ascii="Times New Roman" w:hAnsi="Times New Roman" w:cs="Arial"/>
                <w:b/>
                <w:bCs/>
                <w:color w:val="FF3333"/>
                <w:shd w:val="clear" w:color="auto" w:fill="FFFF00"/>
              </w:rPr>
              <w:t>VARIABLE</w:t>
            </w:r>
          </w:p>
        </w:tc>
        <w:tc>
          <w:tcPr>
            <w:tcW w:w="3001" w:type="dxa"/>
            <w:tcBorders>
              <w:top w:val="single" w:sz="2" w:space="0" w:color="000001"/>
              <w:left w:val="single" w:sz="2" w:space="0" w:color="000001"/>
              <w:bottom w:val="single" w:sz="2" w:space="0" w:color="000001"/>
              <w:right w:val="nil"/>
            </w:tcBorders>
            <w:shd w:val="clear" w:color="auto" w:fill="FFFF00"/>
            <w:tcMar>
              <w:left w:w="39" w:type="dxa"/>
            </w:tcMar>
          </w:tcPr>
          <w:p w:rsidR="001B03C2" w:rsidRDefault="009B166E">
            <w:pPr>
              <w:pStyle w:val="Contenidodelatabla"/>
              <w:spacing w:line="480" w:lineRule="auto"/>
              <w:jc w:val="center"/>
              <w:rPr>
                <w:rFonts w:ascii="Times New Roman" w:hAnsi="Times New Roman" w:cs="Arial"/>
                <w:b/>
                <w:bCs/>
                <w:color w:val="FF3333"/>
                <w:shd w:val="clear" w:color="auto" w:fill="FFFF00"/>
              </w:rPr>
            </w:pPr>
            <w:r>
              <w:rPr>
                <w:rFonts w:ascii="Times New Roman" w:hAnsi="Times New Roman" w:cs="Arial"/>
                <w:b/>
                <w:bCs/>
                <w:color w:val="FF3333"/>
                <w:shd w:val="clear" w:color="auto" w:fill="FFFF00"/>
              </w:rPr>
              <w:t>VALOR de la VARIABLE</w:t>
            </w:r>
          </w:p>
        </w:tc>
        <w:tc>
          <w:tcPr>
            <w:tcW w:w="3074" w:type="dxa"/>
            <w:tcBorders>
              <w:top w:val="single" w:sz="2" w:space="0" w:color="000001"/>
              <w:left w:val="single" w:sz="2" w:space="0" w:color="000001"/>
              <w:bottom w:val="single" w:sz="2" w:space="0" w:color="000001"/>
              <w:right w:val="single" w:sz="2" w:space="0" w:color="000001"/>
            </w:tcBorders>
            <w:shd w:val="clear" w:color="auto" w:fill="FFFF00"/>
            <w:tcMar>
              <w:left w:w="39" w:type="dxa"/>
            </w:tcMar>
          </w:tcPr>
          <w:p w:rsidR="001B03C2" w:rsidRDefault="009B166E">
            <w:pPr>
              <w:pStyle w:val="Contenidodelatabla"/>
              <w:spacing w:line="480" w:lineRule="auto"/>
              <w:jc w:val="center"/>
              <w:rPr>
                <w:rFonts w:ascii="Times New Roman" w:hAnsi="Times New Roman" w:cs="Arial"/>
                <w:b/>
                <w:bCs/>
                <w:color w:val="FF3333"/>
                <w:shd w:val="clear" w:color="auto" w:fill="FFFF00"/>
              </w:rPr>
            </w:pPr>
            <w:r>
              <w:rPr>
                <w:rFonts w:ascii="Times New Roman" w:hAnsi="Times New Roman" w:cs="Arial"/>
                <w:b/>
                <w:bCs/>
                <w:color w:val="FF3333"/>
                <w:shd w:val="clear" w:color="auto" w:fill="FFFF00"/>
              </w:rPr>
              <w:t>RANGO</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Edad, años*</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59.55 +/- 13.04</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(18-89)</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Sexo (Hombre/Mujer)**</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129 (46.4%)/ 149 (53.6%)</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Peso, kg*</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 xml:space="preserve">73.15 +/- 14.97 </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(35-132)</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Talla, cm*</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165.01 +/- 8.88</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(145-190)</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IMC *</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26.33 +/- 4.73</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(15-54)</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Pr="00AA2F17" w:rsidRDefault="009B166E">
            <w:pPr>
              <w:pStyle w:val="Contenidodelatabla"/>
              <w:spacing w:line="480" w:lineRule="auto"/>
              <w:jc w:val="both"/>
              <w:rPr>
                <w:rFonts w:ascii="Times New Roman" w:hAnsi="Times New Roman" w:cs="Arial"/>
                <w:lang w:val="en-US"/>
              </w:rPr>
            </w:pPr>
            <w:r w:rsidRPr="00AA2F17">
              <w:rPr>
                <w:rFonts w:ascii="Times New Roman" w:hAnsi="Times New Roman" w:cs="Arial"/>
                <w:lang w:val="en-US"/>
              </w:rPr>
              <w:t>ASA (I/ II/ III/ IV)**</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92/ 166/ 20/ 0</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Fumador**</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 xml:space="preserve">60 </w:t>
            </w:r>
            <w:r>
              <w:rPr>
                <w:rFonts w:ascii="Times New Roman" w:hAnsi="Times New Roman" w:cs="Arial"/>
              </w:rPr>
              <w:t>(21.6%)</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Bebedor**</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19 (6.8%)</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Enfermedad pulmonar**</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26 (9.4%)</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Enfermedad cardiovascular**</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42 (15.1%)</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Ansiolíticos**</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83 (29.9%)</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Analgésicos mayores**</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9 (3.2%)</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Indicación**</w:t>
            </w:r>
          </w:p>
        </w:tc>
        <w:tc>
          <w:tcPr>
            <w:tcW w:w="3001"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3074" w:type="dxa"/>
            <w:tcBorders>
              <w:top w:val="single" w:sz="2" w:space="0" w:color="000001"/>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lastRenderedPageBreak/>
              <w:t xml:space="preserve">    </w:t>
            </w:r>
            <w:r>
              <w:rPr>
                <w:rFonts w:ascii="Times New Roman" w:hAnsi="Times New Roman" w:cs="Arial"/>
              </w:rPr>
              <w:t>Cribado</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82 (29.5%)</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Control postquirúrgico</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51 (18.3%)</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Médico</w:t>
            </w:r>
          </w:p>
        </w:tc>
        <w:tc>
          <w:tcPr>
            <w:tcW w:w="3001"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145 (52.2%)</w:t>
            </w:r>
          </w:p>
        </w:tc>
        <w:tc>
          <w:tcPr>
            <w:tcW w:w="3074"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Factores modificadores**</w:t>
            </w:r>
          </w:p>
        </w:tc>
        <w:tc>
          <w:tcPr>
            <w:tcW w:w="3001"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3074" w:type="dxa"/>
            <w:tcBorders>
              <w:top w:val="single" w:sz="2" w:space="0" w:color="000001"/>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Delgadez (IMC&lt; 21)</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19 (6.8%)</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Cirugía abdominal previa</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147 (52.9%)</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Radioterapia previa</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22 (7.9%)</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Divertículos</w:t>
            </w:r>
          </w:p>
        </w:tc>
        <w:tc>
          <w:tcPr>
            <w:tcW w:w="3001"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 (5%)</w:t>
            </w:r>
          </w:p>
        </w:tc>
        <w:tc>
          <w:tcPr>
            <w:tcW w:w="3074"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Colonoscopia previa dolorosa</w:t>
            </w:r>
          </w:p>
        </w:tc>
        <w:tc>
          <w:tcPr>
            <w:tcW w:w="3001"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23 (8.3%)</w:t>
            </w:r>
          </w:p>
        </w:tc>
        <w:tc>
          <w:tcPr>
            <w:tcW w:w="3074"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Ansiedad-estado*</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23.2</w:t>
            </w:r>
            <w:r>
              <w:rPr>
                <w:rFonts w:ascii="Times New Roman" w:hAnsi="Times New Roman" w:cs="Arial"/>
              </w:rPr>
              <w:t xml:space="preserve"> +/- 6.1</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(3-57)</w:t>
            </w:r>
          </w:p>
        </w:tc>
      </w:tr>
      <w:tr w:rsidR="001B03C2">
        <w:trPr>
          <w:cantSplit/>
        </w:trPr>
        <w:tc>
          <w:tcPr>
            <w:tcW w:w="362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Ansiedad-rasgo*</w:t>
            </w:r>
          </w:p>
        </w:tc>
        <w:tc>
          <w:tcPr>
            <w:tcW w:w="300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27.5 +/- 6.2</w:t>
            </w:r>
          </w:p>
        </w:tc>
        <w:tc>
          <w:tcPr>
            <w:tcW w:w="307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(1-41)</w:t>
            </w:r>
          </w:p>
        </w:tc>
      </w:tr>
    </w:tbl>
    <w:p w:rsidR="001B03C2" w:rsidRDefault="009B166E">
      <w:pPr>
        <w:spacing w:line="480" w:lineRule="auto"/>
        <w:jc w:val="both"/>
        <w:rPr>
          <w:rFonts w:ascii="Times New Roman" w:hAnsi="Times New Roman" w:cs="Arial"/>
          <w:i/>
          <w:iCs/>
          <w:sz w:val="20"/>
          <w:szCs w:val="20"/>
          <w:shd w:val="clear" w:color="auto" w:fill="FFFFFF"/>
        </w:rPr>
      </w:pPr>
      <w:r>
        <w:rPr>
          <w:rFonts w:ascii="Times New Roman" w:hAnsi="Times New Roman" w:cs="Arial"/>
          <w:i/>
          <w:iCs/>
          <w:sz w:val="20"/>
          <w:szCs w:val="20"/>
          <w:shd w:val="clear" w:color="auto" w:fill="FFFFFF"/>
        </w:rPr>
        <w:t>Datos expresados como: * media +/- DS y ** Número de pacientes con porcentaje entre paréntesis.</w:t>
      </w:r>
    </w:p>
    <w:p w:rsidR="001B03C2" w:rsidRDefault="001B03C2">
      <w:pPr>
        <w:spacing w:line="480" w:lineRule="auto"/>
        <w:jc w:val="both"/>
        <w:rPr>
          <w:rFonts w:hint="eastAsia"/>
          <w:sz w:val="20"/>
          <w:szCs w:val="20"/>
        </w:rPr>
      </w:pPr>
    </w:p>
    <w:p w:rsidR="001B03C2" w:rsidRDefault="009B166E">
      <w:pPr>
        <w:spacing w:line="480" w:lineRule="auto"/>
        <w:jc w:val="both"/>
        <w:rPr>
          <w:rFonts w:ascii="Times New Roman" w:hAnsi="Times New Roman" w:cs="Arial"/>
        </w:rPr>
      </w:pPr>
      <w:r>
        <w:rPr>
          <w:rFonts w:ascii="Times New Roman" w:hAnsi="Times New Roman" w:cs="Arial"/>
        </w:rPr>
        <w:t>9.1.2.2 Comparabilidad inicial de los grupos del estudio.</w:t>
      </w:r>
    </w:p>
    <w:p w:rsidR="001B03C2" w:rsidRDefault="009B166E">
      <w:pPr>
        <w:spacing w:line="480" w:lineRule="auto"/>
        <w:jc w:val="both"/>
        <w:rPr>
          <w:rFonts w:ascii="Times New Roman" w:hAnsi="Times New Roman" w:cs="Arial"/>
        </w:rPr>
      </w:pPr>
      <w:r>
        <w:rPr>
          <w:rFonts w:ascii="Times New Roman" w:hAnsi="Times New Roman" w:cs="Arial"/>
        </w:rPr>
        <w:t xml:space="preserve">Realizamos un análisis descriptivo de las </w:t>
      </w:r>
      <w:r>
        <w:rPr>
          <w:rFonts w:ascii="Times New Roman" w:hAnsi="Times New Roman" w:cs="Arial"/>
        </w:rPr>
        <w:t>variables control de la muestra en el grupo S y el grupo P para establecer que ambos grupos son comparables. La tabla 2 muestra las características demográficas, clínicas y la comorbilidad de los pacientes en ambos grupos.</w:t>
      </w:r>
    </w:p>
    <w:p w:rsidR="001B03C2" w:rsidRDefault="009B166E">
      <w:pPr>
        <w:shd w:val="clear" w:color="auto" w:fill="FFFFFF"/>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rPr>
        <w:t>Ambos grupos fueron comparables e</w:t>
      </w:r>
      <w:r>
        <w:rPr>
          <w:rFonts w:ascii="Times New Roman" w:eastAsia="SimSun;宋体" w:hAnsi="Times New Roman" w:cs="Arial"/>
        </w:rPr>
        <w:t xml:space="preserve">n cuanto a las características demográficas ( edad, peso, talla, sexo e IMC). Para las variables de comorbilidad, sólo se encontraron diferencias estadísticamente significativas en la presencia de enfermedad cardiovascular </w:t>
      </w:r>
      <w:r>
        <w:rPr>
          <w:rFonts w:ascii="Times New Roman" w:hAnsi="Times New Roman" w:cs="Arial"/>
          <w:color w:val="000000"/>
          <w:shd w:val="clear" w:color="auto" w:fill="FFFFFF"/>
        </w:rPr>
        <w:t>(10.8% de los pacientes del grupo</w:t>
      </w:r>
      <w:r>
        <w:rPr>
          <w:rFonts w:ascii="Times New Roman" w:hAnsi="Times New Roman" w:cs="Arial"/>
          <w:color w:val="000000"/>
          <w:shd w:val="clear" w:color="auto" w:fill="FFFFFF"/>
        </w:rPr>
        <w:t xml:space="preserve"> S frente al 19.4% del grupo P, </w:t>
      </w:r>
      <w:r>
        <w:rPr>
          <w:rFonts w:ascii="Times New Roman" w:eastAsia="SimSun;宋体" w:hAnsi="Times New Roman" w:cs="Arial"/>
          <w:color w:val="000000"/>
          <w:shd w:val="clear" w:color="auto" w:fill="FFFFFF"/>
        </w:rPr>
        <w:t>Chi cuadrado= 4.039; g.d.l.= 1; p-valor = 0.044).</w:t>
      </w: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 xml:space="preserve">Tabla 2. Distribución en ambos grupos de variables demográficas, clínicas y comorbilidad de la muestra.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2830"/>
        <w:gridCol w:w="2323"/>
        <w:gridCol w:w="2382"/>
        <w:gridCol w:w="2050"/>
      </w:tblGrid>
      <w:tr w:rsidR="001B03C2">
        <w:trPr>
          <w:cantSplit/>
        </w:trPr>
        <w:tc>
          <w:tcPr>
            <w:tcW w:w="2830"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rPr>
            </w:pPr>
          </w:p>
        </w:tc>
        <w:tc>
          <w:tcPr>
            <w:tcW w:w="2323" w:type="dxa"/>
            <w:tcBorders>
              <w:top w:val="single" w:sz="2" w:space="0" w:color="000001"/>
              <w:left w:val="single" w:sz="2" w:space="0" w:color="000001"/>
              <w:bottom w:val="single" w:sz="2" w:space="0" w:color="000001"/>
              <w:right w:val="nil"/>
            </w:tcBorders>
            <w:shd w:val="clear" w:color="auto" w:fill="FFFF66"/>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Grupo S ( n=139)</w:t>
            </w:r>
          </w:p>
        </w:tc>
        <w:tc>
          <w:tcPr>
            <w:tcW w:w="2382" w:type="dxa"/>
            <w:tcBorders>
              <w:top w:val="single" w:sz="2" w:space="0" w:color="000001"/>
              <w:left w:val="single" w:sz="2" w:space="0" w:color="000001"/>
              <w:bottom w:val="single" w:sz="2" w:space="0" w:color="000001"/>
              <w:right w:val="nil"/>
            </w:tcBorders>
            <w:shd w:val="clear" w:color="auto" w:fill="FFFF66"/>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Grupo P ( n=139)</w:t>
            </w:r>
          </w:p>
        </w:tc>
        <w:tc>
          <w:tcPr>
            <w:tcW w:w="2050" w:type="dxa"/>
            <w:tcBorders>
              <w:top w:val="single" w:sz="2" w:space="0" w:color="000001"/>
              <w:left w:val="single" w:sz="2" w:space="0" w:color="000001"/>
              <w:bottom w:val="single" w:sz="2" w:space="0" w:color="000001"/>
              <w:right w:val="single" w:sz="2" w:space="0" w:color="000001"/>
            </w:tcBorders>
            <w:shd w:val="clear" w:color="auto" w:fill="FFFF66"/>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hAnsi="Times New Roman" w:cs="Arial"/>
                <w:color w:val="000000"/>
              </w:rPr>
              <w:t>Edad, años*</w:t>
            </w:r>
          </w:p>
        </w:tc>
        <w:tc>
          <w:tcPr>
            <w:tcW w:w="2323"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 xml:space="preserve">59.19 +/- </w:t>
            </w:r>
            <w:r>
              <w:rPr>
                <w:rFonts w:ascii="Times New Roman" w:hAnsi="Times New Roman" w:cs="Arial"/>
                <w:color w:val="000000"/>
              </w:rPr>
              <w:t>12.87</w:t>
            </w:r>
          </w:p>
        </w:tc>
        <w:tc>
          <w:tcPr>
            <w:tcW w:w="2382"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59.92 +/- 13.24</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0.640</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Peso, kg*</w:t>
            </w:r>
          </w:p>
        </w:tc>
        <w:tc>
          <w:tcPr>
            <w:tcW w:w="2323"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73.72 +/- 15.91</w:t>
            </w:r>
          </w:p>
        </w:tc>
        <w:tc>
          <w:tcPr>
            <w:tcW w:w="2382"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72.59 +/- 13.99</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0.530</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hAnsi="Times New Roman" w:cs="Arial"/>
                <w:color w:val="000000"/>
              </w:rPr>
              <w:t>Talla, cm*</w:t>
            </w:r>
          </w:p>
        </w:tc>
        <w:tc>
          <w:tcPr>
            <w:tcW w:w="2323"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164.88 +/- 9.74</w:t>
            </w:r>
          </w:p>
        </w:tc>
        <w:tc>
          <w:tcPr>
            <w:tcW w:w="2382"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165.14 +/- 7.96</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0.808</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hAnsi="Times New Roman" w:cs="Arial"/>
                <w:color w:val="000000"/>
              </w:rPr>
              <w:t>IMC*</w:t>
            </w:r>
          </w:p>
        </w:tc>
        <w:tc>
          <w:tcPr>
            <w:tcW w:w="2323"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26.73 +/- 5.07</w:t>
            </w:r>
          </w:p>
        </w:tc>
        <w:tc>
          <w:tcPr>
            <w:tcW w:w="2382"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25.94 +/- 4.35</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0.168</w:t>
            </w:r>
          </w:p>
        </w:tc>
      </w:tr>
      <w:tr w:rsidR="001B03C2">
        <w:trPr>
          <w:cantSplit/>
        </w:trPr>
        <w:tc>
          <w:tcPr>
            <w:tcW w:w="9585" w:type="dxa"/>
            <w:gridSpan w:val="4"/>
            <w:tcBorders>
              <w:top w:val="nil"/>
              <w:left w:val="single" w:sz="2" w:space="0" w:color="000001"/>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 xml:space="preserve">Sexo**                                                                                </w:t>
            </w:r>
            <w:r>
              <w:rPr>
                <w:rFonts w:ascii="Times New Roman" w:hAnsi="Times New Roman" w:cs="Arial"/>
                <w:color w:val="000000"/>
              </w:rPr>
              <w:t xml:space="preserve">                              0.718</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eastAsia="Arial" w:hAnsi="Times New Roman" w:cs="Arial"/>
                <w:color w:val="000000"/>
              </w:rPr>
              <w:t xml:space="preserve">    </w:t>
            </w:r>
            <w:r>
              <w:rPr>
                <w:rFonts w:ascii="Times New Roman" w:hAnsi="Times New Roman" w:cs="Arial"/>
                <w:color w:val="000000"/>
              </w:rPr>
              <w:t>Hombre</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63 (45.3%)</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66 (47.5%)</w:t>
            </w:r>
          </w:p>
        </w:tc>
        <w:tc>
          <w:tcPr>
            <w:tcW w:w="2050" w:type="dxa"/>
            <w:tcBorders>
              <w:top w:val="nil"/>
              <w:left w:val="nil"/>
              <w:bottom w:val="nil"/>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color w:val="000000"/>
              </w:rPr>
            </w:pP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Mujer</w:t>
            </w:r>
          </w:p>
        </w:tc>
        <w:tc>
          <w:tcPr>
            <w:tcW w:w="2323" w:type="dxa"/>
            <w:tcBorders>
              <w:top w:val="nil"/>
              <w:left w:val="nil"/>
              <w:bottom w:val="single" w:sz="2" w:space="0" w:color="000001"/>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76 (54.7%)</w:t>
            </w:r>
          </w:p>
        </w:tc>
        <w:tc>
          <w:tcPr>
            <w:tcW w:w="2382" w:type="dxa"/>
            <w:tcBorders>
              <w:top w:val="nil"/>
              <w:left w:val="nil"/>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73 (52.5%)</w:t>
            </w:r>
          </w:p>
        </w:tc>
        <w:tc>
          <w:tcPr>
            <w:tcW w:w="2050"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9585" w:type="dxa"/>
            <w:gridSpan w:val="4"/>
            <w:tcBorders>
              <w:top w:val="nil"/>
              <w:left w:val="single" w:sz="2" w:space="0" w:color="000001"/>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color w:val="000000"/>
              </w:rPr>
            </w:pPr>
            <w:r>
              <w:rPr>
                <w:rFonts w:ascii="Times New Roman" w:hAnsi="Times New Roman" w:cs="Arial"/>
              </w:rPr>
              <w:t xml:space="preserve">ASA**                                                                                                               </w:t>
            </w:r>
            <w:r>
              <w:rPr>
                <w:rFonts w:ascii="Times New Roman" w:hAnsi="Times New Roman" w:cs="Arial"/>
                <w:color w:val="000000"/>
              </w:rPr>
              <w:t>0.341</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I</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41 (29.5%)</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51 (36.7%)</w:t>
            </w:r>
          </w:p>
        </w:tc>
        <w:tc>
          <w:tcPr>
            <w:tcW w:w="2050" w:type="dxa"/>
            <w:tcBorders>
              <w:top w:val="nil"/>
              <w:left w:val="nil"/>
              <w:bottom w:val="nil"/>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rPr>
            </w:pP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II</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89 (64%)</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77 (55.4%)</w:t>
            </w:r>
          </w:p>
        </w:tc>
        <w:tc>
          <w:tcPr>
            <w:tcW w:w="2050" w:type="dxa"/>
            <w:tcBorders>
              <w:top w:val="nil"/>
              <w:left w:val="nil"/>
              <w:bottom w:val="nil"/>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color w:val="000000"/>
              </w:rPr>
            </w:pP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III</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9 (6.5%)</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11 (7.9%)</w:t>
            </w:r>
          </w:p>
        </w:tc>
        <w:tc>
          <w:tcPr>
            <w:tcW w:w="2050" w:type="dxa"/>
            <w:tcBorders>
              <w:top w:val="nil"/>
              <w:left w:val="nil"/>
              <w:bottom w:val="nil"/>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rPr>
            </w:pP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IV</w:t>
            </w:r>
          </w:p>
        </w:tc>
        <w:tc>
          <w:tcPr>
            <w:tcW w:w="2323"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w:t>
            </w:r>
          </w:p>
        </w:tc>
        <w:tc>
          <w:tcPr>
            <w:tcW w:w="2382"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w:t>
            </w:r>
          </w:p>
        </w:tc>
        <w:tc>
          <w:tcPr>
            <w:tcW w:w="2050" w:type="dxa"/>
            <w:tcBorders>
              <w:top w:val="nil"/>
              <w:left w:val="nil"/>
              <w:bottom w:val="single" w:sz="2" w:space="0" w:color="000001"/>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rPr>
            </w:pPr>
          </w:p>
        </w:tc>
      </w:tr>
      <w:tr w:rsidR="001B03C2">
        <w:trPr>
          <w:cantSplit/>
        </w:trPr>
        <w:tc>
          <w:tcPr>
            <w:tcW w:w="9585" w:type="dxa"/>
            <w:gridSpan w:val="4"/>
            <w:tcBorders>
              <w:top w:val="nil"/>
              <w:left w:val="single" w:sz="2" w:space="0" w:color="000001"/>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Comorbilidad**</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Tabaquismo</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33 (23.7%)</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27 (19.4%)</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0.382</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Alcohol</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11 (7.9%)</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8 (5.8%)</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0.476</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HTA</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56 (40.3%)</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51 (36.7%)</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0.538</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DM</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17 (12.2%)</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24 (17.3%)</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0.236</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Broncopatía</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10 (7.2%)</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16 (11.5%)</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0.216</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Cardiopatía</w:t>
            </w:r>
          </w:p>
        </w:tc>
        <w:tc>
          <w:tcPr>
            <w:tcW w:w="2323" w:type="dxa"/>
            <w:tcBorders>
              <w:top w:val="nil"/>
              <w:left w:val="nil"/>
              <w:bottom w:val="single" w:sz="2" w:space="0" w:color="000001"/>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15 (10.8%)</w:t>
            </w:r>
          </w:p>
        </w:tc>
        <w:tc>
          <w:tcPr>
            <w:tcW w:w="2382" w:type="dxa"/>
            <w:tcBorders>
              <w:top w:val="nil"/>
              <w:left w:val="nil"/>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27 (19.4%)</w:t>
            </w:r>
          </w:p>
        </w:tc>
        <w:tc>
          <w:tcPr>
            <w:tcW w:w="2050" w:type="dxa"/>
            <w:tcBorders>
              <w:top w:val="nil"/>
              <w:left w:val="nil"/>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b/>
                <w:bCs/>
                <w:color w:val="000000"/>
              </w:rPr>
            </w:pPr>
            <w:r>
              <w:rPr>
                <w:rFonts w:ascii="Times New Roman" w:hAnsi="Times New Roman" w:cs="Arial"/>
                <w:b/>
                <w:bCs/>
                <w:color w:val="000000"/>
              </w:rPr>
              <w:t>0.044</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lastRenderedPageBreak/>
              <w:t>Medicación**</w:t>
            </w:r>
          </w:p>
        </w:tc>
        <w:tc>
          <w:tcPr>
            <w:tcW w:w="2323" w:type="dxa"/>
            <w:tcBorders>
              <w:top w:val="nil"/>
              <w:left w:val="nil"/>
              <w:bottom w:val="nil"/>
              <w:right w:val="nil"/>
            </w:tcBorders>
            <w:shd w:val="clear" w:color="auto" w:fill="FFFFFF"/>
            <w:tcMar>
              <w:left w:w="56" w:type="dxa"/>
            </w:tcMar>
          </w:tcPr>
          <w:p w:rsidR="001B03C2" w:rsidRDefault="001B03C2">
            <w:pPr>
              <w:spacing w:line="480" w:lineRule="auto"/>
              <w:jc w:val="center"/>
              <w:rPr>
                <w:rFonts w:ascii="Times New Roman" w:hAnsi="Times New Roman" w:cs="Arial"/>
              </w:rPr>
            </w:pPr>
          </w:p>
        </w:tc>
        <w:tc>
          <w:tcPr>
            <w:tcW w:w="2382" w:type="dxa"/>
            <w:tcBorders>
              <w:top w:val="nil"/>
              <w:left w:val="nil"/>
              <w:bottom w:val="nil"/>
              <w:right w:val="nil"/>
            </w:tcBorders>
            <w:shd w:val="clear" w:color="auto" w:fill="FFFFFF"/>
            <w:tcMar>
              <w:left w:w="39" w:type="dxa"/>
            </w:tcMar>
          </w:tcPr>
          <w:p w:rsidR="001B03C2" w:rsidRDefault="001B03C2">
            <w:pPr>
              <w:spacing w:line="480" w:lineRule="auto"/>
              <w:jc w:val="center"/>
              <w:rPr>
                <w:rFonts w:ascii="Times New Roman" w:hAnsi="Times New Roman" w:cs="Arial"/>
              </w:rPr>
            </w:pPr>
          </w:p>
        </w:tc>
        <w:tc>
          <w:tcPr>
            <w:tcW w:w="2050" w:type="dxa"/>
            <w:tcBorders>
              <w:top w:val="nil"/>
              <w:left w:val="nil"/>
              <w:bottom w:val="nil"/>
              <w:right w:val="single" w:sz="2" w:space="0" w:color="000001"/>
            </w:tcBorders>
            <w:shd w:val="clear" w:color="auto" w:fill="FFFFFF"/>
            <w:tcMar>
              <w:left w:w="39" w:type="dxa"/>
            </w:tcMar>
          </w:tcPr>
          <w:p w:rsidR="001B03C2" w:rsidRDefault="001B03C2">
            <w:pPr>
              <w:spacing w:line="480" w:lineRule="auto"/>
              <w:jc w:val="center"/>
              <w:rPr>
                <w:rFonts w:ascii="Times New Roman" w:hAnsi="Times New Roman" w:cs="Arial"/>
              </w:rPr>
            </w:pP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eastAsia="Arial" w:hAnsi="Times New Roman" w:cs="Arial"/>
                <w:color w:val="000000"/>
              </w:rPr>
              <w:t xml:space="preserve">    </w:t>
            </w:r>
            <w:r>
              <w:rPr>
                <w:rFonts w:ascii="Times New Roman" w:hAnsi="Times New Roman" w:cs="Arial"/>
                <w:color w:val="000000"/>
              </w:rPr>
              <w:t>Ansiolíticos</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45 (32.4%)</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38 (27.3%)</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0.359</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Analg. mayores</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 (5%)</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2 (1.4%)</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0.173</w:t>
            </w:r>
          </w:p>
        </w:tc>
      </w:tr>
      <w:tr w:rsidR="001B03C2">
        <w:trPr>
          <w:cantSplit/>
        </w:trPr>
        <w:tc>
          <w:tcPr>
            <w:tcW w:w="2830" w:type="dxa"/>
            <w:tcBorders>
              <w:top w:val="nil"/>
              <w:left w:val="single" w:sz="2" w:space="0" w:color="000001"/>
              <w:bottom w:val="nil"/>
              <w:right w:val="nil"/>
            </w:tcBorders>
            <w:shd w:val="clear" w:color="auto" w:fill="FFFFFF"/>
            <w:tcMar>
              <w:left w:w="39" w:type="dxa"/>
            </w:tcMar>
          </w:tcPr>
          <w:p w:rsidR="001B03C2" w:rsidRDefault="009B166E">
            <w:pPr>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Antihipertensivos</w:t>
            </w:r>
          </w:p>
        </w:tc>
        <w:tc>
          <w:tcPr>
            <w:tcW w:w="2323" w:type="dxa"/>
            <w:tcBorders>
              <w:top w:val="nil"/>
              <w:left w:val="nil"/>
              <w:bottom w:val="nil"/>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54 (38.8%)</w:t>
            </w:r>
          </w:p>
        </w:tc>
        <w:tc>
          <w:tcPr>
            <w:tcW w:w="2382" w:type="dxa"/>
            <w:tcBorders>
              <w:top w:val="nil"/>
              <w:left w:val="nil"/>
              <w:bottom w:val="nil"/>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51 (36.7%)</w:t>
            </w:r>
          </w:p>
        </w:tc>
        <w:tc>
          <w:tcPr>
            <w:tcW w:w="2050" w:type="dxa"/>
            <w:tcBorders>
              <w:top w:val="nil"/>
              <w:left w:val="nil"/>
              <w:bottom w:val="nil"/>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0.711</w:t>
            </w:r>
          </w:p>
        </w:tc>
      </w:tr>
      <w:tr w:rsidR="001B03C2">
        <w:trPr>
          <w:cantSplit/>
        </w:trPr>
        <w:tc>
          <w:tcPr>
            <w:tcW w:w="2830"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both"/>
              <w:rPr>
                <w:rFonts w:ascii="Times New Roman" w:hAnsi="Times New Roman" w:cs="Arial"/>
              </w:rPr>
            </w:pPr>
            <w:r>
              <w:rPr>
                <w:rFonts w:ascii="Times New Roman" w:hAnsi="Times New Roman" w:cs="Arial"/>
              </w:rPr>
              <w:t>Broncodilatadores</w:t>
            </w:r>
          </w:p>
        </w:tc>
        <w:tc>
          <w:tcPr>
            <w:tcW w:w="2323" w:type="dxa"/>
            <w:tcBorders>
              <w:top w:val="nil"/>
              <w:left w:val="nil"/>
              <w:bottom w:val="single" w:sz="2" w:space="0" w:color="000001"/>
              <w:right w:val="nil"/>
            </w:tcBorders>
            <w:shd w:val="clear" w:color="auto" w:fill="FFFFFF"/>
            <w:tcMar>
              <w:left w:w="56"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5 (3.6%)</w:t>
            </w:r>
          </w:p>
        </w:tc>
        <w:tc>
          <w:tcPr>
            <w:tcW w:w="2382" w:type="dxa"/>
            <w:tcBorders>
              <w:top w:val="nil"/>
              <w:left w:val="nil"/>
              <w:bottom w:val="single" w:sz="2" w:space="0" w:color="000001"/>
              <w:right w:val="nil"/>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7 (5%)</w:t>
            </w:r>
          </w:p>
        </w:tc>
        <w:tc>
          <w:tcPr>
            <w:tcW w:w="2050" w:type="dxa"/>
            <w:tcBorders>
              <w:top w:val="nil"/>
              <w:left w:val="nil"/>
              <w:bottom w:val="single" w:sz="2" w:space="0" w:color="000001"/>
              <w:right w:val="single" w:sz="2" w:space="0" w:color="000001"/>
            </w:tcBorders>
            <w:shd w:val="clear" w:color="auto" w:fill="FFFFFF"/>
            <w:tcMar>
              <w:left w:w="39" w:type="dxa"/>
            </w:tcMar>
          </w:tcPr>
          <w:p w:rsidR="001B03C2" w:rsidRDefault="009B166E">
            <w:pPr>
              <w:spacing w:line="480" w:lineRule="auto"/>
              <w:jc w:val="center"/>
              <w:rPr>
                <w:rFonts w:ascii="Times New Roman" w:hAnsi="Times New Roman" w:cs="Arial"/>
                <w:color w:val="000000"/>
              </w:rPr>
            </w:pPr>
            <w:r>
              <w:rPr>
                <w:rFonts w:ascii="Times New Roman" w:hAnsi="Times New Roman" w:cs="Arial"/>
                <w:color w:val="000000"/>
              </w:rPr>
              <w:t>0.769</w:t>
            </w:r>
          </w:p>
        </w:tc>
      </w:tr>
    </w:tbl>
    <w:p w:rsidR="001B03C2" w:rsidRDefault="009B166E">
      <w:pPr>
        <w:spacing w:line="480" w:lineRule="auto"/>
        <w:jc w:val="both"/>
        <w:rPr>
          <w:rFonts w:ascii="Times New Roman" w:eastAsia="SimSun;宋体" w:hAnsi="Times New Roman" w:cs="Arial"/>
          <w:i/>
          <w:iCs/>
          <w:sz w:val="20"/>
          <w:szCs w:val="20"/>
        </w:rPr>
      </w:pPr>
      <w:r>
        <w:rPr>
          <w:rFonts w:ascii="Times New Roman" w:hAnsi="Times New Roman" w:cs="Arial"/>
          <w:i/>
          <w:iCs/>
          <w:sz w:val="20"/>
          <w:szCs w:val="20"/>
        </w:rPr>
        <w:t xml:space="preserve">Datos expresados en: * Media </w:t>
      </w:r>
      <w:r>
        <w:rPr>
          <w:rFonts w:ascii="Times New Roman" w:eastAsia="SimSun;宋体" w:hAnsi="Times New Roman" w:cs="Arial"/>
          <w:i/>
          <w:iCs/>
          <w:sz w:val="20"/>
          <w:szCs w:val="20"/>
        </w:rPr>
        <w:t>± DS y ** Número de pacientes con porcentaje entre paréntesis.</w:t>
      </w: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9.1.2.3 Comparabilidad inicial en cuanto a los factores que pueden afectar al umbral de dolor.</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Con objeto de completar el</w:t>
      </w:r>
      <w:r>
        <w:rPr>
          <w:rFonts w:ascii="Times New Roman" w:eastAsia="SimSun;宋体" w:hAnsi="Times New Roman" w:cs="Arial"/>
          <w:color w:val="000000"/>
        </w:rPr>
        <w:t xml:space="preserve"> análisis de las variables control, exponemos   aquellos factores que pueden afectar al umbral del dolor de los pacientes ( Tabla 3).</w:t>
      </w:r>
    </w:p>
    <w:p w:rsidR="001B03C2" w:rsidRDefault="009B166E">
      <w:pPr>
        <w:spacing w:line="480" w:lineRule="auto"/>
        <w:jc w:val="both"/>
        <w:rPr>
          <w:rFonts w:ascii="Times New Roman" w:hAnsi="Times New Roman" w:cs="Arial"/>
          <w:color w:val="000000"/>
        </w:rPr>
      </w:pPr>
      <w:r>
        <w:rPr>
          <w:rFonts w:ascii="Times New Roman" w:hAnsi="Times New Roman" w:cs="Arial"/>
          <w:color w:val="000000"/>
        </w:rPr>
        <w:t xml:space="preserve">No hubo diferencias en cuanto al número de pacientes que habían recibido sedación en alguna colonoscopia previa, ni en la </w:t>
      </w:r>
      <w:r>
        <w:rPr>
          <w:rFonts w:ascii="Times New Roman" w:hAnsi="Times New Roman" w:cs="Arial"/>
          <w:color w:val="000000"/>
        </w:rPr>
        <w:t>distribución del tipo de recuerdo de los pacientes con experiencia previa en colonoscopias. Tampoco  hubo diferencias en la distribución del tipo de indicación de colonoscopia (Figura 2), ni en los factores que pueden alterar el umbral de percepción del do</w:t>
      </w:r>
      <w:r>
        <w:rPr>
          <w:rFonts w:ascii="Times New Roman" w:hAnsi="Times New Roman" w:cs="Arial"/>
          <w:color w:val="000000"/>
        </w:rPr>
        <w:t>lor (Figura 3).</w:t>
      </w:r>
    </w:p>
    <w:p w:rsidR="001B03C2" w:rsidRDefault="001B03C2">
      <w:pPr>
        <w:spacing w:line="480" w:lineRule="auto"/>
        <w:jc w:val="both"/>
        <w:rPr>
          <w:rFonts w:ascii="Times New Roman" w:hAnsi="Times New Roman"/>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Tabla 3. Indicación de colonoscopia, antecedentes de exploración anterior y factores que pueden afectar al umbral de dolor.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2939"/>
        <w:gridCol w:w="2475"/>
        <w:gridCol w:w="2414"/>
        <w:gridCol w:w="1861"/>
      </w:tblGrid>
      <w:tr w:rsidR="001B03C2">
        <w:trPr>
          <w:cantSplit/>
        </w:trPr>
        <w:tc>
          <w:tcPr>
            <w:tcW w:w="2950"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rPr>
            </w:pPr>
          </w:p>
        </w:tc>
        <w:tc>
          <w:tcPr>
            <w:tcW w:w="2488"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S ( n=139)</w:t>
            </w:r>
          </w:p>
        </w:tc>
        <w:tc>
          <w:tcPr>
            <w:tcW w:w="2427"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P ( n=139)</w:t>
            </w:r>
          </w:p>
        </w:tc>
        <w:tc>
          <w:tcPr>
            <w:tcW w:w="1871"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Primera colonoscopia**</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93 ( 66.9)</w:t>
            </w:r>
          </w:p>
        </w:tc>
        <w:tc>
          <w:tcPr>
            <w:tcW w:w="242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74 ( 53.2)</w:t>
            </w:r>
          </w:p>
        </w:tc>
        <w:tc>
          <w:tcPr>
            <w:tcW w:w="1871"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b/>
                <w:bCs/>
              </w:rPr>
            </w:pPr>
            <w:r>
              <w:rPr>
                <w:rFonts w:ascii="Times New Roman" w:hAnsi="Times New Roman" w:cs="Arial"/>
                <w:b/>
                <w:bCs/>
              </w:rPr>
              <w:t>0.020</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Sedación Previa**</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n=46</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 65</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0.973</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Sí</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31 (67.4)</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44 ( 67.7)</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No</w:t>
            </w:r>
          </w:p>
        </w:tc>
        <w:tc>
          <w:tcPr>
            <w:tcW w:w="248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15 ( 32.6)</w:t>
            </w:r>
          </w:p>
        </w:tc>
        <w:tc>
          <w:tcPr>
            <w:tcW w:w="2427"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21 ( 32.3)</w:t>
            </w:r>
          </w:p>
        </w:tc>
        <w:tc>
          <w:tcPr>
            <w:tcW w:w="1871"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Recuerdo de la colonoscopia anterior**</w:t>
            </w:r>
          </w:p>
        </w:tc>
        <w:tc>
          <w:tcPr>
            <w:tcW w:w="2488" w:type="dxa"/>
            <w:tcBorders>
              <w:top w:val="nil"/>
              <w:left w:val="nil"/>
              <w:bottom w:val="nil"/>
              <w:right w:val="nil"/>
            </w:tcBorders>
            <w:shd w:val="clear" w:color="auto" w:fill="FFFFFF"/>
            <w:tcMar>
              <w:left w:w="56" w:type="dxa"/>
            </w:tcMar>
          </w:tcPr>
          <w:p w:rsidR="001B03C2" w:rsidRDefault="001B03C2">
            <w:pPr>
              <w:pStyle w:val="Contenidodelatabla"/>
              <w:spacing w:line="480" w:lineRule="auto"/>
              <w:jc w:val="both"/>
              <w:rPr>
                <w:rFonts w:ascii="Times New Roman" w:hAnsi="Times New Roman" w:cs="Arial"/>
              </w:rPr>
            </w:pPr>
          </w:p>
          <w:p w:rsidR="001B03C2" w:rsidRDefault="009B166E">
            <w:pPr>
              <w:pStyle w:val="Contenidodelatabla"/>
              <w:spacing w:line="480" w:lineRule="auto"/>
              <w:jc w:val="both"/>
              <w:rPr>
                <w:rFonts w:ascii="Times New Roman" w:hAnsi="Times New Roman" w:cs="Arial"/>
              </w:rPr>
            </w:pPr>
            <w:r>
              <w:rPr>
                <w:rFonts w:ascii="Times New Roman" w:hAnsi="Times New Roman" w:cs="Arial"/>
              </w:rPr>
              <w:t>n=46</w:t>
            </w:r>
          </w:p>
        </w:tc>
        <w:tc>
          <w:tcPr>
            <w:tcW w:w="2427" w:type="dxa"/>
            <w:tcBorders>
              <w:top w:val="nil"/>
              <w:left w:val="nil"/>
              <w:bottom w:val="nil"/>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p w:rsidR="001B03C2" w:rsidRDefault="009B166E">
            <w:pPr>
              <w:pStyle w:val="Contenidodelatabla"/>
              <w:spacing w:line="480" w:lineRule="auto"/>
              <w:jc w:val="both"/>
              <w:rPr>
                <w:rFonts w:ascii="Times New Roman" w:hAnsi="Times New Roman" w:cs="Arial"/>
              </w:rPr>
            </w:pPr>
            <w:r>
              <w:rPr>
                <w:rFonts w:ascii="Times New Roman" w:hAnsi="Times New Roman" w:cs="Arial"/>
              </w:rPr>
              <w:t>n=65</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0.885</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Bueno</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29 (63.0)</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43 ( 66.1)</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Regular ( molestias)</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11 (23.9)</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13 ( 20.1)</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 xml:space="preserve">Malo ( dolor </w:t>
            </w:r>
            <w:r>
              <w:rPr>
                <w:rFonts w:ascii="Times New Roman" w:hAnsi="Times New Roman" w:cs="Arial"/>
              </w:rPr>
              <w:t>intenso)</w:t>
            </w:r>
          </w:p>
        </w:tc>
        <w:tc>
          <w:tcPr>
            <w:tcW w:w="248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6 ( 13.1)</w:t>
            </w:r>
          </w:p>
        </w:tc>
        <w:tc>
          <w:tcPr>
            <w:tcW w:w="2427"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 ( 13,8)</w:t>
            </w:r>
          </w:p>
        </w:tc>
        <w:tc>
          <w:tcPr>
            <w:tcW w:w="1871"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Indicación actual**</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 139</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 139</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0.514</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Screening CCR</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45 ( 32.4)</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37 ( 26.6)</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lastRenderedPageBreak/>
              <w:t xml:space="preserve">    </w:t>
            </w:r>
            <w:r>
              <w:rPr>
                <w:rFonts w:ascii="Times New Roman" w:hAnsi="Times New Roman" w:cs="Arial"/>
              </w:rPr>
              <w:t>Control postquir.</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23 ( 16.5)</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28 ( 20.1)</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Médico</w:t>
            </w:r>
          </w:p>
        </w:tc>
        <w:tc>
          <w:tcPr>
            <w:tcW w:w="248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71 ( 51.1)</w:t>
            </w:r>
          </w:p>
        </w:tc>
        <w:tc>
          <w:tcPr>
            <w:tcW w:w="2427"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74 ( 53.3)</w:t>
            </w:r>
          </w:p>
        </w:tc>
        <w:tc>
          <w:tcPr>
            <w:tcW w:w="1871"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Factores que modifican el umbral de dolor**</w:t>
            </w:r>
          </w:p>
        </w:tc>
        <w:tc>
          <w:tcPr>
            <w:tcW w:w="2488" w:type="dxa"/>
            <w:tcBorders>
              <w:top w:val="nil"/>
              <w:left w:val="nil"/>
              <w:bottom w:val="nil"/>
              <w:right w:val="nil"/>
            </w:tcBorders>
            <w:shd w:val="clear" w:color="auto" w:fill="FFFFFF"/>
            <w:tcMar>
              <w:left w:w="56" w:type="dxa"/>
            </w:tcMar>
          </w:tcPr>
          <w:p w:rsidR="001B03C2" w:rsidRDefault="001B03C2">
            <w:pPr>
              <w:pStyle w:val="Contenidodelatabla"/>
              <w:spacing w:line="480" w:lineRule="auto"/>
              <w:jc w:val="both"/>
              <w:rPr>
                <w:rFonts w:ascii="Times New Roman" w:hAnsi="Times New Roman" w:cs="Arial"/>
              </w:rPr>
            </w:pPr>
          </w:p>
          <w:p w:rsidR="001B03C2" w:rsidRDefault="009B166E">
            <w:pPr>
              <w:pStyle w:val="Contenidodelatabla"/>
              <w:spacing w:line="480" w:lineRule="auto"/>
              <w:jc w:val="both"/>
              <w:rPr>
                <w:rFonts w:ascii="Times New Roman" w:hAnsi="Times New Roman" w:cs="Arial"/>
              </w:rPr>
            </w:pPr>
            <w:r>
              <w:rPr>
                <w:rFonts w:ascii="Times New Roman" w:hAnsi="Times New Roman" w:cs="Arial"/>
              </w:rPr>
              <w:t>n=139</w:t>
            </w:r>
          </w:p>
        </w:tc>
        <w:tc>
          <w:tcPr>
            <w:tcW w:w="2427" w:type="dxa"/>
            <w:tcBorders>
              <w:top w:val="nil"/>
              <w:left w:val="nil"/>
              <w:bottom w:val="nil"/>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p w:rsidR="001B03C2" w:rsidRDefault="009B166E">
            <w:pPr>
              <w:pStyle w:val="Contenidodelatabla"/>
              <w:spacing w:line="480" w:lineRule="auto"/>
              <w:jc w:val="both"/>
              <w:rPr>
                <w:rFonts w:ascii="Times New Roman" w:hAnsi="Times New Roman" w:cs="Arial"/>
              </w:rPr>
            </w:pPr>
            <w:r>
              <w:rPr>
                <w:rFonts w:ascii="Times New Roman" w:hAnsi="Times New Roman" w:cs="Arial"/>
              </w:rPr>
              <w:t>n= 139</w:t>
            </w:r>
          </w:p>
        </w:tc>
        <w:tc>
          <w:tcPr>
            <w:tcW w:w="1871"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Delgadez</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10 ( 7.2)</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 (6.5)</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0.812</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Cirugía previa</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69 ( 49.6)</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78 ( 56.1)</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0.280</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RT previa</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 ( 6.5)</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13 ( 9.4)</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0.374</w:t>
            </w:r>
          </w:p>
        </w:tc>
      </w:tr>
      <w:tr w:rsidR="001B03C2">
        <w:trPr>
          <w:cantSplit/>
        </w:trPr>
        <w:tc>
          <w:tcPr>
            <w:tcW w:w="295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Divertículos</w:t>
            </w:r>
          </w:p>
        </w:tc>
        <w:tc>
          <w:tcPr>
            <w:tcW w:w="248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 ( 2.9)</w:t>
            </w:r>
          </w:p>
        </w:tc>
        <w:tc>
          <w:tcPr>
            <w:tcW w:w="2427"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10 (7.2)</w:t>
            </w:r>
          </w:p>
        </w:tc>
        <w:tc>
          <w:tcPr>
            <w:tcW w:w="1871"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0.100</w:t>
            </w: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Colonoscopia previa dolorosa</w:t>
            </w:r>
          </w:p>
        </w:tc>
        <w:tc>
          <w:tcPr>
            <w:tcW w:w="248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11 (8)</w:t>
            </w:r>
          </w:p>
        </w:tc>
        <w:tc>
          <w:tcPr>
            <w:tcW w:w="2427"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 ( 8.6)</w:t>
            </w:r>
          </w:p>
        </w:tc>
        <w:tc>
          <w:tcPr>
            <w:tcW w:w="1871" w:type="dxa"/>
            <w:tcBorders>
              <w:top w:val="nil"/>
              <w:left w:val="nil"/>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0.828</w:t>
            </w: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Ansiedad-estado*</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23.13 +/- 5.76</w:t>
            </w:r>
          </w:p>
        </w:tc>
        <w:tc>
          <w:tcPr>
            <w:tcW w:w="242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23.23 +/- 6.37</w:t>
            </w:r>
          </w:p>
        </w:tc>
        <w:tc>
          <w:tcPr>
            <w:tcW w:w="1871"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0.890</w:t>
            </w:r>
          </w:p>
        </w:tc>
      </w:tr>
      <w:tr w:rsidR="001B03C2">
        <w:trPr>
          <w:cantSplit/>
        </w:trPr>
        <w:tc>
          <w:tcPr>
            <w:tcW w:w="295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Ansiedad-rasgo*</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27.22 +/- 5.93</w:t>
            </w:r>
          </w:p>
        </w:tc>
        <w:tc>
          <w:tcPr>
            <w:tcW w:w="242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27.70 +/- 6.52</w:t>
            </w:r>
          </w:p>
        </w:tc>
        <w:tc>
          <w:tcPr>
            <w:tcW w:w="1871"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0.531</w:t>
            </w:r>
          </w:p>
        </w:tc>
      </w:tr>
    </w:tbl>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Datos expresados en: * Media ± desviación estándard y ** Número de pacientes con porcentaje entre paréntesis.</w:t>
      </w:r>
    </w:p>
    <w:p w:rsidR="001B03C2" w:rsidRDefault="009B166E">
      <w:pPr>
        <w:spacing w:line="480" w:lineRule="auto"/>
        <w:jc w:val="both"/>
        <w:rPr>
          <w:rFonts w:ascii="Times New Roman" w:hAnsi="Times New Roman" w:cs="Arial"/>
          <w:i/>
          <w:iCs/>
          <w:color w:val="000000"/>
          <w:sz w:val="20"/>
          <w:szCs w:val="20"/>
        </w:rPr>
      </w:pPr>
      <w:r>
        <w:rPr>
          <w:noProof/>
          <w:lang w:eastAsia="es-ES" w:bidi="ar-SA"/>
        </w:rPr>
        <w:drawing>
          <wp:inline distT="0" distB="0" distL="0" distR="0">
            <wp:extent cx="5748020" cy="3227705"/>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eastAsia="Arial" w:hAnsi="Times New Roman" w:cs="Arial"/>
          <w:color w:val="000000"/>
        </w:rPr>
        <w:t xml:space="preserve">      </w:t>
      </w:r>
      <w:r>
        <w:rPr>
          <w:rFonts w:ascii="Times New Roman" w:hAnsi="Times New Roman" w:cs="Arial"/>
          <w:i/>
          <w:iCs/>
          <w:color w:val="000000"/>
          <w:sz w:val="20"/>
          <w:szCs w:val="20"/>
        </w:rPr>
        <w:lastRenderedPageBreak/>
        <w:t>Fig. 2 Indicación de la colonoscopia en ambos grupos.</w:t>
      </w:r>
    </w:p>
    <w:p w:rsidR="001B03C2" w:rsidRDefault="009B166E">
      <w:pPr>
        <w:spacing w:line="480" w:lineRule="auto"/>
        <w:jc w:val="both"/>
        <w:rPr>
          <w:rFonts w:hint="eastAsia"/>
        </w:rPr>
      </w:pPr>
      <w:r>
        <w:rPr>
          <w:noProof/>
          <w:lang w:eastAsia="es-ES" w:bidi="ar-SA"/>
        </w:rPr>
        <w:drawing>
          <wp:inline distT="0" distB="0" distL="0" distR="0">
            <wp:extent cx="5748020" cy="3227705"/>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Fig. 3 </w:t>
      </w:r>
      <w:r>
        <w:rPr>
          <w:rFonts w:ascii="Times New Roman" w:eastAsia="SimSun;宋体" w:hAnsi="Times New Roman" w:cs="Arial"/>
          <w:i/>
          <w:iCs/>
          <w:color w:val="000000"/>
          <w:sz w:val="20"/>
          <w:szCs w:val="20"/>
        </w:rPr>
        <w:t>Factores que afectan al umbral del dolor en ambos grupos.</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9.1.2.4 Dosificación de los fármacos empleados en cada grupo.</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 xml:space="preserve">La tabla 5 muestra las dosis de fármacos empleados en cada grupo. </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Tabla 5. Dosis de fármacos empleados en cada grupo. </w:t>
      </w:r>
    </w:p>
    <w:tbl>
      <w:tblPr>
        <w:tblW w:w="0" w:type="auto"/>
        <w:tblInd w:w="43" w:type="dxa"/>
        <w:tblBorders>
          <w:top w:val="single" w:sz="2" w:space="0" w:color="000001"/>
          <w:left w:val="single" w:sz="2" w:space="0" w:color="000001"/>
          <w:bottom w:val="nil"/>
          <w:right w:val="nil"/>
          <w:insideH w:val="nil"/>
          <w:insideV w:val="nil"/>
        </w:tblBorders>
        <w:tblCellMar>
          <w:top w:w="55" w:type="dxa"/>
          <w:left w:w="39" w:type="dxa"/>
          <w:bottom w:w="55" w:type="dxa"/>
          <w:right w:w="55" w:type="dxa"/>
        </w:tblCellMar>
        <w:tblLook w:val="0000"/>
      </w:tblPr>
      <w:tblGrid>
        <w:gridCol w:w="4790"/>
        <w:gridCol w:w="4899"/>
      </w:tblGrid>
      <w:tr w:rsidR="001B03C2">
        <w:trPr>
          <w:cantSplit/>
        </w:trPr>
        <w:tc>
          <w:tcPr>
            <w:tcW w:w="4814" w:type="dxa"/>
            <w:tcBorders>
              <w:top w:val="single" w:sz="2" w:space="0" w:color="000001"/>
              <w:left w:val="single" w:sz="2" w:space="0" w:color="000001"/>
              <w:bottom w:val="nil"/>
              <w:right w:val="nil"/>
            </w:tcBorders>
            <w:shd w:val="clear" w:color="auto" w:fill="FFFF99"/>
            <w:tcMar>
              <w:left w:w="39" w:type="dxa"/>
            </w:tcMar>
          </w:tcPr>
          <w:p w:rsidR="001B03C2" w:rsidRDefault="009B166E">
            <w:pPr>
              <w:pStyle w:val="Contenidodelatabla"/>
              <w:shd w:val="clear" w:color="auto" w:fill="FFFF99"/>
              <w:spacing w:line="480" w:lineRule="auto"/>
              <w:jc w:val="both"/>
              <w:rPr>
                <w:rFonts w:ascii="Times New Roman" w:hAnsi="Times New Roman" w:cs="Arial"/>
                <w:b/>
                <w:bCs/>
              </w:rPr>
            </w:pPr>
            <w:r>
              <w:rPr>
                <w:rFonts w:ascii="Times New Roman" w:hAnsi="Times New Roman" w:cs="Arial"/>
                <w:b/>
                <w:bCs/>
              </w:rPr>
              <w:t>Grupo S</w:t>
            </w:r>
          </w:p>
        </w:tc>
        <w:tc>
          <w:tcPr>
            <w:tcW w:w="4928" w:type="dxa"/>
            <w:tcBorders>
              <w:top w:val="single" w:sz="2" w:space="0" w:color="000001"/>
              <w:left w:val="nil"/>
              <w:bottom w:val="nil"/>
              <w:right w:val="single" w:sz="2" w:space="0" w:color="000001"/>
            </w:tcBorders>
            <w:shd w:val="clear" w:color="auto" w:fill="FFFF99"/>
            <w:tcMar>
              <w:left w:w="56"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4814" w:type="dxa"/>
            <w:tcBorders>
              <w:top w:val="nil"/>
              <w:left w:val="single" w:sz="2" w:space="0" w:color="000001"/>
              <w:bottom w:val="nil"/>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Concentración Sevoflurano &lt; 2%</w:t>
            </w:r>
          </w:p>
        </w:tc>
        <w:tc>
          <w:tcPr>
            <w:tcW w:w="4928" w:type="dxa"/>
            <w:tcBorders>
              <w:top w:val="nil"/>
              <w:left w:val="nil"/>
              <w:bottom w:val="nil"/>
              <w:right w:val="single" w:sz="2" w:space="0" w:color="000001"/>
            </w:tcBorders>
            <w:shd w:val="clear" w:color="auto" w:fill="FFFF99"/>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36 ( 25.9)</w:t>
            </w:r>
          </w:p>
        </w:tc>
      </w:tr>
      <w:tr w:rsidR="001B03C2">
        <w:trPr>
          <w:cantSplit/>
        </w:trPr>
        <w:tc>
          <w:tcPr>
            <w:tcW w:w="4814" w:type="dxa"/>
            <w:tcBorders>
              <w:top w:val="nil"/>
              <w:left w:val="single" w:sz="2" w:space="0" w:color="000001"/>
              <w:bottom w:val="nil"/>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Concentración Sevoflurano 2 - 4%</w:t>
            </w:r>
          </w:p>
        </w:tc>
        <w:tc>
          <w:tcPr>
            <w:tcW w:w="4928" w:type="dxa"/>
            <w:tcBorders>
              <w:top w:val="nil"/>
              <w:left w:val="nil"/>
              <w:bottom w:val="nil"/>
              <w:right w:val="single" w:sz="2" w:space="0" w:color="000001"/>
            </w:tcBorders>
            <w:shd w:val="clear" w:color="auto" w:fill="FFFF99"/>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61 ( 43.9)</w:t>
            </w:r>
          </w:p>
        </w:tc>
      </w:tr>
      <w:tr w:rsidR="001B03C2">
        <w:trPr>
          <w:cantSplit/>
        </w:trPr>
        <w:tc>
          <w:tcPr>
            <w:tcW w:w="4814" w:type="dxa"/>
            <w:tcBorders>
              <w:top w:val="nil"/>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lastRenderedPageBreak/>
              <w:t xml:space="preserve">    </w:t>
            </w:r>
            <w:r>
              <w:rPr>
                <w:rFonts w:ascii="Times New Roman" w:hAnsi="Times New Roman" w:cs="Arial"/>
              </w:rPr>
              <w:t>Concentración Sevoflurano &gt; 4%</w:t>
            </w:r>
          </w:p>
        </w:tc>
        <w:tc>
          <w:tcPr>
            <w:tcW w:w="4928" w:type="dxa"/>
            <w:tcBorders>
              <w:top w:val="nil"/>
              <w:left w:val="nil"/>
              <w:bottom w:val="single" w:sz="2" w:space="0" w:color="000001"/>
              <w:right w:val="single" w:sz="2" w:space="0" w:color="000001"/>
            </w:tcBorders>
            <w:shd w:val="clear" w:color="auto" w:fill="FFFF99"/>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42 ( 30.2)</w:t>
            </w:r>
          </w:p>
        </w:tc>
      </w:tr>
      <w:tr w:rsidR="001B03C2">
        <w:trPr>
          <w:cantSplit/>
        </w:trPr>
        <w:tc>
          <w:tcPr>
            <w:tcW w:w="4814"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b/>
                <w:bCs/>
              </w:rPr>
            </w:pPr>
            <w:r>
              <w:rPr>
                <w:rFonts w:ascii="Times New Roman" w:hAnsi="Times New Roman" w:cs="Arial"/>
                <w:b/>
                <w:bCs/>
              </w:rPr>
              <w:t>Grupo P</w:t>
            </w:r>
          </w:p>
        </w:tc>
        <w:tc>
          <w:tcPr>
            <w:tcW w:w="4928" w:type="dxa"/>
            <w:tcBorders>
              <w:top w:val="nil"/>
              <w:left w:val="nil"/>
              <w:bottom w:val="nil"/>
              <w:right w:val="single" w:sz="2" w:space="0" w:color="000001"/>
            </w:tcBorders>
            <w:shd w:val="clear" w:color="auto" w:fill="FFFFFF"/>
            <w:tcMar>
              <w:left w:w="56"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4814"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Propofol (mg)</w:t>
            </w:r>
          </w:p>
        </w:tc>
        <w:tc>
          <w:tcPr>
            <w:tcW w:w="4928" w:type="dxa"/>
            <w:tcBorders>
              <w:top w:val="nil"/>
              <w:left w:val="nil"/>
              <w:bottom w:val="nil"/>
              <w:right w:val="single" w:sz="2" w:space="0" w:color="000001"/>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79.89 +/- 43.732</w:t>
            </w:r>
          </w:p>
        </w:tc>
      </w:tr>
      <w:tr w:rsidR="001B03C2">
        <w:trPr>
          <w:cantSplit/>
        </w:trPr>
        <w:tc>
          <w:tcPr>
            <w:tcW w:w="4814"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Remifentanilo ( mcg)</w:t>
            </w:r>
          </w:p>
        </w:tc>
        <w:tc>
          <w:tcPr>
            <w:tcW w:w="4928" w:type="dxa"/>
            <w:tcBorders>
              <w:top w:val="nil"/>
              <w:left w:val="nil"/>
              <w:bottom w:val="single" w:sz="2" w:space="0" w:color="000001"/>
              <w:right w:val="single" w:sz="2" w:space="0" w:color="000001"/>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26.44 +/- 13.952</w:t>
            </w:r>
          </w:p>
        </w:tc>
      </w:tr>
    </w:tbl>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Datos expresados como </w:t>
      </w:r>
      <w:r>
        <w:rPr>
          <w:rFonts w:ascii="Times New Roman" w:eastAsia="SimSun;宋体" w:hAnsi="Times New Roman" w:cs="Arial"/>
          <w:i/>
          <w:iCs/>
          <w:color w:val="000000"/>
          <w:sz w:val="20"/>
          <w:szCs w:val="20"/>
        </w:rPr>
        <w:t>número de pacientes a los que se les administró esa dosis y porcentaje entre paréntesis en el Grupo S, y como dosis media en mg  ( propofol) o mcg ( remifentanilo) +/-DS en el Grupo P.</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b/>
          <w:bCs/>
          <w:color w:val="000000"/>
        </w:rPr>
      </w:pPr>
    </w:p>
    <w:p w:rsidR="001B03C2" w:rsidRDefault="001B03C2">
      <w:pPr>
        <w:spacing w:line="480" w:lineRule="auto"/>
        <w:jc w:val="both"/>
        <w:rPr>
          <w:rFonts w:ascii="Times New Roman" w:eastAsia="SimSun;宋体" w:hAnsi="Times New Roman" w:cs="Arial"/>
          <w:b/>
          <w:bCs/>
          <w:color w:val="000000"/>
        </w:rPr>
      </w:pPr>
    </w:p>
    <w:p w:rsidR="001B03C2" w:rsidRDefault="001B03C2">
      <w:pPr>
        <w:spacing w:line="480" w:lineRule="auto"/>
        <w:jc w:val="both"/>
        <w:rPr>
          <w:rFonts w:ascii="Times New Roman" w:eastAsia="SimSun;宋体" w:hAnsi="Times New Roman" w:cs="Arial"/>
          <w:b/>
          <w:bCs/>
          <w:color w:val="000000"/>
        </w:rPr>
      </w:pPr>
    </w:p>
    <w:p w:rsidR="001B03C2" w:rsidRDefault="001B03C2">
      <w:pPr>
        <w:spacing w:line="480" w:lineRule="auto"/>
        <w:jc w:val="both"/>
        <w:rPr>
          <w:rFonts w:ascii="Times New Roman" w:eastAsia="SimSun;宋体" w:hAnsi="Times New Roman" w:cs="Arial"/>
          <w:b/>
          <w:bCs/>
          <w:color w:val="000000"/>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9.2 EFECTIVIDAD DE LOS TIPOS DE SEDACIÓN.</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 xml:space="preserve">El objetivo principal del estudio fue comparar la efectividad de ambas técnicas anestésicas, determinada por la calidad de la sedación evaluada por el endoscopista empleando la escala visual analógica (EVA). </w:t>
      </w:r>
      <w:r>
        <w:rPr>
          <w:rFonts w:ascii="Times New Roman" w:eastAsia="SimSun;宋体" w:hAnsi="Times New Roman" w:cs="Arial"/>
          <w:color w:val="000000"/>
        </w:rPr>
        <w:t xml:space="preserve"> No se encontraron diferencias estadísticamente </w:t>
      </w:r>
      <w:r>
        <w:rPr>
          <w:rFonts w:ascii="Times New Roman" w:eastAsia="SimSun;宋体" w:hAnsi="Times New Roman" w:cs="Arial"/>
          <w:color w:val="000000"/>
        </w:rPr>
        <w:t xml:space="preserve">significativas ya que la </w:t>
      </w:r>
      <w:r>
        <w:rPr>
          <w:rFonts w:ascii="Times New Roman" w:eastAsia="SimSun;宋体" w:hAnsi="Times New Roman" w:cs="Arial"/>
          <w:color w:val="000000"/>
        </w:rPr>
        <w:lastRenderedPageBreak/>
        <w:t xml:space="preserve">puntuación dada  por el endoscopista a la sedación a través de la EVA fue similar para ambas técnicas. En el grupo S la valoración fue de 95.40 (+/- 7.92), frente al grupo P, que  fue de 95.27 (+/- 7.91), </w:t>
      </w:r>
      <w:r>
        <w:rPr>
          <w:rFonts w:ascii="Times New Roman" w:eastAsia="SimSun;宋体" w:hAnsi="Times New Roman" w:cs="Arial"/>
          <w:color w:val="000000"/>
          <w:shd w:val="clear" w:color="auto" w:fill="FFFFFF"/>
        </w:rPr>
        <w:t>(U de Mann-Whitney= 9879.5</w:t>
      </w:r>
      <w:r>
        <w:rPr>
          <w:rFonts w:ascii="Times New Roman" w:eastAsia="SimSun;宋体" w:hAnsi="Times New Roman" w:cs="Arial"/>
          <w:color w:val="000000"/>
          <w:shd w:val="clear" w:color="auto" w:fill="FFFFFF"/>
        </w:rPr>
        <w:t>; p=0.733)</w:t>
      </w:r>
      <w:r>
        <w:rPr>
          <w:rFonts w:ascii="Times New Roman" w:eastAsia="SimSun;宋体" w:hAnsi="Times New Roman" w:cs="Arial"/>
          <w:color w:val="000000"/>
        </w:rPr>
        <w:t>. La figura 5 muestra la diferencia en el resultado  obtenido en esta variable.</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3209"/>
        <w:gridCol w:w="3208"/>
        <w:gridCol w:w="3222"/>
      </w:tblGrid>
      <w:tr w:rsidR="001B03C2">
        <w:trPr>
          <w:cantSplit/>
        </w:trPr>
        <w:tc>
          <w:tcPr>
            <w:tcW w:w="3209"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b/>
                <w:bCs/>
                <w:color w:val="FF3333"/>
                <w:shd w:val="clear" w:color="auto" w:fill="FFFF99"/>
              </w:rPr>
            </w:pPr>
            <w:r>
              <w:rPr>
                <w:rFonts w:ascii="Times New Roman" w:hAnsi="Times New Roman"/>
                <w:b/>
                <w:bCs/>
                <w:color w:val="FF3333"/>
                <w:shd w:val="clear" w:color="auto" w:fill="FFFF99"/>
              </w:rPr>
              <w:t>EVA endoscopista</w:t>
            </w:r>
          </w:p>
        </w:tc>
        <w:tc>
          <w:tcPr>
            <w:tcW w:w="3208"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b/>
                <w:bCs/>
                <w:color w:val="FF3333"/>
                <w:shd w:val="clear" w:color="auto" w:fill="FFFF99"/>
              </w:rPr>
            </w:pPr>
            <w:r>
              <w:rPr>
                <w:rFonts w:ascii="Times New Roman" w:hAnsi="Times New Roman"/>
                <w:b/>
                <w:bCs/>
                <w:color w:val="FF3333"/>
                <w:shd w:val="clear" w:color="auto" w:fill="FFFF99"/>
              </w:rPr>
              <w:t>Grupo S</w:t>
            </w:r>
          </w:p>
        </w:tc>
        <w:tc>
          <w:tcPr>
            <w:tcW w:w="3222"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center"/>
              <w:rPr>
                <w:rFonts w:ascii="Times New Roman" w:hAnsi="Times New Roman"/>
                <w:b/>
                <w:bCs/>
                <w:color w:val="FF3333"/>
                <w:shd w:val="clear" w:color="auto" w:fill="FFFF99"/>
              </w:rPr>
            </w:pPr>
            <w:r>
              <w:rPr>
                <w:rFonts w:ascii="Times New Roman" w:hAnsi="Times New Roman"/>
                <w:b/>
                <w:bCs/>
                <w:color w:val="FF3333"/>
                <w:shd w:val="clear" w:color="auto" w:fill="FFFF99"/>
              </w:rPr>
              <w:t>Grupo P</w:t>
            </w:r>
          </w:p>
        </w:tc>
      </w:tr>
      <w:tr w:rsidR="001B03C2">
        <w:trPr>
          <w:cantSplit/>
        </w:trPr>
        <w:tc>
          <w:tcPr>
            <w:tcW w:w="3209"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w:t>
            </w:r>
          </w:p>
        </w:tc>
        <w:tc>
          <w:tcPr>
            <w:tcW w:w="3208" w:type="dxa"/>
            <w:tcBorders>
              <w:top w:val="single" w:sz="2" w:space="0" w:color="000001"/>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95.4</w:t>
            </w:r>
          </w:p>
        </w:tc>
        <w:tc>
          <w:tcPr>
            <w:tcW w:w="3222"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95.27</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IC 95% para la media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94.08 - 96.73</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93.94 - 96.59</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EEM</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0.669</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0.669</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 recortada 5%</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96.65</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96.49</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Mediana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98</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Varianza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62.228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62.168</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Desviación estándard</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7.888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7.885</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Mínimo</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58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50</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Máximo</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100</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100</w:t>
            </w:r>
          </w:p>
        </w:tc>
      </w:tr>
      <w:tr w:rsidR="001B03C2">
        <w:trPr>
          <w:cantSplit/>
        </w:trPr>
        <w:tc>
          <w:tcPr>
            <w:tcW w:w="3209"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Rango</w:t>
            </w:r>
          </w:p>
        </w:tc>
        <w:tc>
          <w:tcPr>
            <w:tcW w:w="320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42</w:t>
            </w:r>
          </w:p>
        </w:tc>
        <w:tc>
          <w:tcPr>
            <w:tcW w:w="3222" w:type="dxa"/>
            <w:tcBorders>
              <w:top w:val="nil"/>
              <w:left w:val="nil"/>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50</w:t>
            </w:r>
          </w:p>
        </w:tc>
      </w:tr>
    </w:tbl>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color w:val="000000"/>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rPr>
      </w:pPr>
      <w:r>
        <w:rPr>
          <w:rFonts w:ascii="Times New Roman" w:hAnsi="Times New Roman" w:cs="Arial"/>
        </w:rPr>
        <w:t>.</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9B166E">
      <w:pPr>
        <w:spacing w:line="480" w:lineRule="auto"/>
        <w:jc w:val="both"/>
        <w:rPr>
          <w:rFonts w:ascii="Times New Roman" w:hAnsi="Times New Roman"/>
        </w:rPr>
      </w:pPr>
      <w:r>
        <w:rPr>
          <w:rFonts w:ascii="Times New Roman" w:hAnsi="Times New Roman"/>
          <w:noProof/>
          <w:lang w:eastAsia="es-ES" w:bidi="ar-SA"/>
        </w:rPr>
        <w:drawing>
          <wp:inline distT="0" distB="0" distL="0" distR="0">
            <wp:extent cx="5127625" cy="3717290"/>
            <wp:effectExtent l="0" t="0" r="0"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2"/>
                    <a:stretch>
                      <a:fillRect/>
                    </a:stretch>
                  </pic:blipFill>
                  <pic:spPr bwMode="auto">
                    <a:xfrm>
                      <a:off x="0" y="0"/>
                      <a:ext cx="5127625" cy="3717290"/>
                    </a:xfrm>
                    <a:prstGeom prst="rect">
                      <a:avLst/>
                    </a:prstGeom>
                    <a:noFill/>
                    <a:ln w="9525">
                      <a:noFill/>
                      <a:miter lim="800000"/>
                      <a:headEnd/>
                      <a:tailEnd/>
                    </a:ln>
                  </pic:spPr>
                </pic:pic>
              </a:graphicData>
            </a:graphic>
          </wp:inline>
        </w:drawing>
      </w: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Fig. 5. Diagrama de cajas para ilustrar la EVA endoscopista en ambos grupos.</w:t>
      </w: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9.3 FINALIZACIÓN DE LA EXPLORACIÓN Y TIEMPO EMPLEADO.</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 xml:space="preserve">No se encontraron diferencias significativas entre los grupos de estudio en relación al tiempo empleado en alcanzar la válvula ileo-cecal y al tiempo total en completar la colonoscopia (Tabla 9). </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Ambas mediciones resultaron discretamente superiores para e</w:t>
      </w:r>
      <w:r>
        <w:rPr>
          <w:rFonts w:ascii="Times New Roman" w:eastAsia="SimSun;宋体" w:hAnsi="Times New Roman" w:cs="Arial"/>
          <w:color w:val="000000"/>
        </w:rPr>
        <w:t xml:space="preserve">l grupo S </w:t>
      </w:r>
      <w:r>
        <w:rPr>
          <w:rFonts w:ascii="Times New Roman" w:eastAsia="SimSun;宋体" w:hAnsi="Times New Roman" w:cs="Arial"/>
          <w:color w:val="000000"/>
          <w:shd w:val="clear" w:color="auto" w:fill="FFFFFF"/>
        </w:rPr>
        <w:t>( Tiempo hasta ciego = 7.58 +/- 4.57 minutos; Tiempo total= 15.48+/-7.13 minutos) frente al Grupo P (Tiempo hasta ciego= 7.38 +/- 4.09 minutos; Tiempo total= 15.26+/- 8.19 minutos)</w:t>
      </w:r>
      <w:r>
        <w:rPr>
          <w:rFonts w:ascii="Times New Roman" w:eastAsia="SimSun;宋体" w:hAnsi="Times New Roman" w:cs="Arial"/>
          <w:color w:val="000000"/>
        </w:rPr>
        <w:t xml:space="preserve">, </w:t>
      </w:r>
      <w:r>
        <w:rPr>
          <w:rFonts w:ascii="Times New Roman" w:eastAsia="SimSun;宋体" w:hAnsi="Times New Roman" w:cs="Arial"/>
          <w:color w:val="000000"/>
          <w:shd w:val="clear" w:color="auto" w:fill="FFFFFF"/>
        </w:rPr>
        <w:t>( test U de Mann-Whitney</w:t>
      </w:r>
      <w:r>
        <w:rPr>
          <w:rFonts w:ascii="Times New Roman" w:eastAsia="SimSun;宋体" w:hAnsi="Times New Roman" w:cs="Arial"/>
          <w:color w:val="000000"/>
          <w:shd w:val="clear" w:color="auto" w:fill="FFFFFF"/>
          <w:vertAlign w:val="subscript"/>
        </w:rPr>
        <w:t>Tciego</w:t>
      </w:r>
      <w:r>
        <w:rPr>
          <w:rFonts w:ascii="Times New Roman" w:eastAsia="SimSun;宋体" w:hAnsi="Times New Roman" w:cs="Arial"/>
          <w:color w:val="000000"/>
          <w:shd w:val="clear" w:color="auto" w:fill="FFFFFF"/>
        </w:rPr>
        <w:t>= 7816.5; p</w:t>
      </w:r>
      <w:r>
        <w:rPr>
          <w:rFonts w:ascii="Times New Roman" w:eastAsia="SimSun;宋体" w:hAnsi="Times New Roman" w:cs="Arial"/>
          <w:color w:val="000000"/>
          <w:shd w:val="clear" w:color="auto" w:fill="FFFFFF"/>
          <w:vertAlign w:val="subscript"/>
        </w:rPr>
        <w:t>Tciego</w:t>
      </w:r>
      <w:r>
        <w:rPr>
          <w:rFonts w:ascii="Times New Roman" w:eastAsia="SimSun;宋体" w:hAnsi="Times New Roman" w:cs="Arial"/>
          <w:color w:val="000000"/>
          <w:shd w:val="clear" w:color="auto" w:fill="FFFFFF"/>
        </w:rPr>
        <w:t>= 0.249  y test U</w:t>
      </w:r>
      <w:r>
        <w:rPr>
          <w:rFonts w:ascii="Times New Roman" w:eastAsia="SimSun;宋体" w:hAnsi="Times New Roman" w:cs="Arial"/>
          <w:color w:val="000000"/>
          <w:shd w:val="clear" w:color="auto" w:fill="FFFFFF"/>
        </w:rPr>
        <w:t xml:space="preserve"> de Mann-Whitney</w:t>
      </w:r>
      <w:r>
        <w:rPr>
          <w:rFonts w:ascii="Times New Roman" w:eastAsia="SimSun;宋体" w:hAnsi="Times New Roman" w:cs="Arial"/>
          <w:color w:val="000000"/>
          <w:shd w:val="clear" w:color="auto" w:fill="FFFFFF"/>
          <w:vertAlign w:val="subscript"/>
        </w:rPr>
        <w:t>Ttotal</w:t>
      </w:r>
      <w:r>
        <w:rPr>
          <w:rFonts w:ascii="Times New Roman" w:eastAsia="SimSun;宋体" w:hAnsi="Times New Roman" w:cs="Arial"/>
          <w:color w:val="000000"/>
          <w:shd w:val="clear" w:color="auto" w:fill="FFFFFF"/>
        </w:rPr>
        <w:t xml:space="preserve"> = 8607; p</w:t>
      </w:r>
      <w:r>
        <w:rPr>
          <w:rFonts w:ascii="Times New Roman" w:eastAsia="SimSun;宋体" w:hAnsi="Times New Roman" w:cs="Arial"/>
          <w:color w:val="000000"/>
          <w:shd w:val="clear" w:color="auto" w:fill="FFFFFF"/>
          <w:vertAlign w:val="subscript"/>
        </w:rPr>
        <w:t>Ttotal</w:t>
      </w:r>
      <w:r>
        <w:rPr>
          <w:rFonts w:ascii="Times New Roman" w:eastAsia="SimSun;宋体" w:hAnsi="Times New Roman" w:cs="Arial"/>
          <w:color w:val="000000"/>
          <w:shd w:val="clear" w:color="auto" w:fill="FFFFFF"/>
        </w:rPr>
        <w:t>= 0.115)</w:t>
      </w:r>
      <w:r>
        <w:rPr>
          <w:rFonts w:ascii="Times New Roman" w:eastAsia="SimSun;宋体" w:hAnsi="Times New Roman" w:cs="Arial"/>
          <w:color w:val="000000"/>
        </w:rPr>
        <w:t>. (Figuras 6 y 7)</w:t>
      </w: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Tampoco se hallaron diferencias estadísticamente significativas entre ambos grupos en cuanto a la tasa de exploraciones finalizadas,</w:t>
      </w:r>
      <w:r>
        <w:rPr>
          <w:rFonts w:ascii="Times New Roman" w:eastAsia="SimSun;宋体" w:hAnsi="Times New Roman" w:cs="Arial"/>
          <w:color w:val="000000"/>
          <w:shd w:val="clear" w:color="auto" w:fill="FFFFFF"/>
        </w:rPr>
        <w:t xml:space="preserve"> (128 colonoscopias finalizadas en el grupo S (92%) frente a 130 </w:t>
      </w:r>
      <w:r>
        <w:rPr>
          <w:rFonts w:ascii="Times New Roman" w:eastAsia="SimSun;宋体" w:hAnsi="Times New Roman" w:cs="Arial"/>
          <w:color w:val="000000"/>
          <w:shd w:val="clear" w:color="auto" w:fill="FFFFFF"/>
        </w:rPr>
        <w:lastRenderedPageBreak/>
        <w:t>en el grupo P (93.5%),( Chi-cuadrado= 0.216; p= 0.642).</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i/>
          <w:iCs/>
          <w:color w:val="000000"/>
          <w:sz w:val="20"/>
          <w:szCs w:val="20"/>
        </w:rPr>
        <w:t xml:space="preserve">Tabla 9. Tiempo empleado durante la exploración y número de colonoscopias finalizadas en ambos grupos. </w:t>
      </w:r>
      <w:r>
        <w:rPr>
          <w:rFonts w:ascii="Times New Roman" w:eastAsia="SimSun;宋体" w:hAnsi="Times New Roman" w:cs="Arial"/>
          <w:color w:val="000000"/>
        </w:rPr>
        <w:t xml:space="preserve">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3175"/>
        <w:gridCol w:w="2203"/>
        <w:gridCol w:w="2713"/>
        <w:gridCol w:w="1494"/>
      </w:tblGrid>
      <w:tr w:rsidR="001B03C2">
        <w:trPr>
          <w:cantSplit/>
        </w:trPr>
        <w:tc>
          <w:tcPr>
            <w:tcW w:w="3175"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rPr>
            </w:pPr>
          </w:p>
        </w:tc>
        <w:tc>
          <w:tcPr>
            <w:tcW w:w="2203"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S ( n=139)</w:t>
            </w:r>
          </w:p>
        </w:tc>
        <w:tc>
          <w:tcPr>
            <w:tcW w:w="2713"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P ( n</w:t>
            </w:r>
            <w:r>
              <w:rPr>
                <w:rFonts w:ascii="Times New Roman" w:hAnsi="Times New Roman" w:cs="Arial"/>
                <w:b/>
                <w:bCs/>
                <w:color w:val="FF3333"/>
              </w:rPr>
              <w:t>=139)</w:t>
            </w:r>
          </w:p>
        </w:tc>
        <w:tc>
          <w:tcPr>
            <w:tcW w:w="1494"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317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Tciego (min)*</w:t>
            </w:r>
          </w:p>
        </w:tc>
        <w:tc>
          <w:tcPr>
            <w:tcW w:w="220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7.58+/-4.57</w:t>
            </w:r>
          </w:p>
        </w:tc>
        <w:tc>
          <w:tcPr>
            <w:tcW w:w="271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7.38+/-4.09</w:t>
            </w:r>
          </w:p>
        </w:tc>
        <w:tc>
          <w:tcPr>
            <w:tcW w:w="149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0.249</w:t>
            </w:r>
          </w:p>
        </w:tc>
      </w:tr>
      <w:tr w:rsidR="001B03C2">
        <w:trPr>
          <w:cantSplit/>
        </w:trPr>
        <w:tc>
          <w:tcPr>
            <w:tcW w:w="317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Ttotal (min)*</w:t>
            </w:r>
          </w:p>
        </w:tc>
        <w:tc>
          <w:tcPr>
            <w:tcW w:w="220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15.48+/-7.13</w:t>
            </w:r>
          </w:p>
        </w:tc>
        <w:tc>
          <w:tcPr>
            <w:tcW w:w="271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15.26+/-8.19</w:t>
            </w:r>
          </w:p>
        </w:tc>
        <w:tc>
          <w:tcPr>
            <w:tcW w:w="149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0.115</w:t>
            </w:r>
          </w:p>
        </w:tc>
      </w:tr>
      <w:tr w:rsidR="001B03C2">
        <w:trPr>
          <w:cantSplit/>
        </w:trPr>
        <w:tc>
          <w:tcPr>
            <w:tcW w:w="317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Colonoscopias finalizadas**</w:t>
            </w:r>
          </w:p>
        </w:tc>
        <w:tc>
          <w:tcPr>
            <w:tcW w:w="220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128 (92%)</w:t>
            </w:r>
          </w:p>
        </w:tc>
        <w:tc>
          <w:tcPr>
            <w:tcW w:w="2713"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130 (93.5%)</w:t>
            </w:r>
          </w:p>
        </w:tc>
        <w:tc>
          <w:tcPr>
            <w:tcW w:w="1494"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0.642</w:t>
            </w:r>
          </w:p>
        </w:tc>
      </w:tr>
    </w:tbl>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Datos expresados como: * Media +/- DS y ** Número de paceintes y porcentaje entre </w:t>
      </w:r>
      <w:r>
        <w:rPr>
          <w:rFonts w:ascii="Times New Roman" w:eastAsia="SimSun;宋体" w:hAnsi="Times New Roman" w:cs="Arial"/>
          <w:i/>
          <w:iCs/>
          <w:color w:val="000000"/>
          <w:sz w:val="20"/>
          <w:szCs w:val="20"/>
        </w:rPr>
        <w:t>paréntesis.</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hint="eastAsia"/>
        </w:rPr>
      </w:pPr>
      <w:r>
        <w:rPr>
          <w:noProof/>
          <w:lang w:eastAsia="es-ES" w:bidi="ar-SA"/>
        </w:rPr>
        <w:drawing>
          <wp:inline distT="0" distB="0" distL="0" distR="0">
            <wp:extent cx="5759450" cy="3239770"/>
            <wp:effectExtent l="0" t="0" r="0"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pic:cNvPicPr>
                      <a:picLocks noChangeAspect="1" noChangeArrowheads="1"/>
                    </pic:cNvPicPr>
                  </pic:nvPicPr>
                  <pic:blipFill>
                    <a:blip r:embed="rId13"/>
                    <a:stretch>
                      <a:fillRect/>
                    </a:stretch>
                  </pic:blipFill>
                  <pic:spPr bwMode="auto">
                    <a:xfrm>
                      <a:off x="0" y="0"/>
                      <a:ext cx="5759450" cy="3239770"/>
                    </a:xfrm>
                    <a:prstGeom prst="rect">
                      <a:avLst/>
                    </a:prstGeom>
                    <a:noFill/>
                    <a:ln w="9525">
                      <a:noFill/>
                      <a:miter lim="800000"/>
                      <a:headEnd/>
                      <a:tailEnd/>
                    </a:ln>
                  </pic:spPr>
                </pic:pic>
              </a:graphicData>
            </a:graphic>
          </wp:inline>
        </w:drawing>
      </w:r>
    </w:p>
    <w:p w:rsidR="001B03C2" w:rsidRDefault="009B166E">
      <w:pPr>
        <w:spacing w:line="480" w:lineRule="auto"/>
        <w:jc w:val="both"/>
        <w:rPr>
          <w:rFonts w:ascii="Times New Roman" w:hAnsi="Times New Roman" w:cs="Arial"/>
          <w:i/>
          <w:iCs/>
          <w:color w:val="000000"/>
          <w:sz w:val="20"/>
          <w:szCs w:val="20"/>
        </w:rPr>
      </w:pPr>
      <w:r>
        <w:rPr>
          <w:rFonts w:ascii="Times New Roman" w:eastAsia="SimSun;宋体" w:hAnsi="Times New Roman" w:cs="Arial"/>
          <w:i/>
          <w:iCs/>
          <w:color w:val="000000"/>
          <w:sz w:val="20"/>
          <w:szCs w:val="20"/>
        </w:rPr>
        <w:t xml:space="preserve">Figura 6. </w:t>
      </w:r>
      <w:r>
        <w:rPr>
          <w:rFonts w:ascii="Times New Roman" w:hAnsi="Times New Roman" w:cs="Arial"/>
          <w:i/>
          <w:iCs/>
          <w:color w:val="000000"/>
          <w:sz w:val="20"/>
          <w:szCs w:val="20"/>
        </w:rPr>
        <w:t>Diagrama de cajas donde se expone el tiempo empleado en alcanzar ciego, en ambos grupos.</w:t>
      </w:r>
    </w:p>
    <w:p w:rsidR="001B03C2" w:rsidRDefault="001B03C2">
      <w:pPr>
        <w:spacing w:line="480" w:lineRule="auto"/>
        <w:jc w:val="both"/>
        <w:rPr>
          <w:rFonts w:ascii="Times New Roman" w:eastAsia="Arial" w:hAnsi="Times New Roman" w:cs="Arial"/>
          <w:color w:val="000000"/>
        </w:rPr>
      </w:pPr>
    </w:p>
    <w:p w:rsidR="001B03C2" w:rsidRDefault="009B166E">
      <w:pPr>
        <w:spacing w:line="480" w:lineRule="auto"/>
        <w:jc w:val="both"/>
        <w:rPr>
          <w:rFonts w:hint="eastAsia"/>
        </w:rPr>
      </w:pPr>
      <w:r>
        <w:rPr>
          <w:noProof/>
          <w:lang w:eastAsia="es-ES" w:bidi="ar-SA"/>
        </w:rPr>
        <w:drawing>
          <wp:inline distT="0" distB="0" distL="0" distR="0">
            <wp:extent cx="5759450" cy="3239770"/>
            <wp:effectExtent l="0" t="0" r="0" b="0"/>
            <wp:docPr id="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pic:cNvPicPr>
                      <a:picLocks noChangeAspect="1" noChangeArrowheads="1"/>
                    </pic:cNvPicPr>
                  </pic:nvPicPr>
                  <pic:blipFill>
                    <a:blip r:embed="rId14"/>
                    <a:stretch>
                      <a:fillRect/>
                    </a:stretch>
                  </pic:blipFill>
                  <pic:spPr bwMode="auto">
                    <a:xfrm>
                      <a:off x="0" y="0"/>
                      <a:ext cx="5759450" cy="3239770"/>
                    </a:xfrm>
                    <a:prstGeom prst="rect">
                      <a:avLst/>
                    </a:prstGeom>
                    <a:noFill/>
                    <a:ln w="9525">
                      <a:noFill/>
                      <a:miter lim="800000"/>
                      <a:headEnd/>
                      <a:tailEnd/>
                    </a:ln>
                  </pic:spPr>
                </pic:pic>
              </a:graphicData>
            </a:graphic>
          </wp:inline>
        </w:drawing>
      </w:r>
    </w:p>
    <w:p w:rsidR="001B03C2" w:rsidRDefault="009B166E">
      <w:pPr>
        <w:spacing w:line="480" w:lineRule="auto"/>
        <w:jc w:val="both"/>
        <w:rPr>
          <w:rFonts w:ascii="Times New Roman" w:hAnsi="Times New Roman" w:cs="Arial"/>
          <w:color w:val="000000"/>
        </w:rPr>
      </w:pPr>
      <w:r>
        <w:rPr>
          <w:rFonts w:ascii="Times New Roman" w:eastAsia="SimSun;宋体" w:hAnsi="Times New Roman" w:cs="Arial"/>
          <w:i/>
          <w:iCs/>
          <w:color w:val="000000"/>
          <w:sz w:val="20"/>
          <w:szCs w:val="20"/>
        </w:rPr>
        <w:t xml:space="preserve">Figura 7. </w:t>
      </w:r>
      <w:r>
        <w:rPr>
          <w:rFonts w:ascii="Times New Roman" w:hAnsi="Times New Roman" w:cs="Arial"/>
          <w:i/>
          <w:iCs/>
          <w:color w:val="000000"/>
          <w:sz w:val="20"/>
          <w:szCs w:val="20"/>
        </w:rPr>
        <w:t>Diagrama de cajas donde se expone el tiempo empleado en completar la colonoscopia, en  ambos grupos.</w:t>
      </w:r>
      <w:r>
        <w:rPr>
          <w:rFonts w:ascii="Times New Roman" w:hAnsi="Times New Roman" w:cs="Arial"/>
          <w:color w:val="000000"/>
        </w:rPr>
        <w:t xml:space="preserve">  </w:t>
      </w: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 xml:space="preserve">9.4 </w:t>
      </w:r>
      <w:r>
        <w:rPr>
          <w:rFonts w:ascii="Times New Roman" w:eastAsia="SimSun;宋体" w:hAnsi="Times New Roman" w:cs="Arial"/>
          <w:b/>
          <w:bCs/>
          <w:color w:val="000000"/>
        </w:rPr>
        <w:t>MOVIMIENTOS DE LOS PACIENTES DURANTE LA EXPLORACIÓN.</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Para analizar esta variable, dividimos los movimientos del paciente durante la colonoscopia en dos grupos. Un grupo engloba aquellos movimientos que no interfieren clínicamente en la realización de la c</w:t>
      </w:r>
      <w:r>
        <w:rPr>
          <w:rFonts w:ascii="Times New Roman" w:eastAsia="SimSun;宋体" w:hAnsi="Times New Roman" w:cs="Arial"/>
          <w:color w:val="000000"/>
        </w:rPr>
        <w:t>olonoscopia ( grados 0, 1 y 2 de la escala de movimientos), y el otro engloba aquellos movimientos que sí interfieren ( grados 3 y 4).</w:t>
      </w: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La mayor parte de los pacientes de ambos grupos presentaron movimientos clasificados como grados 0, 1 y 2 de la escala, q</w:t>
      </w:r>
      <w:r>
        <w:rPr>
          <w:rFonts w:ascii="Times New Roman" w:eastAsia="SimSun;宋体" w:hAnsi="Times New Roman" w:cs="Arial"/>
          <w:color w:val="000000"/>
        </w:rPr>
        <w:t xml:space="preserve">ue no influyeron en la realización de la colonoscopia (Figura 8). La presencia de movimientos que dificultaron la exploración resultó más frecuente en el grupo S, pero sin significación estadística: 12 pacientes presentaron movimientos que dificultaron la </w:t>
      </w:r>
      <w:r>
        <w:rPr>
          <w:rFonts w:ascii="Times New Roman" w:eastAsia="SimSun;宋体" w:hAnsi="Times New Roman" w:cs="Arial"/>
          <w:color w:val="000000"/>
        </w:rPr>
        <w:t xml:space="preserve">realización de la colonoscopia en el grupo S (8.6%), frente a 7 pacientes en el grupo P (5.3%) </w:t>
      </w:r>
      <w:r>
        <w:rPr>
          <w:rFonts w:ascii="Times New Roman" w:eastAsia="SimSun;宋体" w:hAnsi="Times New Roman" w:cs="Arial"/>
          <w:color w:val="000000"/>
          <w:shd w:val="clear" w:color="auto" w:fill="FFFFFF"/>
        </w:rPr>
        <w:t xml:space="preserve"> (test Chi cuadrado= 1.412; g.d.l.= 1; p-valor = 0.235).</w:t>
      </w:r>
    </w:p>
    <w:p w:rsidR="001B03C2" w:rsidRDefault="001B03C2">
      <w:pPr>
        <w:spacing w:line="480" w:lineRule="auto"/>
        <w:jc w:val="both"/>
        <w:rPr>
          <w:rFonts w:hint="eastAsia"/>
        </w:rPr>
      </w:pPr>
    </w:p>
    <w:p w:rsidR="001B03C2" w:rsidRDefault="009B166E">
      <w:pPr>
        <w:spacing w:line="480" w:lineRule="auto"/>
        <w:jc w:val="both"/>
        <w:rPr>
          <w:rFonts w:hint="eastAsia"/>
        </w:rPr>
      </w:pPr>
      <w:r>
        <w:rPr>
          <w:noProof/>
          <w:lang w:eastAsia="es-ES" w:bidi="ar-SA"/>
        </w:rPr>
        <w:drawing>
          <wp:inline distT="0" distB="0" distL="0" distR="0">
            <wp:extent cx="5748020" cy="3119120"/>
            <wp:effectExtent l="0" t="0" r="0" b="0"/>
            <wp:docPr id="7"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Figura 8. Distribución del grado de movimiento de los pacientes durante la colonoscopia en ambos </w:t>
      </w:r>
      <w:r>
        <w:rPr>
          <w:rFonts w:ascii="Times New Roman" w:eastAsia="SimSun;宋体" w:hAnsi="Times New Roman" w:cs="Arial"/>
          <w:i/>
          <w:iCs/>
          <w:color w:val="000000"/>
          <w:sz w:val="20"/>
          <w:szCs w:val="20"/>
        </w:rPr>
        <w:t xml:space="preserve">grupos. Eje </w:t>
      </w:r>
      <w:r>
        <w:rPr>
          <w:rFonts w:ascii="Times New Roman" w:eastAsia="SimSun;宋体" w:hAnsi="Times New Roman" w:cs="Arial"/>
          <w:i/>
          <w:iCs/>
          <w:color w:val="000000"/>
          <w:sz w:val="20"/>
          <w:szCs w:val="20"/>
        </w:rPr>
        <w:lastRenderedPageBreak/>
        <w:t>horizontal: tipo de movimiento. Eje vertical: número de pacientes.</w:t>
      </w: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9.5 COMPLICACIONES RESPIRATORIAS Y  MANIOBRAS DE AUXILIO DE LA VÍA AÉREA.</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En la tabla 12 mostramos las diferencias en cuanto a las complicaciones de tipo respiratorio aconteci</w:t>
      </w:r>
      <w:r>
        <w:rPr>
          <w:rFonts w:ascii="Times New Roman" w:eastAsia="SimSun;宋体" w:hAnsi="Times New Roman" w:cs="Arial"/>
          <w:color w:val="000000"/>
        </w:rPr>
        <w:t>das, así como las maniobras de auxilio de la vía aérea necesarias para garantizar la estabilidad respiratoria de los pacientes.</w:t>
      </w: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La aparición de “</w:t>
      </w:r>
      <w:r>
        <w:rPr>
          <w:rFonts w:ascii="Times New Roman" w:eastAsia="SimSun;宋体" w:hAnsi="Times New Roman" w:cs="Arial"/>
          <w:i/>
          <w:iCs/>
          <w:color w:val="000000"/>
        </w:rPr>
        <w:t>desaturación arterial”</w:t>
      </w:r>
      <w:r>
        <w:rPr>
          <w:rFonts w:ascii="Times New Roman" w:eastAsia="SimSun;宋体" w:hAnsi="Times New Roman" w:cs="Arial"/>
          <w:color w:val="000000"/>
        </w:rPr>
        <w:t xml:space="preserve"> con cifras por debajo del 90% resultó similar para ambos grupos, así como la aparición de “</w:t>
      </w:r>
      <w:r>
        <w:rPr>
          <w:rFonts w:ascii="Times New Roman" w:eastAsia="SimSun;宋体" w:hAnsi="Times New Roman" w:cs="Arial"/>
          <w:i/>
          <w:iCs/>
          <w:color w:val="000000"/>
        </w:rPr>
        <w:t>sudoración”</w:t>
      </w:r>
      <w:r>
        <w:rPr>
          <w:rFonts w:ascii="Times New Roman" w:eastAsia="SimSun;宋体" w:hAnsi="Times New Roman" w:cs="Arial"/>
          <w:color w:val="000000"/>
        </w:rPr>
        <w:t xml:space="preserve"> como signo de hipoventilación de los pacientes. Sin embargo, sí se encontraron diferencias estadísticamente significativas entre los grupos en cuanto a </w:t>
      </w:r>
      <w:r>
        <w:rPr>
          <w:rFonts w:ascii="Times New Roman" w:eastAsia="SimSun;宋体" w:hAnsi="Times New Roman" w:cs="Arial"/>
          <w:color w:val="000000"/>
        </w:rPr>
        <w:t xml:space="preserve">la  variable </w:t>
      </w:r>
      <w:r>
        <w:rPr>
          <w:rFonts w:ascii="Times New Roman" w:eastAsia="SimSun;宋体" w:hAnsi="Times New Roman" w:cs="Arial"/>
          <w:i/>
          <w:iCs/>
          <w:color w:val="000000"/>
        </w:rPr>
        <w:t>“apnea respiratoria”</w:t>
      </w:r>
      <w:r>
        <w:rPr>
          <w:rFonts w:ascii="Times New Roman" w:eastAsia="SimSun;宋体" w:hAnsi="Times New Roman" w:cs="Arial"/>
          <w:color w:val="000000"/>
        </w:rPr>
        <w:t xml:space="preserve"> </w:t>
      </w:r>
      <w:r>
        <w:rPr>
          <w:rFonts w:ascii="Times New Roman" w:eastAsia="SimSun;宋体" w:hAnsi="Times New Roman" w:cs="Arial"/>
          <w:color w:val="000000"/>
          <w:shd w:val="clear" w:color="auto" w:fill="FFFFFF"/>
        </w:rPr>
        <w:t>.</w:t>
      </w:r>
      <w:r>
        <w:rPr>
          <w:rFonts w:ascii="Times New Roman" w:eastAsia="SimSun;宋体" w:hAnsi="Times New Roman" w:cs="Arial"/>
          <w:color w:val="000000"/>
        </w:rPr>
        <w:t xml:space="preserve"> En el grupo S hubo un sólo caso de apnea ( 0,7%), mientras que en el grupo P hubo 13 casos ( 9.4%) </w:t>
      </w:r>
      <w:r>
        <w:rPr>
          <w:rFonts w:ascii="Times New Roman" w:eastAsia="SimSun;宋体" w:hAnsi="Times New Roman" w:cs="Arial"/>
          <w:color w:val="000000"/>
          <w:shd w:val="clear" w:color="auto" w:fill="FFFFFF"/>
        </w:rPr>
        <w:t>( test Chi cuadrado mediante test exacto de Fisher= 10.831; g.d.l = 1; p-valor= 0.001)</w:t>
      </w: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En cuanto a las maniobras de auxil</w:t>
      </w:r>
      <w:r>
        <w:rPr>
          <w:rFonts w:ascii="Times New Roman" w:eastAsia="SimSun;宋体" w:hAnsi="Times New Roman" w:cs="Arial"/>
          <w:color w:val="000000"/>
        </w:rPr>
        <w:t>io de la vía aérea, el empleo de la</w:t>
      </w:r>
      <w:r>
        <w:rPr>
          <w:rFonts w:ascii="Times New Roman" w:eastAsia="SimSun;宋体" w:hAnsi="Times New Roman" w:cs="Arial"/>
          <w:color w:val="000000"/>
          <w:shd w:val="clear" w:color="auto" w:fill="FFFFFF"/>
        </w:rPr>
        <w:t xml:space="preserve"> “</w:t>
      </w:r>
      <w:r>
        <w:rPr>
          <w:rFonts w:ascii="Times New Roman" w:eastAsia="SimSun;宋体" w:hAnsi="Times New Roman" w:cs="Arial"/>
          <w:i/>
          <w:iCs/>
          <w:color w:val="000000"/>
          <w:shd w:val="clear" w:color="auto" w:fill="FFFFFF"/>
        </w:rPr>
        <w:t>subluxación mandibular”</w:t>
      </w:r>
      <w:r>
        <w:rPr>
          <w:rFonts w:ascii="Times New Roman" w:eastAsia="SimSun;宋体" w:hAnsi="Times New Roman" w:cs="Arial"/>
          <w:color w:val="000000"/>
          <w:shd w:val="clear" w:color="auto" w:fill="FFFFFF"/>
        </w:rPr>
        <w:t xml:space="preserve"> también resultó diferente entre los grupos de forma estadísticamente significativa, siendo 33 los casos que precisaron esta maniobra en el grupo S ( 23.7%) frente a 18 en el grupo P ( 12.9%),  (C</w:t>
      </w:r>
      <w:r>
        <w:rPr>
          <w:rFonts w:ascii="Times New Roman" w:eastAsia="SimSun;宋体" w:hAnsi="Times New Roman" w:cs="Arial"/>
          <w:color w:val="000000"/>
          <w:shd w:val="clear" w:color="auto" w:fill="FFFFFF"/>
        </w:rPr>
        <w:t>hi cuadrado mediante test exacto de Fisher= 5.403; g.d.l = 1; p-valor = 0.020).</w:t>
      </w:r>
      <w:r>
        <w:rPr>
          <w:rFonts w:ascii="Times New Roman" w:eastAsia="SimSun;宋体" w:hAnsi="Times New Roman" w:cs="Arial"/>
          <w:color w:val="000000"/>
        </w:rPr>
        <w:t xml:space="preserve"> Para el resto de maniobras las diferencias resultaron no significativas: la utilización de la “</w:t>
      </w:r>
      <w:r>
        <w:rPr>
          <w:rFonts w:ascii="Times New Roman" w:eastAsia="SimSun;宋体" w:hAnsi="Times New Roman" w:cs="Arial"/>
          <w:i/>
          <w:iCs/>
          <w:color w:val="000000"/>
        </w:rPr>
        <w:t>cánula orofaríngea”</w:t>
      </w:r>
      <w:r>
        <w:rPr>
          <w:rFonts w:ascii="Times New Roman" w:eastAsia="SimSun;宋体" w:hAnsi="Times New Roman" w:cs="Arial"/>
          <w:color w:val="000000"/>
        </w:rPr>
        <w:t xml:space="preserve"> fue necesaria con más frecuencia en el grupo S, mientras que </w:t>
      </w:r>
      <w:r>
        <w:rPr>
          <w:rFonts w:ascii="Times New Roman" w:eastAsia="SimSun;宋体" w:hAnsi="Times New Roman" w:cs="Arial"/>
          <w:color w:val="000000"/>
        </w:rPr>
        <w:t>la “</w:t>
      </w:r>
      <w:r>
        <w:rPr>
          <w:rFonts w:ascii="Times New Roman" w:eastAsia="SimSun;宋体" w:hAnsi="Times New Roman" w:cs="Arial"/>
          <w:i/>
          <w:iCs/>
          <w:color w:val="000000"/>
        </w:rPr>
        <w:t>ventilación manual”</w:t>
      </w:r>
      <w:r>
        <w:rPr>
          <w:rFonts w:ascii="Times New Roman" w:eastAsia="SimSun;宋体" w:hAnsi="Times New Roman" w:cs="Arial"/>
          <w:color w:val="000000"/>
        </w:rPr>
        <w:t xml:space="preserve"> lo fue en el grupo P. Por último, ningún paciente requirió “</w:t>
      </w:r>
      <w:r>
        <w:rPr>
          <w:rFonts w:ascii="Times New Roman" w:eastAsia="SimSun;宋体" w:hAnsi="Times New Roman" w:cs="Arial"/>
          <w:i/>
          <w:iCs/>
          <w:color w:val="000000"/>
        </w:rPr>
        <w:t>intubación orotraqueal”</w:t>
      </w:r>
      <w:r>
        <w:rPr>
          <w:rFonts w:ascii="Times New Roman" w:eastAsia="SimSun;宋体" w:hAnsi="Times New Roman" w:cs="Arial"/>
          <w:color w:val="000000"/>
        </w:rPr>
        <w:t>. Estos resultados pueden observarse también en la Figura 9.</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Tabla 12. Distribución de complicaciones respiratorias y de maniobras de auxilio de</w:t>
      </w:r>
      <w:r>
        <w:rPr>
          <w:rFonts w:ascii="Times New Roman" w:eastAsia="SimSun;宋体" w:hAnsi="Times New Roman" w:cs="Arial"/>
          <w:i/>
          <w:iCs/>
          <w:color w:val="000000"/>
          <w:sz w:val="20"/>
          <w:szCs w:val="20"/>
        </w:rPr>
        <w:t xml:space="preserve"> la vía aérea.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2606"/>
        <w:gridCol w:w="2488"/>
        <w:gridCol w:w="2381"/>
        <w:gridCol w:w="2050"/>
      </w:tblGrid>
      <w:tr w:rsidR="001B03C2">
        <w:trPr>
          <w:cantSplit/>
        </w:trPr>
        <w:tc>
          <w:tcPr>
            <w:tcW w:w="2606"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rPr>
            </w:pPr>
          </w:p>
        </w:tc>
        <w:tc>
          <w:tcPr>
            <w:tcW w:w="2488"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S ( n=139)</w:t>
            </w:r>
          </w:p>
        </w:tc>
        <w:tc>
          <w:tcPr>
            <w:tcW w:w="2381"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P ( n=139)</w:t>
            </w:r>
          </w:p>
        </w:tc>
        <w:tc>
          <w:tcPr>
            <w:tcW w:w="2050"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Sudoración</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 (0.7%)</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 (1.4%)</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0.624</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Apnea</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spacing w:line="480" w:lineRule="auto"/>
              <w:jc w:val="both"/>
              <w:rPr>
                <w:rFonts w:ascii="Times New Roman" w:hAnsi="Times New Roman" w:cs="Arial"/>
                <w:color w:val="000000"/>
              </w:rPr>
            </w:pPr>
            <w:r>
              <w:rPr>
                <w:rFonts w:ascii="Times New Roman" w:hAnsi="Times New Roman" w:cs="Arial"/>
                <w:color w:val="000000"/>
              </w:rPr>
              <w:t>1 (0.7%)</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13 (9.4%)</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b/>
                <w:bCs/>
              </w:rPr>
            </w:pPr>
            <w:r>
              <w:rPr>
                <w:rFonts w:ascii="Times New Roman" w:hAnsi="Times New Roman" w:cs="Arial"/>
                <w:b/>
                <w:bCs/>
              </w:rPr>
              <w:t>0.001</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SpO</w:t>
            </w:r>
            <w:r>
              <w:rPr>
                <w:rFonts w:ascii="Times New Roman" w:hAnsi="Times New Roman" w:cs="Arial"/>
                <w:vertAlign w:val="subscript"/>
              </w:rPr>
              <w:t>2</w:t>
            </w:r>
            <w:r>
              <w:rPr>
                <w:rFonts w:ascii="Times New Roman" w:hAnsi="Times New Roman" w:cs="Arial"/>
              </w:rPr>
              <w:t>&lt;90%</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 (5%)</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8 (5.8%)</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0.791</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Subluxación mandíbula</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33 (23.7%)</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18 (12.9%)</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b/>
                <w:bCs/>
              </w:rPr>
            </w:pPr>
            <w:r>
              <w:rPr>
                <w:rFonts w:ascii="Times New Roman" w:hAnsi="Times New Roman" w:cs="Arial"/>
                <w:b/>
                <w:bCs/>
              </w:rPr>
              <w:t>0.020</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Cánula orofaríngea</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 (8.6%)</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6 (4.3%)</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0.144</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Ventilación manual</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 (2.9%)</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7 (5%)</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0.356</w:t>
            </w:r>
          </w:p>
        </w:tc>
      </w:tr>
      <w:tr w:rsidR="001B03C2">
        <w:trPr>
          <w:cantSplit/>
        </w:trPr>
        <w:tc>
          <w:tcPr>
            <w:tcW w:w="2606"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IOT</w:t>
            </w:r>
          </w:p>
        </w:tc>
        <w:tc>
          <w:tcPr>
            <w:tcW w:w="248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 (0%)</w:t>
            </w:r>
          </w:p>
        </w:tc>
        <w:tc>
          <w:tcPr>
            <w:tcW w:w="2381"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 (0%)</w:t>
            </w:r>
          </w:p>
        </w:tc>
        <w:tc>
          <w:tcPr>
            <w:tcW w:w="2050"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w:t>
            </w:r>
          </w:p>
        </w:tc>
      </w:tr>
    </w:tbl>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i/>
          <w:iCs/>
          <w:color w:val="000000"/>
          <w:sz w:val="20"/>
          <w:szCs w:val="20"/>
        </w:rPr>
        <w:t>Datos expresados en número de pacientes y porcentaje entre paréntesis</w:t>
      </w:r>
      <w:r>
        <w:rPr>
          <w:rFonts w:ascii="Times New Roman" w:eastAsia="SimSun;宋体" w:hAnsi="Times New Roman" w:cs="Arial"/>
          <w:color w:val="000000"/>
        </w:rPr>
        <w:t>.</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hint="eastAsia"/>
        </w:rPr>
      </w:pPr>
      <w:r>
        <w:rPr>
          <w:noProof/>
          <w:lang w:eastAsia="es-ES" w:bidi="ar-SA"/>
        </w:rPr>
        <w:drawing>
          <wp:inline distT="0" distB="0" distL="0" distR="0">
            <wp:extent cx="5617210" cy="2177415"/>
            <wp:effectExtent l="0" t="0" r="0" b="0"/>
            <wp:docPr id="8"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Figura 9. Complicaciones respiratorias y maniobras de auxilio de la vía aérea para ambos grupos.</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 xml:space="preserve">9.6 </w:t>
      </w:r>
      <w:r>
        <w:rPr>
          <w:rFonts w:ascii="Times New Roman" w:eastAsia="SimSun;宋体" w:hAnsi="Times New Roman" w:cs="Arial"/>
          <w:b/>
          <w:bCs/>
          <w:color w:val="000000"/>
        </w:rPr>
        <w:t>PARÁMETROS HEMODINÁMICOS.</w:t>
      </w:r>
    </w:p>
    <w:p w:rsidR="001B03C2" w:rsidRDefault="001B03C2">
      <w:pPr>
        <w:spacing w:line="480" w:lineRule="auto"/>
        <w:jc w:val="both"/>
        <w:rPr>
          <w:rFonts w:ascii="Times New Roman" w:hAnsi="Times New Roman" w:cs="Arial"/>
        </w:rPr>
      </w:pPr>
    </w:p>
    <w:p w:rsidR="001B03C2" w:rsidRDefault="009B166E">
      <w:pPr>
        <w:tabs>
          <w:tab w:val="left" w:pos="6495"/>
        </w:tabs>
        <w:spacing w:line="480" w:lineRule="auto"/>
        <w:jc w:val="both"/>
        <w:rPr>
          <w:rFonts w:ascii="Times New Roman" w:eastAsia="SimSun;宋体" w:hAnsi="Times New Roman" w:cs="Arial"/>
          <w:color w:val="000000"/>
        </w:rPr>
      </w:pPr>
      <w:r>
        <w:rPr>
          <w:rFonts w:ascii="Times New Roman" w:eastAsia="SimSun;宋体" w:hAnsi="Times New Roman" w:cs="Arial"/>
          <w:color w:val="000000"/>
        </w:rPr>
        <w:t>No se encontraron diferencias en los valores  de TA y FC obtenidos previamente a iniciar la sedación, ni tampoco tras finalizarla. Sin embargo sí se detectaron diferencias estadísticamente significativas entre ambos grupos en las</w:t>
      </w:r>
      <w:r>
        <w:rPr>
          <w:rFonts w:ascii="Times New Roman" w:eastAsia="SimSun;宋体" w:hAnsi="Times New Roman" w:cs="Arial"/>
          <w:color w:val="000000"/>
        </w:rPr>
        <w:t xml:space="preserve"> cifras de TAS, TAD y TAM obtenidas tras intubar ciego. En ese momento, los valores  resultaron 5 mmHg inferiores en el grupo P respecto al grupo S. Y al observar el porcentaje de descenso respecto a los valores inciales en las cifras de TAS, TAD y TAM, és</w:t>
      </w:r>
      <w:r>
        <w:rPr>
          <w:rFonts w:ascii="Times New Roman" w:eastAsia="SimSun;宋体" w:hAnsi="Times New Roman" w:cs="Arial"/>
          <w:color w:val="000000"/>
        </w:rPr>
        <w:t xml:space="preserve">te descenso resulta menor para el grupo S (caída de un 20% en la TAS, 23% en la TAD y 21% en la TAM) frente al grupo P ( caída de un 25% en la TAS, 30% en la TAD y 28% en la TAM). Los valores de FC resultaron similares en ambos grupos en los tres momentos </w:t>
      </w:r>
      <w:r>
        <w:rPr>
          <w:rFonts w:ascii="Times New Roman" w:eastAsia="SimSun;宋体" w:hAnsi="Times New Roman" w:cs="Arial"/>
          <w:color w:val="000000"/>
        </w:rPr>
        <w:t>de medición (Tabla 14).</w:t>
      </w:r>
    </w:p>
    <w:p w:rsidR="001B03C2" w:rsidRDefault="001B03C2">
      <w:pPr>
        <w:tabs>
          <w:tab w:val="left" w:pos="6495"/>
        </w:tabs>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Tabla 14. Monitorización hemodinámica en ambos grupos.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2396"/>
        <w:gridCol w:w="2398"/>
        <w:gridCol w:w="2398"/>
        <w:gridCol w:w="2497"/>
      </w:tblGrid>
      <w:tr w:rsidR="001B03C2">
        <w:trPr>
          <w:cantSplit/>
        </w:trPr>
        <w:tc>
          <w:tcPr>
            <w:tcW w:w="2405"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c>
          <w:tcPr>
            <w:tcW w:w="2407"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6600"/>
              </w:rPr>
            </w:pPr>
            <w:r>
              <w:rPr>
                <w:rFonts w:ascii="Times New Roman" w:hAnsi="Times New Roman" w:cs="Arial"/>
                <w:b/>
                <w:bCs/>
                <w:color w:val="FF6600"/>
              </w:rPr>
              <w:t>Grupo S ( n=139)</w:t>
            </w:r>
          </w:p>
        </w:tc>
        <w:tc>
          <w:tcPr>
            <w:tcW w:w="2407"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6600"/>
              </w:rPr>
            </w:pPr>
            <w:r>
              <w:rPr>
                <w:rFonts w:ascii="Times New Roman" w:hAnsi="Times New Roman" w:cs="Arial"/>
                <w:b/>
                <w:bCs/>
                <w:color w:val="FF6600"/>
              </w:rPr>
              <w:t>Grupo P ( n=139)</w:t>
            </w:r>
          </w:p>
        </w:tc>
        <w:tc>
          <w:tcPr>
            <w:tcW w:w="2509"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6600"/>
              </w:rPr>
            </w:pPr>
            <w:r>
              <w:rPr>
                <w:rFonts w:ascii="Times New Roman" w:hAnsi="Times New Roman" w:cs="Arial"/>
                <w:b/>
                <w:bCs/>
                <w:color w:val="FF6600"/>
              </w:rPr>
              <w:t>P-Valor</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TAS pre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138.77+/-24.04</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141.57+/-23.85</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0.331</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TAD pre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80.07+/-15.96</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80.50+/-15.31</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0.821</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TAM pre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105.16+/-19.34</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107.57+/-19.47</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0.303</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FC pre (lpm)</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76.47+/-14.76</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76.76+/-15.00</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0.875</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lastRenderedPageBreak/>
              <w:t>TAS ciego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110.73+/-23.14</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105.05+/-22.2</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b/>
                <w:bCs/>
              </w:rPr>
            </w:pPr>
            <w:r>
              <w:rPr>
                <w:rFonts w:ascii="Times New Roman" w:hAnsi="Times New Roman" w:cs="Arial"/>
                <w:b/>
                <w:bCs/>
              </w:rPr>
              <w:t>0.041</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TAD ciego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61.61+/-14.24</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56.79+/-14.95</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b/>
                <w:bCs/>
              </w:rPr>
            </w:pPr>
            <w:r>
              <w:rPr>
                <w:rFonts w:ascii="Times New Roman" w:hAnsi="Times New Roman" w:cs="Arial"/>
                <w:b/>
                <w:bCs/>
              </w:rPr>
              <w:t>0.007</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TAM ciego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82.54+/-19.11</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77.47+/-17.18</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b/>
                <w:bCs/>
              </w:rPr>
            </w:pPr>
            <w:r>
              <w:rPr>
                <w:rFonts w:ascii="Times New Roman" w:hAnsi="Times New Roman" w:cs="Arial"/>
                <w:b/>
                <w:bCs/>
              </w:rPr>
              <w:t>0.023</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FC ciego (lpm)</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69.60+/-13.62</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66.66+/-11.51</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0.058</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TAS post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109.76+/-21.42</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106.68+/-18.07</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0.196</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TAD post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59.79+/-14.59</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58.81+/-12.51</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0.546</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TAM post (mmHg)</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80.42+/-16.72</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79.10+/-15.17</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0.490</w:t>
            </w:r>
          </w:p>
        </w:tc>
      </w:tr>
      <w:tr w:rsidR="001B03C2">
        <w:trPr>
          <w:cantSplit/>
        </w:trPr>
        <w:tc>
          <w:tcPr>
            <w:tcW w:w="240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FC post (lpm)</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67.87+/-1.62</w:t>
            </w:r>
          </w:p>
        </w:tc>
        <w:tc>
          <w:tcPr>
            <w:tcW w:w="2407"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69.91+/-13.57</w:t>
            </w:r>
          </w:p>
        </w:tc>
        <w:tc>
          <w:tcPr>
            <w:tcW w:w="2509"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0.196</w:t>
            </w:r>
          </w:p>
        </w:tc>
      </w:tr>
    </w:tbl>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 xml:space="preserve">Datos expresados en Media +/- </w:t>
      </w:r>
      <w:r>
        <w:rPr>
          <w:rFonts w:ascii="Times New Roman" w:eastAsia="SimSun;宋体" w:hAnsi="Times New Roman" w:cs="Arial"/>
          <w:i/>
          <w:iCs/>
          <w:color w:val="000000"/>
          <w:sz w:val="20"/>
          <w:szCs w:val="20"/>
        </w:rPr>
        <w:t>DS.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hint="eastAsia"/>
        </w:rPr>
      </w:pPr>
      <w:r>
        <w:rPr>
          <w:noProof/>
          <w:lang w:eastAsia="es-ES" w:bidi="ar-SA"/>
        </w:rPr>
        <w:drawing>
          <wp:inline distT="0" distB="0" distL="0" distR="0">
            <wp:extent cx="5746750" cy="3227705"/>
            <wp:effectExtent l="0" t="0" r="0" b="0"/>
            <wp:docPr id="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B03C2" w:rsidRDefault="009B166E">
      <w:pPr>
        <w:spacing w:line="480" w:lineRule="auto"/>
        <w:jc w:val="both"/>
        <w:rPr>
          <w:rFonts w:ascii="Times New Roman" w:hAnsi="Times New Roman" w:cs="Arial"/>
        </w:rPr>
      </w:pPr>
      <w:r>
        <w:rPr>
          <w:rFonts w:ascii="Times New Roman" w:hAnsi="Times New Roman" w:cs="Arial"/>
          <w:i/>
          <w:iCs/>
          <w:sz w:val="20"/>
          <w:szCs w:val="20"/>
        </w:rPr>
        <w:t>Fig. 10. Valores de TAS en los tres momentos de medición en ambos grupos</w:t>
      </w:r>
      <w:r>
        <w:rPr>
          <w:rFonts w:ascii="Times New Roman" w:hAnsi="Times New Roman" w:cs="Arial"/>
        </w:rPr>
        <w:t>.</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9B166E">
      <w:pPr>
        <w:spacing w:line="480" w:lineRule="auto"/>
        <w:jc w:val="both"/>
        <w:rPr>
          <w:rFonts w:hint="eastAsia"/>
        </w:rPr>
      </w:pPr>
      <w:r>
        <w:rPr>
          <w:noProof/>
          <w:lang w:eastAsia="es-ES" w:bidi="ar-SA"/>
        </w:rPr>
        <w:lastRenderedPageBreak/>
        <w:drawing>
          <wp:inline distT="0" distB="0" distL="0" distR="0">
            <wp:extent cx="5746750" cy="3227705"/>
            <wp:effectExtent l="0" t="0" r="0" b="0"/>
            <wp:docPr id="10"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Fig. 11. Valores de TAD en los tres momentos de medición en ambos grupos.</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9B166E">
      <w:pPr>
        <w:spacing w:line="480" w:lineRule="auto"/>
        <w:jc w:val="both"/>
        <w:rPr>
          <w:rFonts w:hint="eastAsia"/>
        </w:rPr>
      </w:pPr>
      <w:r>
        <w:rPr>
          <w:noProof/>
          <w:lang w:eastAsia="es-ES" w:bidi="ar-SA"/>
        </w:rPr>
        <w:drawing>
          <wp:inline distT="0" distB="0" distL="0" distR="0">
            <wp:extent cx="5746750" cy="3227705"/>
            <wp:effectExtent l="0" t="0" r="0" b="0"/>
            <wp:docPr id="1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Fig. 12. Valores de TAD en los tres momentos de medición en ambos grupos.</w:t>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cs="Arial"/>
        </w:rPr>
      </w:pPr>
    </w:p>
    <w:p w:rsidR="001B03C2" w:rsidRDefault="009B166E">
      <w:pPr>
        <w:spacing w:line="480" w:lineRule="auto"/>
        <w:jc w:val="both"/>
        <w:rPr>
          <w:rFonts w:hint="eastAsia"/>
        </w:rPr>
      </w:pPr>
      <w:r>
        <w:rPr>
          <w:noProof/>
          <w:lang w:eastAsia="es-ES" w:bidi="ar-SA"/>
        </w:rPr>
        <w:lastRenderedPageBreak/>
        <w:drawing>
          <wp:inline distT="0" distB="0" distL="0" distR="0">
            <wp:extent cx="5746750" cy="3227705"/>
            <wp:effectExtent l="0" t="0" r="0" b="0"/>
            <wp:docPr id="1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Fig. 13. Valore</w:t>
      </w:r>
      <w:r>
        <w:rPr>
          <w:rFonts w:ascii="Times New Roman" w:hAnsi="Times New Roman" w:cs="Arial"/>
          <w:i/>
          <w:iCs/>
          <w:sz w:val="20"/>
          <w:szCs w:val="20"/>
        </w:rPr>
        <w:t>s de FC en los tres momentos de medición en ambos grupos.</w:t>
      </w:r>
    </w:p>
    <w:p w:rsidR="001B03C2" w:rsidRDefault="001B03C2">
      <w:pPr>
        <w:spacing w:line="480" w:lineRule="auto"/>
        <w:jc w:val="both"/>
        <w:rPr>
          <w:rFonts w:hint="eastAsia"/>
          <w:i/>
          <w:iCs/>
          <w:sz w:val="20"/>
          <w:szCs w:val="20"/>
        </w:rPr>
      </w:pPr>
    </w:p>
    <w:p w:rsidR="001B03C2" w:rsidRDefault="001B03C2">
      <w:pPr>
        <w:spacing w:line="480" w:lineRule="auto"/>
        <w:jc w:val="both"/>
        <w:rPr>
          <w:rFonts w:hint="eastAsia"/>
          <w:i/>
          <w:iCs/>
          <w:sz w:val="20"/>
          <w:szCs w:val="20"/>
        </w:rPr>
      </w:pPr>
    </w:p>
    <w:p w:rsidR="001B03C2" w:rsidRDefault="009B166E">
      <w:pPr>
        <w:spacing w:line="480" w:lineRule="auto"/>
        <w:jc w:val="both"/>
        <w:rPr>
          <w:rFonts w:ascii="Times New Roman" w:hAnsi="Times New Roman" w:cs="Arial"/>
          <w:b/>
          <w:bCs/>
        </w:rPr>
      </w:pPr>
      <w:r>
        <w:rPr>
          <w:rFonts w:ascii="Times New Roman" w:hAnsi="Times New Roman" w:cs="Arial"/>
          <w:b/>
          <w:bCs/>
        </w:rPr>
        <w:t>9.7 SEDACIÓN EXCESIVA.</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En relación a esta variable, se encontraron diferencias estadísticamente significativas entre los grupos</w:t>
      </w:r>
      <w:r>
        <w:rPr>
          <w:rFonts w:ascii="Times New Roman" w:eastAsia="SimSun;宋体" w:hAnsi="Times New Roman" w:cs="Arial"/>
          <w:color w:val="000000"/>
        </w:rPr>
        <w:t xml:space="preserve">. </w:t>
      </w:r>
      <w:r>
        <w:rPr>
          <w:rFonts w:ascii="Times New Roman" w:eastAsia="SimSun;宋体" w:hAnsi="Times New Roman" w:cs="Arial"/>
          <w:color w:val="000000"/>
        </w:rPr>
        <w:t xml:space="preserve">En el grupo S, 61 pacientes presentaron sobresedación ( 43.9%), mientras que 22 pacientes la presentaron en el grupo P ( 15.8%) </w:t>
      </w:r>
      <w:r>
        <w:rPr>
          <w:rFonts w:ascii="Times New Roman" w:eastAsia="SimSun;宋体" w:hAnsi="Times New Roman" w:cs="Arial"/>
          <w:color w:val="000000"/>
          <w:shd w:val="clear" w:color="auto" w:fill="FFFFFF"/>
        </w:rPr>
        <w:t>(test Chi-cuadrado mediante el test exacto de Fisher= 26.125; g.d.l.= 1; p-valor &lt;0.001)</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Figura 14. Porcentaje de pacientes que</w:t>
      </w:r>
      <w:r>
        <w:rPr>
          <w:rFonts w:ascii="Times New Roman" w:hAnsi="Times New Roman" w:cs="Arial"/>
          <w:i/>
          <w:iCs/>
          <w:sz w:val="20"/>
          <w:szCs w:val="20"/>
        </w:rPr>
        <w:t xml:space="preserve"> presentaron excesiva sedación en ambos grupos.</w:t>
      </w:r>
    </w:p>
    <w:p w:rsidR="001B03C2" w:rsidRDefault="009B166E">
      <w:pPr>
        <w:spacing w:line="480" w:lineRule="auto"/>
        <w:jc w:val="both"/>
        <w:rPr>
          <w:rFonts w:hint="eastAsia"/>
        </w:rPr>
      </w:pPr>
      <w:r>
        <w:rPr>
          <w:noProof/>
          <w:lang w:eastAsia="es-ES" w:bidi="ar-SA"/>
        </w:rPr>
        <w:lastRenderedPageBreak/>
        <w:drawing>
          <wp:inline distT="0" distB="0" distL="0" distR="0">
            <wp:extent cx="5744210" cy="3225165"/>
            <wp:effectExtent l="0" t="0" r="0" b="0"/>
            <wp:docPr id="1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B03C2" w:rsidRDefault="001B03C2">
      <w:pPr>
        <w:spacing w:line="480" w:lineRule="auto"/>
        <w:jc w:val="both"/>
        <w:rPr>
          <w:rFonts w:ascii="Times New Roman" w:hAnsi="Times New Roman" w:cs="Arial"/>
        </w:rPr>
      </w:pPr>
    </w:p>
    <w:p w:rsidR="001B03C2" w:rsidRDefault="001B03C2">
      <w:pPr>
        <w:spacing w:line="480" w:lineRule="auto"/>
        <w:jc w:val="both"/>
        <w:rPr>
          <w:rFonts w:ascii="Times New Roman" w:hAnsi="Times New Roman"/>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b/>
          <w:bCs/>
        </w:rPr>
      </w:pPr>
      <w:r>
        <w:rPr>
          <w:rFonts w:ascii="Times New Roman" w:hAnsi="Times New Roman" w:cs="Arial"/>
          <w:b/>
          <w:bCs/>
        </w:rPr>
        <w:t>9.8 RECUPERACIÓN PRECOZ.</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 xml:space="preserve">No se obtuvieron diferencias en ninguno de las variables que componen la escala de valoración de recuperación a los 30 minutos de finalizado el procedimiento. La puntuación </w:t>
      </w:r>
      <w:r>
        <w:rPr>
          <w:rFonts w:ascii="Times New Roman" w:eastAsia="SimSun;宋体" w:hAnsi="Times New Roman" w:cs="Arial"/>
          <w:color w:val="000000"/>
        </w:rPr>
        <w:t>obtenida en cuanto a signos vitales, capacidad de deambulación, dolor, NVPO y sangrado, fue similar en ambos grupos.</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i/>
          <w:iCs/>
          <w:color w:val="000000"/>
          <w:sz w:val="20"/>
          <w:szCs w:val="20"/>
        </w:rPr>
        <w:t>Tabla 17. Valoración del estado de recuperación a los 30 minutos de finalizar la colonoscopia.</w:t>
      </w:r>
      <w:r>
        <w:rPr>
          <w:rFonts w:ascii="Times New Roman" w:eastAsia="SimSun;宋体" w:hAnsi="Times New Roman" w:cs="Arial"/>
          <w:color w:val="000000"/>
        </w:rPr>
        <w:t xml:space="preserve">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2770"/>
        <w:gridCol w:w="2445"/>
        <w:gridCol w:w="2324"/>
        <w:gridCol w:w="2046"/>
      </w:tblGrid>
      <w:tr w:rsidR="001B03C2">
        <w:trPr>
          <w:cantSplit/>
        </w:trPr>
        <w:tc>
          <w:tcPr>
            <w:tcW w:w="2770"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c>
          <w:tcPr>
            <w:tcW w:w="2445"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Grupo S ( n=139)</w:t>
            </w:r>
          </w:p>
        </w:tc>
        <w:tc>
          <w:tcPr>
            <w:tcW w:w="2324"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Grupo P (n=139)</w:t>
            </w:r>
          </w:p>
        </w:tc>
        <w:tc>
          <w:tcPr>
            <w:tcW w:w="2046"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center"/>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277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lastRenderedPageBreak/>
              <w:t>Signos Vitales</w:t>
            </w:r>
          </w:p>
        </w:tc>
        <w:tc>
          <w:tcPr>
            <w:tcW w:w="2445"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2324"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c>
          <w:tcPr>
            <w:tcW w:w="2046"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0.316</w:t>
            </w: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eastAsia="SimSun;宋体" w:hAnsi="Times New Roman" w:cs="Arial"/>
              </w:rPr>
              <w:t>±</w:t>
            </w:r>
            <w:r>
              <w:rPr>
                <w:rFonts w:ascii="Times New Roman" w:hAnsi="Times New Roman" w:cs="Arial"/>
              </w:rPr>
              <w:t xml:space="preserve"> 20% basal(2 ptos)</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139 (100%)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138 (99.3%)</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20-40% basal (1 pto)</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&gt;40% basal (0 ptos)</w:t>
            </w:r>
          </w:p>
        </w:tc>
        <w:tc>
          <w:tcPr>
            <w:tcW w:w="2445"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Deambulación</w:t>
            </w:r>
          </w:p>
        </w:tc>
        <w:tc>
          <w:tcPr>
            <w:tcW w:w="2445"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2324"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c>
          <w:tcPr>
            <w:tcW w:w="2046"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0.164</w:t>
            </w: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Sólo (2 ptos)</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129 (92.8%)</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120 (86.3%)</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Con ayuda (1 pto)</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 (7.2%)</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18 (12.9%)</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No puede (0 ptos)</w:t>
            </w:r>
          </w:p>
        </w:tc>
        <w:tc>
          <w:tcPr>
            <w:tcW w:w="2445"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NVPO</w:t>
            </w:r>
          </w:p>
        </w:tc>
        <w:tc>
          <w:tcPr>
            <w:tcW w:w="2445"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2324"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c>
          <w:tcPr>
            <w:tcW w:w="2046"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0.365</w:t>
            </w: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Leve (2 ptos)</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139 (100%)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137 (98.6%)</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Moderado (1 pto)</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Severo (0 ptos)</w:t>
            </w:r>
          </w:p>
        </w:tc>
        <w:tc>
          <w:tcPr>
            <w:tcW w:w="2445"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Dolor</w:t>
            </w:r>
          </w:p>
        </w:tc>
        <w:tc>
          <w:tcPr>
            <w:tcW w:w="2445"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2324"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c>
          <w:tcPr>
            <w:tcW w:w="2046"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0.588</w:t>
            </w: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 xml:space="preserve">Leve (2 ptos) </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129 (92.8%)</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127 (91.4%)</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Moderado (1 pto)</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10 (7.2%)</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11 (7.8%)</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Severo ( 0 ptos)</w:t>
            </w:r>
          </w:p>
        </w:tc>
        <w:tc>
          <w:tcPr>
            <w:tcW w:w="2445"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Sangrado</w:t>
            </w:r>
          </w:p>
        </w:tc>
        <w:tc>
          <w:tcPr>
            <w:tcW w:w="2445"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center"/>
              <w:rPr>
                <w:rFonts w:ascii="Times New Roman" w:hAnsi="Times New Roman" w:cs="Arial"/>
              </w:rPr>
            </w:pPr>
          </w:p>
        </w:tc>
        <w:tc>
          <w:tcPr>
            <w:tcW w:w="2324"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c>
          <w:tcPr>
            <w:tcW w:w="2046"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0.588</w:t>
            </w: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Leve ( 2 ptos)</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139 (100%)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138 (99.3%)</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Moderado ( 1 pto)</w:t>
            </w:r>
          </w:p>
        </w:tc>
        <w:tc>
          <w:tcPr>
            <w:tcW w:w="2445"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046"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Severo ( 0 ptos)</w:t>
            </w:r>
          </w:p>
        </w:tc>
        <w:tc>
          <w:tcPr>
            <w:tcW w:w="2445"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 (0%)</w:t>
            </w:r>
          </w:p>
        </w:tc>
        <w:tc>
          <w:tcPr>
            <w:tcW w:w="2324"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1 (0.8%)</w:t>
            </w:r>
          </w:p>
        </w:tc>
        <w:tc>
          <w:tcPr>
            <w:tcW w:w="2046"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center"/>
              <w:rPr>
                <w:rFonts w:ascii="Times New Roman" w:hAnsi="Times New Roman" w:cs="Arial"/>
              </w:rPr>
            </w:pPr>
          </w:p>
        </w:tc>
      </w:tr>
      <w:tr w:rsidR="001B03C2">
        <w:trPr>
          <w:cantSplit/>
        </w:trPr>
        <w:tc>
          <w:tcPr>
            <w:tcW w:w="277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lastRenderedPageBreak/>
              <w:t>PUNTOS TOTALES</w:t>
            </w:r>
          </w:p>
        </w:tc>
        <w:tc>
          <w:tcPr>
            <w:tcW w:w="2445"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9.86 +/- 0.352</w:t>
            </w:r>
          </w:p>
        </w:tc>
        <w:tc>
          <w:tcPr>
            <w:tcW w:w="2324"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 xml:space="preserve">9.79 +/- </w:t>
            </w:r>
            <w:r>
              <w:rPr>
                <w:rFonts w:ascii="Times New Roman" w:hAnsi="Times New Roman" w:cs="Arial"/>
              </w:rPr>
              <w:t>0.442</w:t>
            </w:r>
          </w:p>
        </w:tc>
        <w:tc>
          <w:tcPr>
            <w:tcW w:w="2046"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cs="Arial"/>
              </w:rPr>
            </w:pPr>
            <w:r>
              <w:rPr>
                <w:rFonts w:ascii="Times New Roman" w:hAnsi="Times New Roman" w:cs="Arial"/>
              </w:rPr>
              <w:t>0.178</w:t>
            </w:r>
          </w:p>
        </w:tc>
      </w:tr>
    </w:tbl>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Valores expresados en número total de pacientes y porcentaje entre paréntesis.</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b/>
          <w:bCs/>
          <w:color w:val="000000"/>
        </w:rPr>
      </w:pPr>
      <w:r>
        <w:rPr>
          <w:rFonts w:ascii="Times New Roman" w:eastAsia="SimSun;宋体" w:hAnsi="Times New Roman" w:cs="Arial"/>
          <w:b/>
          <w:bCs/>
          <w:color w:val="000000"/>
        </w:rPr>
        <w:t>9.9 EVALUACIÓN POR PARTE DE LOS PACIENTES.</w:t>
      </w: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La calidad de la sedación valorada por el paciente a los 30 minutos de finalizada la misma fue muy parecida en ambos grupos, sin diferencias significativas. En el grupo S, la puntuación dada por los pacientes fue de 91.99 +/- 11.02, mientras que en el grup</w:t>
      </w:r>
      <w:r>
        <w:rPr>
          <w:rFonts w:ascii="Times New Roman" w:eastAsia="SimSun;宋体" w:hAnsi="Times New Roman" w:cs="Arial"/>
          <w:color w:val="000000"/>
        </w:rPr>
        <w:t xml:space="preserve">o P fue de 90.92 +/- 9.44 </w:t>
      </w:r>
      <w:r>
        <w:rPr>
          <w:rFonts w:ascii="Times New Roman" w:eastAsia="SimSun;宋体" w:hAnsi="Times New Roman" w:cs="Arial"/>
          <w:color w:val="000000"/>
          <w:shd w:val="clear" w:color="auto" w:fill="FFFFFF"/>
        </w:rPr>
        <w:t>(test U de Mann-Whitney = 8349; p-valor=0.386).</w:t>
      </w:r>
    </w:p>
    <w:p w:rsidR="001B03C2" w:rsidRDefault="001B03C2">
      <w:pPr>
        <w:spacing w:line="480" w:lineRule="auto"/>
        <w:jc w:val="both"/>
        <w:rPr>
          <w:rFonts w:hint="eastAsia"/>
        </w:rPr>
      </w:pP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3209"/>
        <w:gridCol w:w="3208"/>
        <w:gridCol w:w="3222"/>
      </w:tblGrid>
      <w:tr w:rsidR="001B03C2">
        <w:trPr>
          <w:cantSplit/>
        </w:trPr>
        <w:tc>
          <w:tcPr>
            <w:tcW w:w="3209"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b/>
                <w:bCs/>
                <w:color w:val="FF3333"/>
              </w:rPr>
            </w:pPr>
            <w:r>
              <w:rPr>
                <w:rFonts w:ascii="Times New Roman" w:hAnsi="Times New Roman"/>
                <w:b/>
                <w:bCs/>
                <w:color w:val="FF3333"/>
              </w:rPr>
              <w:t>EVA-paciente</w:t>
            </w:r>
          </w:p>
        </w:tc>
        <w:tc>
          <w:tcPr>
            <w:tcW w:w="3208"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center"/>
              <w:rPr>
                <w:rFonts w:ascii="Times New Roman" w:hAnsi="Times New Roman"/>
                <w:b/>
                <w:bCs/>
                <w:color w:val="FF3333"/>
              </w:rPr>
            </w:pPr>
            <w:r>
              <w:rPr>
                <w:rFonts w:ascii="Times New Roman" w:hAnsi="Times New Roman"/>
                <w:b/>
                <w:bCs/>
                <w:color w:val="FF3333"/>
              </w:rPr>
              <w:t>Grupo S</w:t>
            </w:r>
          </w:p>
        </w:tc>
        <w:tc>
          <w:tcPr>
            <w:tcW w:w="3222"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center"/>
              <w:rPr>
                <w:rFonts w:ascii="Times New Roman" w:hAnsi="Times New Roman"/>
                <w:b/>
                <w:bCs/>
                <w:color w:val="FF3333"/>
              </w:rPr>
            </w:pPr>
            <w:r>
              <w:rPr>
                <w:rFonts w:ascii="Times New Roman" w:hAnsi="Times New Roman"/>
                <w:b/>
                <w:bCs/>
                <w:color w:val="FF3333"/>
              </w:rPr>
              <w:t>Grupo P</w:t>
            </w:r>
          </w:p>
        </w:tc>
      </w:tr>
      <w:tr w:rsidR="001B03C2">
        <w:trPr>
          <w:cantSplit/>
        </w:trPr>
        <w:tc>
          <w:tcPr>
            <w:tcW w:w="3209"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w:t>
            </w:r>
          </w:p>
        </w:tc>
        <w:tc>
          <w:tcPr>
            <w:tcW w:w="3208" w:type="dxa"/>
            <w:tcBorders>
              <w:top w:val="single" w:sz="2" w:space="0" w:color="000001"/>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91.99</w:t>
            </w:r>
          </w:p>
        </w:tc>
        <w:tc>
          <w:tcPr>
            <w:tcW w:w="3222"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90.92</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IC 95% para la media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90.14 – 93.85</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89.33 – 92.51</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EEM</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0.938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0.803</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 recortada 5%</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93.71</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91.96</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Mediana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95</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93.5</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Varianza</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121.394</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89.081</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Desviación estándard</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11.018</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9.438</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Mínimo</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35</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53</w:t>
            </w:r>
          </w:p>
        </w:tc>
      </w:tr>
      <w:tr w:rsidR="001B03C2">
        <w:trPr>
          <w:cantSplit/>
        </w:trPr>
        <w:tc>
          <w:tcPr>
            <w:tcW w:w="3209"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Máximo</w:t>
            </w:r>
          </w:p>
        </w:tc>
        <w:tc>
          <w:tcPr>
            <w:tcW w:w="3208"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100</w:t>
            </w:r>
          </w:p>
        </w:tc>
        <w:tc>
          <w:tcPr>
            <w:tcW w:w="3222" w:type="dxa"/>
            <w:tcBorders>
              <w:top w:val="nil"/>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100</w:t>
            </w:r>
          </w:p>
        </w:tc>
      </w:tr>
      <w:tr w:rsidR="001B03C2">
        <w:trPr>
          <w:cantSplit/>
        </w:trPr>
        <w:tc>
          <w:tcPr>
            <w:tcW w:w="3209"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rPr>
            </w:pPr>
            <w:r>
              <w:rPr>
                <w:rFonts w:ascii="Times New Roman" w:hAnsi="Times New Roman"/>
              </w:rPr>
              <w:t>Rango</w:t>
            </w:r>
          </w:p>
        </w:tc>
        <w:tc>
          <w:tcPr>
            <w:tcW w:w="3208"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65</w:t>
            </w:r>
          </w:p>
        </w:tc>
        <w:tc>
          <w:tcPr>
            <w:tcW w:w="3222" w:type="dxa"/>
            <w:tcBorders>
              <w:top w:val="nil"/>
              <w:left w:val="nil"/>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center"/>
              <w:rPr>
                <w:rFonts w:ascii="Times New Roman" w:hAnsi="Times New Roman"/>
              </w:rPr>
            </w:pPr>
            <w:r>
              <w:rPr>
                <w:rFonts w:ascii="Times New Roman" w:hAnsi="Times New Roman"/>
              </w:rPr>
              <w:t>47</w:t>
            </w:r>
          </w:p>
        </w:tc>
      </w:tr>
    </w:tbl>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eastAsia="SimSun;宋体" w:hAnsi="Times New Roman" w:cs="Arial"/>
          <w:color w:val="000000"/>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noProof/>
          <w:color w:val="000000"/>
          <w:lang w:eastAsia="es-ES" w:bidi="ar-SA"/>
        </w:rPr>
        <w:drawing>
          <wp:inline distT="0" distB="0" distL="0" distR="0">
            <wp:extent cx="5127625" cy="3960495"/>
            <wp:effectExtent l="0" t="0" r="0" b="0"/>
            <wp:docPr id="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pic:cNvPicPr>
                      <a:picLocks noChangeAspect="1" noChangeArrowheads="1"/>
                    </pic:cNvPicPr>
                  </pic:nvPicPr>
                  <pic:blipFill>
                    <a:blip r:embed="rId22"/>
                    <a:stretch>
                      <a:fillRect/>
                    </a:stretch>
                  </pic:blipFill>
                  <pic:spPr bwMode="auto">
                    <a:xfrm>
                      <a:off x="0" y="0"/>
                      <a:ext cx="5127625" cy="3960495"/>
                    </a:xfrm>
                    <a:prstGeom prst="rect">
                      <a:avLst/>
                    </a:prstGeom>
                    <a:noFill/>
                    <a:ln w="9525">
                      <a:noFill/>
                      <a:miter lim="800000"/>
                      <a:headEnd/>
                      <a:tailEnd/>
                    </a:ln>
                  </pic:spPr>
                </pic:pic>
              </a:graphicData>
            </a:graphic>
          </wp:inline>
        </w:drawing>
      </w:r>
    </w:p>
    <w:p w:rsidR="001B03C2" w:rsidRDefault="009B166E">
      <w:pPr>
        <w:spacing w:line="480" w:lineRule="auto"/>
        <w:jc w:val="both"/>
        <w:rPr>
          <w:rFonts w:ascii="Times New Roman" w:eastAsia="SimSun;宋体" w:hAnsi="Times New Roman" w:cs="Arial"/>
          <w:i/>
          <w:iCs/>
          <w:color w:val="000000"/>
          <w:sz w:val="20"/>
          <w:szCs w:val="20"/>
        </w:rPr>
      </w:pPr>
      <w:r>
        <w:rPr>
          <w:rFonts w:ascii="Times New Roman" w:eastAsia="SimSun;宋体" w:hAnsi="Times New Roman" w:cs="Arial"/>
          <w:i/>
          <w:iCs/>
          <w:color w:val="000000"/>
          <w:sz w:val="20"/>
          <w:szCs w:val="20"/>
        </w:rPr>
        <w:t>Figura 15. Diagrama de cajas para las puntuaciones del EVA-paciente en ambos grupos.</w:t>
      </w:r>
    </w:p>
    <w:p w:rsidR="001B03C2" w:rsidRDefault="001B03C2">
      <w:pPr>
        <w:spacing w:line="480" w:lineRule="auto"/>
        <w:jc w:val="both"/>
        <w:rPr>
          <w:rFonts w:ascii="Times New Roman" w:eastAsia="SimSun;宋体" w:hAnsi="Times New Roman" w:cs="Arial"/>
          <w:color w:val="000000"/>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eastAsia="SimSun;宋体" w:hAnsi="Times New Roman" w:cs="Arial"/>
          <w:b/>
          <w:bCs/>
          <w:color w:val="000000"/>
        </w:rPr>
      </w:pPr>
      <w:r>
        <w:rPr>
          <w:rFonts w:ascii="Times New Roman" w:hAnsi="Times New Roman" w:cs="Arial"/>
          <w:b/>
          <w:bCs/>
        </w:rPr>
        <w:t xml:space="preserve">9.10 </w:t>
      </w:r>
      <w:r>
        <w:rPr>
          <w:rFonts w:ascii="Times New Roman" w:eastAsia="SimSun;宋体" w:hAnsi="Times New Roman" w:cs="Arial"/>
          <w:b/>
          <w:bCs/>
          <w:color w:val="000000"/>
        </w:rPr>
        <w:t>INGRESO HOSPITALARIO.</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 xml:space="preserve">No hubo ningún ingrego hospitalario en </w:t>
      </w:r>
      <w:r>
        <w:rPr>
          <w:rFonts w:ascii="Times New Roman" w:eastAsia="SimSun;宋体" w:hAnsi="Times New Roman" w:cs="Arial"/>
          <w:color w:val="000000"/>
        </w:rPr>
        <w:t>ninguno de los dos grupos.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b/>
          <w:bCs/>
          <w:color w:val="000000"/>
        </w:rPr>
      </w:pPr>
      <w:r>
        <w:rPr>
          <w:rFonts w:ascii="Times New Roman" w:hAnsi="Times New Roman" w:cs="Arial"/>
          <w:b/>
          <w:bCs/>
        </w:rPr>
        <w:t xml:space="preserve">9.11  </w:t>
      </w:r>
      <w:r>
        <w:rPr>
          <w:rFonts w:ascii="Times New Roman" w:eastAsia="SimSun;宋体" w:hAnsi="Times New Roman" w:cs="Arial"/>
          <w:b/>
          <w:bCs/>
          <w:color w:val="000000"/>
        </w:rPr>
        <w:t>ALTA PRECOZ.</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rPr>
      </w:pPr>
      <w:r>
        <w:rPr>
          <w:rFonts w:ascii="Times New Roman" w:eastAsia="SimSun;宋体" w:hAnsi="Times New Roman" w:cs="Arial"/>
          <w:color w:val="000000"/>
        </w:rPr>
        <w:t>No existieron diferencias entre los grupos en esta variable. Sólo hubo 2 pacientes en el grupo P que no pudieron ser dados de alta a los 30 minutos, siendo dados de alta a los 60 minutos sin referir complicac</w:t>
      </w:r>
      <w:r>
        <w:rPr>
          <w:rFonts w:ascii="Times New Roman" w:eastAsia="SimSun;宋体" w:hAnsi="Times New Roman" w:cs="Arial"/>
          <w:color w:val="000000"/>
        </w:rPr>
        <w:t>iones.</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b/>
          <w:bCs/>
          <w:color w:val="000000"/>
        </w:rPr>
      </w:pPr>
      <w:r>
        <w:rPr>
          <w:rFonts w:ascii="Times New Roman" w:hAnsi="Times New Roman" w:cs="Arial"/>
          <w:b/>
          <w:bCs/>
        </w:rPr>
        <w:t>9.12 GRADO DE RECUPERACIÓN TRAS 24 HORAS</w:t>
      </w:r>
      <w:r>
        <w:rPr>
          <w:rFonts w:ascii="Times New Roman" w:eastAsia="SimSun;宋体" w:hAnsi="Times New Roman" w:cs="Arial"/>
          <w:b/>
          <w:bCs/>
          <w:color w:val="000000"/>
        </w:rPr>
        <w:t>.</w:t>
      </w:r>
    </w:p>
    <w:p w:rsidR="001B03C2" w:rsidRDefault="001B03C2">
      <w:pPr>
        <w:spacing w:line="480" w:lineRule="auto"/>
        <w:jc w:val="both"/>
        <w:rPr>
          <w:rFonts w:ascii="Times New Roman" w:hAnsi="Times New Roman" w:cs="Arial"/>
        </w:rPr>
      </w:pPr>
    </w:p>
    <w:p w:rsidR="001B03C2" w:rsidRDefault="009B166E">
      <w:pPr>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rPr>
        <w:t>La valoración del estado de los pacientes una vez transcurridas 24 horas se llevó a cabo mediante una encuesta telefónica. Hubo unas pérdidas de 13 pacientes en cada uno de los grupos del estudio, al no se</w:t>
      </w:r>
      <w:r>
        <w:rPr>
          <w:rFonts w:ascii="Times New Roman" w:eastAsia="SimSun;宋体" w:hAnsi="Times New Roman" w:cs="Arial"/>
          <w:color w:val="000000"/>
        </w:rPr>
        <w:t>r posible contactar con ellos telefónicamente siguiendo las instrucciones del protocolo del estudio. Por esa razón el número de pacientes sobre los que se realiza esta valoración resultó de 126 en cada grupo. No hubo diferencias significativas en las varia</w:t>
      </w:r>
      <w:r>
        <w:rPr>
          <w:rFonts w:ascii="Times New Roman" w:eastAsia="SimSun;宋体" w:hAnsi="Times New Roman" w:cs="Arial"/>
          <w:color w:val="000000"/>
        </w:rPr>
        <w:t>bles valoradas mediante la encuesta telefónica (dolor, NVPO, tolerancia oral y desorientación) (Tabla 20). La media de horas transcurridas hasta que los sujetos consideraban encontrarse en condiciones normales fue similar en ambos grupos ( 4.35 +/- 6.09 ho</w:t>
      </w:r>
      <w:r>
        <w:rPr>
          <w:rFonts w:ascii="Times New Roman" w:eastAsia="SimSun;宋体" w:hAnsi="Times New Roman" w:cs="Arial"/>
          <w:color w:val="000000"/>
        </w:rPr>
        <w:t>ras en el grupo S y 4.14 +/- 6.38 horas en el grupo P,</w:t>
      </w:r>
      <w:r>
        <w:rPr>
          <w:rFonts w:ascii="Times New Roman" w:eastAsia="SimSun;宋体" w:hAnsi="Times New Roman" w:cs="Arial"/>
          <w:color w:val="000000"/>
          <w:shd w:val="clear" w:color="auto" w:fill="FFFFFF"/>
        </w:rPr>
        <w:t xml:space="preserve"> (test de t-student, t=-0.241; g.d.l.=249; p-valor= 0.810)</w:t>
      </w:r>
      <w:r>
        <w:rPr>
          <w:rFonts w:ascii="Times New Roman" w:eastAsia="SimSun;宋体" w:hAnsi="Times New Roman" w:cs="Arial"/>
          <w:color w:val="000000"/>
        </w:rPr>
        <w:t xml:space="preserve">, así como la cantidad de pacientes que volverían a repetir la prueba con el mismo modo de sedación ( 123 casos en el Grupo S (97.6%) y 122 casos en el Grupo P( 96.8%), </w:t>
      </w:r>
      <w:r>
        <w:rPr>
          <w:rFonts w:ascii="Times New Roman" w:eastAsia="SimSun;宋体" w:hAnsi="Times New Roman" w:cs="Arial"/>
          <w:color w:val="000000"/>
          <w:shd w:val="clear" w:color="auto" w:fill="FFFFFF"/>
        </w:rPr>
        <w:t>(Chi cuadrado-test exacto de Fisher= 0.188; g.d.l.=1; p-valor = 0.508)</w:t>
      </w:r>
      <w:r>
        <w:rPr>
          <w:rFonts w:ascii="Times New Roman" w:eastAsia="SimSun;宋体" w:hAnsi="Times New Roman" w:cs="Arial"/>
          <w:color w:val="000000"/>
        </w:rPr>
        <w:t xml:space="preserve">. Finalmente, la </w:t>
      </w:r>
      <w:r>
        <w:rPr>
          <w:rFonts w:ascii="Times New Roman" w:eastAsia="SimSun;宋体" w:hAnsi="Times New Roman" w:cs="Arial"/>
          <w:color w:val="000000"/>
        </w:rPr>
        <w:t xml:space="preserve">puntuación obtenida en la valoración telefónica realizada por los pacientes de ambos </w:t>
      </w:r>
      <w:r>
        <w:rPr>
          <w:rFonts w:ascii="Times New Roman" w:eastAsia="SimSun;宋体" w:hAnsi="Times New Roman" w:cs="Arial"/>
          <w:color w:val="000000"/>
        </w:rPr>
        <w:lastRenderedPageBreak/>
        <w:t xml:space="preserve">grupos resultó también similar (9.58 +/- 1.038 puntos en el Grupo S y 9.68 +/- 0.739 puntos en el Grupo P </w:t>
      </w:r>
      <w:r>
        <w:rPr>
          <w:rFonts w:ascii="Times New Roman" w:eastAsia="SimSun;宋体" w:hAnsi="Times New Roman" w:cs="Arial"/>
          <w:color w:val="000000"/>
          <w:shd w:val="clear" w:color="auto" w:fill="FFFFFF"/>
        </w:rPr>
        <w:t>(test t-student, t=-0.859; g.d.l.=248; p-valor= 0.391).</w:t>
      </w: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cs="Arial"/>
          <w:i/>
          <w:iCs/>
          <w:sz w:val="20"/>
          <w:szCs w:val="20"/>
        </w:rPr>
      </w:pPr>
      <w:r>
        <w:rPr>
          <w:rFonts w:ascii="Times New Roman" w:hAnsi="Times New Roman" w:cs="Arial"/>
          <w:i/>
          <w:iCs/>
          <w:sz w:val="20"/>
          <w:szCs w:val="20"/>
        </w:rPr>
        <w:t>Tabla 20</w:t>
      </w:r>
      <w:r>
        <w:rPr>
          <w:rFonts w:ascii="Times New Roman" w:hAnsi="Times New Roman" w:cs="Arial"/>
          <w:i/>
          <w:iCs/>
          <w:sz w:val="20"/>
          <w:szCs w:val="20"/>
        </w:rPr>
        <w:t xml:space="preserve">. Estado de recuperación  y grado de satisfacción de los pacientes tras 24 horas. </w:t>
      </w:r>
    </w:p>
    <w:tbl>
      <w:tblPr>
        <w:tblW w:w="0" w:type="auto"/>
        <w:tblInd w:w="43" w:type="dxa"/>
        <w:tblBorders>
          <w:top w:val="single" w:sz="2" w:space="0" w:color="000001"/>
          <w:left w:val="single" w:sz="2" w:space="0" w:color="000001"/>
          <w:bottom w:val="single" w:sz="2" w:space="0" w:color="000001"/>
          <w:right w:val="nil"/>
          <w:insideH w:val="single" w:sz="2" w:space="0" w:color="000001"/>
          <w:insideV w:val="nil"/>
        </w:tblBorders>
        <w:tblCellMar>
          <w:top w:w="55" w:type="dxa"/>
          <w:left w:w="39" w:type="dxa"/>
          <w:bottom w:w="55" w:type="dxa"/>
          <w:right w:w="55" w:type="dxa"/>
        </w:tblCellMar>
        <w:tblLook w:val="0000"/>
      </w:tblPr>
      <w:tblGrid>
        <w:gridCol w:w="3910"/>
        <w:gridCol w:w="2262"/>
        <w:gridCol w:w="2098"/>
        <w:gridCol w:w="1375"/>
      </w:tblGrid>
      <w:tr w:rsidR="001B03C2">
        <w:trPr>
          <w:cantSplit/>
        </w:trPr>
        <w:tc>
          <w:tcPr>
            <w:tcW w:w="3910" w:type="dxa"/>
            <w:tcBorders>
              <w:top w:val="single" w:sz="2" w:space="0" w:color="000001"/>
              <w:left w:val="single" w:sz="2" w:space="0" w:color="000001"/>
              <w:bottom w:val="single" w:sz="2" w:space="0" w:color="000001"/>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c>
          <w:tcPr>
            <w:tcW w:w="2262"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S ( n=126)</w:t>
            </w:r>
          </w:p>
        </w:tc>
        <w:tc>
          <w:tcPr>
            <w:tcW w:w="2098" w:type="dxa"/>
            <w:tcBorders>
              <w:top w:val="single" w:sz="2" w:space="0" w:color="000001"/>
              <w:left w:val="single" w:sz="2" w:space="0" w:color="000001"/>
              <w:bottom w:val="single" w:sz="2" w:space="0" w:color="000001"/>
              <w:right w:val="nil"/>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Grupo P ( n=126)</w:t>
            </w:r>
          </w:p>
        </w:tc>
        <w:tc>
          <w:tcPr>
            <w:tcW w:w="1375" w:type="dxa"/>
            <w:tcBorders>
              <w:top w:val="single" w:sz="2" w:space="0" w:color="000001"/>
              <w:left w:val="single" w:sz="2" w:space="0" w:color="000001"/>
              <w:bottom w:val="single" w:sz="2" w:space="0" w:color="000001"/>
              <w:right w:val="single" w:sz="2" w:space="0" w:color="000001"/>
            </w:tcBorders>
            <w:shd w:val="clear" w:color="auto" w:fill="FFFF99"/>
            <w:tcMar>
              <w:left w:w="39" w:type="dxa"/>
            </w:tcMar>
          </w:tcPr>
          <w:p w:rsidR="001B03C2" w:rsidRDefault="009B166E">
            <w:pPr>
              <w:pStyle w:val="Contenidodelatabla"/>
              <w:spacing w:line="480" w:lineRule="auto"/>
              <w:jc w:val="both"/>
              <w:rPr>
                <w:rFonts w:ascii="Times New Roman" w:hAnsi="Times New Roman" w:cs="Arial"/>
                <w:b/>
                <w:bCs/>
                <w:color w:val="FF3333"/>
              </w:rPr>
            </w:pPr>
            <w:r>
              <w:rPr>
                <w:rFonts w:ascii="Times New Roman" w:hAnsi="Times New Roman" w:cs="Arial"/>
                <w:b/>
                <w:bCs/>
                <w:color w:val="FF3333"/>
              </w:rPr>
              <w:t>p-Valor</w:t>
            </w:r>
          </w:p>
        </w:tc>
      </w:tr>
      <w:tr w:rsidR="001B03C2">
        <w:trPr>
          <w:cantSplit/>
        </w:trPr>
        <w:tc>
          <w:tcPr>
            <w:tcW w:w="391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eastAsia="Arial" w:hAnsi="Times New Roman" w:cs="Arial"/>
              </w:rPr>
            </w:pPr>
            <w:r>
              <w:rPr>
                <w:rFonts w:ascii="Times New Roman" w:hAnsi="Times New Roman" w:cs="Arial"/>
              </w:rPr>
              <w:t>Dolor tras 24h</w:t>
            </w:r>
            <w:r>
              <w:rPr>
                <w:rFonts w:ascii="Times New Roman" w:eastAsia="Arial" w:hAnsi="Times New Roman" w:cs="Arial"/>
              </w:rPr>
              <w:t>**</w:t>
            </w:r>
          </w:p>
        </w:tc>
        <w:tc>
          <w:tcPr>
            <w:tcW w:w="2262" w:type="dxa"/>
            <w:tcBorders>
              <w:top w:val="single" w:sz="2" w:space="0" w:color="000001"/>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eastAsia="Arial" w:hAnsi="Times New Roman" w:cs="Arial"/>
              </w:rPr>
            </w:pPr>
            <w:r>
              <w:rPr>
                <w:rFonts w:ascii="Times New Roman" w:eastAsia="Arial" w:hAnsi="Times New Roman" w:cs="Arial"/>
              </w:rPr>
              <w:t xml:space="preserve"> </w:t>
            </w:r>
          </w:p>
        </w:tc>
        <w:tc>
          <w:tcPr>
            <w:tcW w:w="2098"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c>
          <w:tcPr>
            <w:tcW w:w="1375"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0.680</w:t>
            </w:r>
          </w:p>
        </w:tc>
      </w:tr>
      <w:tr w:rsidR="001B03C2">
        <w:trPr>
          <w:cantSplit/>
        </w:trPr>
        <w:tc>
          <w:tcPr>
            <w:tcW w:w="391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No</w:t>
            </w:r>
          </w:p>
        </w:tc>
        <w:tc>
          <w:tcPr>
            <w:tcW w:w="2262"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104 (82.5%)</w:t>
            </w:r>
          </w:p>
        </w:tc>
        <w:tc>
          <w:tcPr>
            <w:tcW w:w="2098"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104 (82.5%)</w:t>
            </w:r>
          </w:p>
        </w:tc>
        <w:tc>
          <w:tcPr>
            <w:tcW w:w="1375"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Sí, sin analgésicos</w:t>
            </w:r>
          </w:p>
        </w:tc>
        <w:tc>
          <w:tcPr>
            <w:tcW w:w="2262"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18 ( 14.3%)</w:t>
            </w:r>
          </w:p>
        </w:tc>
        <w:tc>
          <w:tcPr>
            <w:tcW w:w="2098"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20 ( 15.9%)</w:t>
            </w:r>
          </w:p>
        </w:tc>
        <w:tc>
          <w:tcPr>
            <w:tcW w:w="1375"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 xml:space="preserve">Sí, con </w:t>
            </w:r>
            <w:r>
              <w:rPr>
                <w:rFonts w:ascii="Times New Roman" w:hAnsi="Times New Roman" w:cs="Arial"/>
              </w:rPr>
              <w:t>analgésicos</w:t>
            </w:r>
          </w:p>
        </w:tc>
        <w:tc>
          <w:tcPr>
            <w:tcW w:w="2262"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 (3.2%)</w:t>
            </w:r>
          </w:p>
        </w:tc>
        <w:tc>
          <w:tcPr>
            <w:tcW w:w="2098"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 ( 1.6%)</w:t>
            </w:r>
          </w:p>
        </w:tc>
        <w:tc>
          <w:tcPr>
            <w:tcW w:w="1375"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single" w:sz="2" w:space="0" w:color="000001"/>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NVPO tras 24h**</w:t>
            </w:r>
          </w:p>
        </w:tc>
        <w:tc>
          <w:tcPr>
            <w:tcW w:w="2262" w:type="dxa"/>
            <w:tcBorders>
              <w:top w:val="single" w:sz="2" w:space="0" w:color="000001"/>
              <w:left w:val="nil"/>
              <w:bottom w:val="nil"/>
              <w:right w:val="nil"/>
            </w:tcBorders>
            <w:shd w:val="clear" w:color="auto" w:fill="FFFFFF"/>
            <w:tcMar>
              <w:left w:w="56" w:type="dxa"/>
            </w:tcMar>
          </w:tcPr>
          <w:p w:rsidR="001B03C2" w:rsidRDefault="001B03C2">
            <w:pPr>
              <w:pStyle w:val="Contenidodelatabla"/>
              <w:spacing w:line="480" w:lineRule="auto"/>
              <w:jc w:val="both"/>
              <w:rPr>
                <w:rFonts w:ascii="Times New Roman" w:hAnsi="Times New Roman" w:cs="Arial"/>
              </w:rPr>
            </w:pPr>
          </w:p>
        </w:tc>
        <w:tc>
          <w:tcPr>
            <w:tcW w:w="2098" w:type="dxa"/>
            <w:tcBorders>
              <w:top w:val="single" w:sz="2" w:space="0" w:color="000001"/>
              <w:left w:val="nil"/>
              <w:bottom w:val="nil"/>
              <w:right w:val="nil"/>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c>
          <w:tcPr>
            <w:tcW w:w="1375" w:type="dxa"/>
            <w:tcBorders>
              <w:top w:val="single" w:sz="2" w:space="0" w:color="000001"/>
              <w:left w:val="nil"/>
              <w:bottom w:val="nil"/>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0.481</w:t>
            </w:r>
          </w:p>
        </w:tc>
      </w:tr>
      <w:tr w:rsidR="001B03C2">
        <w:trPr>
          <w:cantSplit/>
        </w:trPr>
        <w:tc>
          <w:tcPr>
            <w:tcW w:w="391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No</w:t>
            </w:r>
          </w:p>
        </w:tc>
        <w:tc>
          <w:tcPr>
            <w:tcW w:w="2262"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122 (96.8%)</w:t>
            </w:r>
          </w:p>
        </w:tc>
        <w:tc>
          <w:tcPr>
            <w:tcW w:w="2098"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119 (94.4%)</w:t>
            </w:r>
          </w:p>
        </w:tc>
        <w:tc>
          <w:tcPr>
            <w:tcW w:w="1375"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nil"/>
              <w:left w:val="single" w:sz="2" w:space="0" w:color="000001"/>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Sí, sin antieméticos</w:t>
            </w:r>
          </w:p>
        </w:tc>
        <w:tc>
          <w:tcPr>
            <w:tcW w:w="2262" w:type="dxa"/>
            <w:tcBorders>
              <w:top w:val="nil"/>
              <w:left w:val="nil"/>
              <w:bottom w:val="nil"/>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 (3.2%)</w:t>
            </w:r>
          </w:p>
        </w:tc>
        <w:tc>
          <w:tcPr>
            <w:tcW w:w="2098" w:type="dxa"/>
            <w:tcBorders>
              <w:top w:val="nil"/>
              <w:left w:val="nil"/>
              <w:bottom w:val="nil"/>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6 ( 4.8%)</w:t>
            </w:r>
          </w:p>
        </w:tc>
        <w:tc>
          <w:tcPr>
            <w:tcW w:w="1375" w:type="dxa"/>
            <w:tcBorders>
              <w:top w:val="nil"/>
              <w:left w:val="nil"/>
              <w:bottom w:val="nil"/>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eastAsia="Arial" w:hAnsi="Times New Roman" w:cs="Arial"/>
              </w:rPr>
              <w:t xml:space="preserve">    </w:t>
            </w:r>
            <w:r>
              <w:rPr>
                <w:rFonts w:ascii="Times New Roman" w:hAnsi="Times New Roman" w:cs="Arial"/>
              </w:rPr>
              <w:t>Sí, con antieméticos</w:t>
            </w:r>
          </w:p>
        </w:tc>
        <w:tc>
          <w:tcPr>
            <w:tcW w:w="2262" w:type="dxa"/>
            <w:tcBorders>
              <w:top w:val="nil"/>
              <w:left w:val="nil"/>
              <w:bottom w:val="single" w:sz="2" w:space="0" w:color="000001"/>
              <w:right w:val="nil"/>
            </w:tcBorders>
            <w:shd w:val="clear" w:color="auto" w:fill="FFFFFF"/>
            <w:tcMar>
              <w:left w:w="56"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 (0%)</w:t>
            </w:r>
          </w:p>
        </w:tc>
        <w:tc>
          <w:tcPr>
            <w:tcW w:w="2098" w:type="dxa"/>
            <w:tcBorders>
              <w:top w:val="nil"/>
              <w:left w:val="nil"/>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 ( 0.8%)</w:t>
            </w:r>
          </w:p>
        </w:tc>
        <w:tc>
          <w:tcPr>
            <w:tcW w:w="1375" w:type="dxa"/>
            <w:tcBorders>
              <w:top w:val="nil"/>
              <w:left w:val="nil"/>
              <w:bottom w:val="single" w:sz="2" w:space="0" w:color="000001"/>
              <w:right w:val="single" w:sz="2" w:space="0" w:color="000001"/>
            </w:tcBorders>
            <w:shd w:val="clear" w:color="auto" w:fill="FFFFFF"/>
            <w:tcMar>
              <w:left w:w="39" w:type="dxa"/>
            </w:tcMar>
          </w:tcPr>
          <w:p w:rsidR="001B03C2" w:rsidRDefault="001B03C2">
            <w:pPr>
              <w:pStyle w:val="Contenidodelatabla"/>
              <w:spacing w:line="480" w:lineRule="auto"/>
              <w:jc w:val="both"/>
              <w:rPr>
                <w:rFonts w:ascii="Times New Roman" w:hAnsi="Times New Roman" w:cs="Arial"/>
              </w:rPr>
            </w:pP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Tolerancia oral correcta tras 2h**</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120 (95.2%)</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120 (95.2%)</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0.768</w:t>
            </w: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 xml:space="preserve">Pudieron </w:t>
            </w:r>
            <w:r>
              <w:rPr>
                <w:rFonts w:ascii="Times New Roman" w:hAnsi="Times New Roman" w:cs="Arial"/>
              </w:rPr>
              <w:t>hacer actividades diarias**</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122 ( 96.8%)</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121 ( 96%)</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0.635</w:t>
            </w: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Desorientación**</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20 (15.9%)</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19 ( 15.1%)</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0.883</w:t>
            </w: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Horas hasta encontrarse “normal”*</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3.95 +/- 5.69</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4.14 +/- 6.38</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0.810</w:t>
            </w: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Repetirían la misma sedación**</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123 (97.6%)</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122 ( 96.8%)</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0.508</w:t>
            </w:r>
          </w:p>
        </w:tc>
      </w:tr>
      <w:tr w:rsidR="001B03C2">
        <w:trPr>
          <w:cantSplit/>
        </w:trPr>
        <w:tc>
          <w:tcPr>
            <w:tcW w:w="3910"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 xml:space="preserve">Puntuación </w:t>
            </w:r>
            <w:r>
              <w:rPr>
                <w:rFonts w:ascii="Times New Roman" w:hAnsi="Times New Roman" w:cs="Arial"/>
              </w:rPr>
              <w:t>telefónica ( 0-10)*</w:t>
            </w:r>
          </w:p>
        </w:tc>
        <w:tc>
          <w:tcPr>
            <w:tcW w:w="2262"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9.58 +/- 1.038</w:t>
            </w:r>
          </w:p>
        </w:tc>
        <w:tc>
          <w:tcPr>
            <w:tcW w:w="2098" w:type="dxa"/>
            <w:tcBorders>
              <w:top w:val="nil"/>
              <w:left w:val="single" w:sz="2" w:space="0" w:color="000001"/>
              <w:bottom w:val="single" w:sz="2" w:space="0" w:color="000001"/>
              <w:right w:val="nil"/>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9.68 +/- 0.739</w:t>
            </w:r>
          </w:p>
        </w:tc>
        <w:tc>
          <w:tcPr>
            <w:tcW w:w="1375" w:type="dxa"/>
            <w:tcBorders>
              <w:top w:val="nil"/>
              <w:left w:val="single" w:sz="2" w:space="0" w:color="000001"/>
              <w:bottom w:val="single" w:sz="2" w:space="0" w:color="000001"/>
              <w:right w:val="single" w:sz="2" w:space="0" w:color="000001"/>
            </w:tcBorders>
            <w:shd w:val="clear" w:color="auto" w:fill="FFFFFF"/>
            <w:tcMar>
              <w:left w:w="39" w:type="dxa"/>
            </w:tcMar>
          </w:tcPr>
          <w:p w:rsidR="001B03C2" w:rsidRDefault="009B166E">
            <w:pPr>
              <w:pStyle w:val="Contenidodelatabla"/>
              <w:spacing w:line="480" w:lineRule="auto"/>
              <w:jc w:val="both"/>
              <w:rPr>
                <w:rFonts w:ascii="Times New Roman" w:hAnsi="Times New Roman" w:cs="Arial"/>
              </w:rPr>
            </w:pPr>
            <w:r>
              <w:rPr>
                <w:rFonts w:ascii="Times New Roman" w:hAnsi="Times New Roman" w:cs="Arial"/>
              </w:rPr>
              <w:t>0.391</w:t>
            </w:r>
          </w:p>
        </w:tc>
      </w:tr>
    </w:tbl>
    <w:p w:rsidR="001B03C2" w:rsidRDefault="009B166E">
      <w:pPr>
        <w:shd w:val="clear" w:color="auto" w:fill="FFFFFF"/>
        <w:tabs>
          <w:tab w:val="left" w:pos="6495"/>
        </w:tabs>
        <w:spacing w:line="480" w:lineRule="auto"/>
        <w:jc w:val="both"/>
        <w:rPr>
          <w:rFonts w:ascii="Times New Roman" w:eastAsia="SimSun;宋体" w:hAnsi="Times New Roman" w:cs="Arial"/>
          <w:i/>
          <w:iCs/>
          <w:color w:val="000000"/>
          <w:sz w:val="20"/>
          <w:szCs w:val="20"/>
          <w:shd w:val="clear" w:color="auto" w:fill="FFFFFF"/>
        </w:rPr>
      </w:pPr>
      <w:r>
        <w:rPr>
          <w:rFonts w:ascii="Times New Roman" w:eastAsia="SimSun;宋体" w:hAnsi="Times New Roman" w:cs="Arial"/>
          <w:i/>
          <w:iCs/>
          <w:color w:val="000000"/>
          <w:sz w:val="20"/>
          <w:szCs w:val="20"/>
          <w:shd w:val="clear" w:color="auto" w:fill="FFFFFF"/>
        </w:rPr>
        <w:t>Datos expresados como: *Media +/- DS y ** Número de pacientes y porcentaje entre paréntesis.</w:t>
      </w:r>
    </w:p>
    <w:p w:rsidR="001B03C2" w:rsidRDefault="001B03C2">
      <w:pPr>
        <w:spacing w:line="480" w:lineRule="auto"/>
        <w:ind w:left="360"/>
        <w:jc w:val="both"/>
        <w:rPr>
          <w:rFonts w:ascii="Times New Roman" w:hAnsi="Times New Roman" w:cs="Times New Roman"/>
        </w:rPr>
      </w:pPr>
    </w:p>
    <w:p w:rsidR="001B03C2" w:rsidRDefault="001B03C2">
      <w:pPr>
        <w:tabs>
          <w:tab w:val="left" w:pos="142"/>
        </w:tabs>
        <w:spacing w:line="480" w:lineRule="auto"/>
        <w:ind w:left="-218"/>
        <w:jc w:val="both"/>
        <w:rPr>
          <w:rFonts w:ascii="Times New Roman" w:hAnsi="Times New Roman" w:cs="Times New Roman"/>
          <w:b/>
          <w:bCs/>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b/>
          <w:bCs/>
        </w:rPr>
      </w:pPr>
      <w:r>
        <w:rPr>
          <w:rFonts w:ascii="Times New Roman" w:hAnsi="Times New Roman"/>
          <w:b/>
          <w:bCs/>
        </w:rPr>
        <w:t>10. CONCLUSIONES.</w:t>
      </w:r>
    </w:p>
    <w:p w:rsidR="001B03C2" w:rsidRDefault="009B166E">
      <w:pPr>
        <w:spacing w:line="480" w:lineRule="auto"/>
        <w:jc w:val="both"/>
        <w:rPr>
          <w:rFonts w:ascii="Times New Roman" w:hAnsi="Times New Roman"/>
        </w:rPr>
      </w:pPr>
      <w:r>
        <w:rPr>
          <w:rFonts w:ascii="Times New Roman" w:hAnsi="Times New Roman"/>
        </w:rPr>
        <w:t>Tras realiza una revisión de la literatura científica, existen muy pocos estudios que evalúen el empleo de sevoflurano de forma aislada para sedación de pacientes sometidos a colonoscopias. No encontramos estudios que, empleando este fármaco, evalúen la ca</w:t>
      </w:r>
      <w:r>
        <w:rPr>
          <w:rFonts w:ascii="Times New Roman" w:hAnsi="Times New Roman"/>
        </w:rPr>
        <w:t>lidad de la sedación. Así pues, con la intención de evaluar la eficacia de la sedación inhalatoria como alternativa a la intravenosa convencional, se planteó este ensayo clínico unicéntrico fase IV.</w:t>
      </w:r>
    </w:p>
    <w:p w:rsidR="001B03C2" w:rsidRDefault="009B166E">
      <w:pPr>
        <w:spacing w:line="480" w:lineRule="auto"/>
        <w:jc w:val="both"/>
        <w:rPr>
          <w:rFonts w:ascii="Times New Roman" w:hAnsi="Times New Roman"/>
        </w:rPr>
      </w:pPr>
      <w:r>
        <w:rPr>
          <w:rFonts w:ascii="Times New Roman" w:hAnsi="Times New Roman"/>
        </w:rPr>
        <w:t>La efectividad, definida como la calidad de la colonoscop</w:t>
      </w:r>
      <w:r>
        <w:rPr>
          <w:rFonts w:ascii="Times New Roman" w:hAnsi="Times New Roman"/>
        </w:rPr>
        <w:t>ia evaluada por el médico endoscopista, resultó similar en ambos grupos de pacientes.</w:t>
      </w:r>
    </w:p>
    <w:p w:rsidR="001B03C2" w:rsidRDefault="009B166E">
      <w:pPr>
        <w:spacing w:line="480" w:lineRule="auto"/>
        <w:jc w:val="both"/>
        <w:rPr>
          <w:rFonts w:ascii="Times New Roman" w:hAnsi="Times New Roman"/>
        </w:rPr>
      </w:pPr>
      <w:r>
        <w:rPr>
          <w:rFonts w:ascii="Times New Roman" w:hAnsi="Times New Roman"/>
        </w:rPr>
        <w:t>La tasa de colonoscopias finalizadas y el tiempo empleado en las mismas resultó similar en ambos grupos.</w:t>
      </w:r>
    </w:p>
    <w:p w:rsidR="001B03C2" w:rsidRDefault="009B166E">
      <w:pPr>
        <w:spacing w:line="480" w:lineRule="auto"/>
        <w:jc w:val="both"/>
        <w:rPr>
          <w:rFonts w:ascii="Times New Roman" w:hAnsi="Times New Roman"/>
        </w:rPr>
      </w:pPr>
      <w:r>
        <w:rPr>
          <w:rFonts w:ascii="Times New Roman" w:hAnsi="Times New Roman"/>
        </w:rPr>
        <w:t>Los movimientos realizados por los pacientes durante la exploraci</w:t>
      </w:r>
      <w:r>
        <w:rPr>
          <w:rFonts w:ascii="Times New Roman" w:hAnsi="Times New Roman"/>
        </w:rPr>
        <w:t>ón no dificultó la realización de ésta.</w:t>
      </w:r>
    </w:p>
    <w:p w:rsidR="001B03C2" w:rsidRDefault="009B166E">
      <w:pPr>
        <w:spacing w:line="480" w:lineRule="auto"/>
        <w:jc w:val="both"/>
        <w:rPr>
          <w:rFonts w:ascii="Times New Roman" w:hAnsi="Times New Roman"/>
        </w:rPr>
      </w:pPr>
      <w:r>
        <w:rPr>
          <w:rFonts w:ascii="Times New Roman" w:hAnsi="Times New Roman"/>
        </w:rPr>
        <w:t>La tasa de complicaciones respiratorias resultó baja en ambos grupos, produciéndose un sólo caso de apnea respiratoria en el grupo de sedación intravenosa. En cuanto a las maniobras de auxilio de la vía aérea, la sub</w:t>
      </w:r>
      <w:r>
        <w:rPr>
          <w:rFonts w:ascii="Times New Roman" w:hAnsi="Times New Roman"/>
        </w:rPr>
        <w:t xml:space="preserve">luxación mandibular fue necesaria en mayor número de ocasiones en el grupo de sedación inhalatoria, probablemente por la mayor capacidad del fármaco de mantener la ventilación </w:t>
      </w:r>
      <w:r>
        <w:rPr>
          <w:rFonts w:ascii="Times New Roman" w:hAnsi="Times New Roman"/>
        </w:rPr>
        <w:lastRenderedPageBreak/>
        <w:t>espontánea.</w:t>
      </w:r>
    </w:p>
    <w:p w:rsidR="001B03C2" w:rsidRDefault="009B166E">
      <w:pPr>
        <w:spacing w:line="480" w:lineRule="auto"/>
        <w:jc w:val="both"/>
        <w:rPr>
          <w:rFonts w:ascii="Times New Roman" w:hAnsi="Times New Roman"/>
        </w:rPr>
      </w:pPr>
      <w:r>
        <w:rPr>
          <w:rFonts w:ascii="Times New Roman" w:hAnsi="Times New Roman"/>
        </w:rPr>
        <w:t>La estabilidad hemodinámica fue la norma en ambos grupos de paciente</w:t>
      </w:r>
      <w:r>
        <w:rPr>
          <w:rFonts w:ascii="Times New Roman" w:hAnsi="Times New Roman"/>
        </w:rPr>
        <w:t>s.</w:t>
      </w:r>
    </w:p>
    <w:p w:rsidR="001B03C2" w:rsidRDefault="009B166E">
      <w:pPr>
        <w:spacing w:line="480" w:lineRule="auto"/>
        <w:jc w:val="both"/>
        <w:rPr>
          <w:rFonts w:ascii="Times New Roman" w:hAnsi="Times New Roman"/>
        </w:rPr>
      </w:pPr>
      <w:r>
        <w:rPr>
          <w:rFonts w:ascii="Times New Roman" w:hAnsi="Times New Roman"/>
        </w:rPr>
        <w:t>Hubo diferencias estadísticamente significativas en cuanto al número de pacientes con sedación excesiva, siendo ésta más frecuente en el grupo de sedación inhalatoria. Sin embargo, la tasa de recuperación precoz de los pacientes, la evaluación de la sed</w:t>
      </w:r>
      <w:r>
        <w:rPr>
          <w:rFonts w:ascii="Times New Roman" w:hAnsi="Times New Roman"/>
        </w:rPr>
        <w:t>ación por éstos mismos, y la tasa de altas hospitalarias fue muy similar en ambos grupos.</w:t>
      </w:r>
    </w:p>
    <w:p w:rsidR="001B03C2" w:rsidRDefault="009B166E">
      <w:pPr>
        <w:spacing w:line="480" w:lineRule="auto"/>
        <w:jc w:val="both"/>
        <w:rPr>
          <w:rFonts w:ascii="Times New Roman" w:hAnsi="Times New Roman"/>
        </w:rPr>
      </w:pPr>
      <w:r>
        <w:rPr>
          <w:rFonts w:ascii="Times New Roman" w:hAnsi="Times New Roman"/>
        </w:rPr>
        <w:t>En la evaluación de la presencia de complicaciones durante las 24 horas siguientes a la exploración, no se encontraron diferencias significativas, así como en el grad</w:t>
      </w:r>
      <w:r>
        <w:rPr>
          <w:rFonts w:ascii="Times New Roman" w:hAnsi="Times New Roman"/>
        </w:rPr>
        <w:t>o de satisfacción por parte de los pacientes.</w:t>
      </w:r>
    </w:p>
    <w:p w:rsidR="001B03C2" w:rsidRDefault="009B166E">
      <w:pPr>
        <w:shd w:val="clear" w:color="auto" w:fill="FFFFFF"/>
        <w:tabs>
          <w:tab w:val="left" w:pos="6495"/>
        </w:tabs>
        <w:spacing w:line="480" w:lineRule="auto"/>
        <w:jc w:val="both"/>
        <w:rPr>
          <w:rFonts w:ascii="Times New Roman" w:eastAsia="SimSun;宋体" w:hAnsi="Times New Roman" w:cs="Arial"/>
          <w:color w:val="000000"/>
          <w:shd w:val="clear" w:color="auto" w:fill="FFFFFF"/>
        </w:rPr>
      </w:pPr>
      <w:r>
        <w:rPr>
          <w:rFonts w:ascii="Times New Roman" w:eastAsia="SimSun;宋体" w:hAnsi="Times New Roman" w:cs="Arial"/>
          <w:color w:val="000000"/>
          <w:shd w:val="clear" w:color="auto" w:fill="FFFFFF"/>
        </w:rPr>
        <w:t xml:space="preserve">En conclusión, la sedación inhalatoria pura con sevoflurano administrado a través de mascarilla facial en los pacientes sometidos a sedación para realización de colonoscopia en régimen ambulatorio proporciona </w:t>
      </w:r>
      <w:r>
        <w:rPr>
          <w:rFonts w:ascii="Times New Roman" w:eastAsia="SimSun;宋体" w:hAnsi="Times New Roman" w:cs="Arial"/>
          <w:color w:val="000000"/>
          <w:shd w:val="clear" w:color="auto" w:fill="FFFFFF"/>
        </w:rPr>
        <w:t>unas condiciones similares a aquellas obtenidas mediante la sedación intravenosa convencional. La calidad de la sedación valorada por el endoscopista encargado de la colonoscopia resultó similar. En cuanto a las variables secundarias analizadas, en general</w:t>
      </w:r>
      <w:r>
        <w:rPr>
          <w:rFonts w:ascii="Times New Roman" w:eastAsia="SimSun;宋体" w:hAnsi="Times New Roman" w:cs="Arial"/>
          <w:color w:val="000000"/>
          <w:shd w:val="clear" w:color="auto" w:fill="FFFFFF"/>
        </w:rPr>
        <w:t xml:space="preserve"> no hubo diferencias  de relevancia clínica, excepto en la aparición de apnea respiratoria. Serían necesarios estudios con mayor número de pacientes y de carácter multicéntrico para ampliar los datos obtenidos.</w:t>
      </w:r>
    </w:p>
    <w:p w:rsidR="001B03C2" w:rsidRDefault="001B03C2">
      <w:pPr>
        <w:shd w:val="clear" w:color="auto" w:fill="FFFFFF"/>
        <w:tabs>
          <w:tab w:val="left" w:pos="6495"/>
        </w:tabs>
        <w:spacing w:line="480" w:lineRule="auto"/>
        <w:jc w:val="both"/>
        <w:rPr>
          <w:rFonts w:ascii="Times New Roman" w:eastAsia="SimSun;宋体" w:hAnsi="Times New Roman" w:cs="Arial"/>
          <w:color w:val="000000"/>
          <w:shd w:val="clear" w:color="auto" w:fill="FFFFFF"/>
        </w:rPr>
      </w:pPr>
    </w:p>
    <w:p w:rsidR="001B03C2" w:rsidRDefault="001B03C2">
      <w:pPr>
        <w:spacing w:line="480" w:lineRule="auto"/>
        <w:jc w:val="both"/>
        <w:rPr>
          <w:rFonts w:ascii="Times New Roman" w:hAnsi="Times New Roman"/>
          <w:b/>
          <w:bCs/>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1B03C2">
      <w:pPr>
        <w:spacing w:line="480" w:lineRule="auto"/>
        <w:jc w:val="both"/>
        <w:rPr>
          <w:rFonts w:hint="eastAsia"/>
        </w:rPr>
      </w:pPr>
    </w:p>
    <w:p w:rsidR="001B03C2" w:rsidRDefault="009B166E">
      <w:pPr>
        <w:spacing w:line="480" w:lineRule="auto"/>
        <w:jc w:val="both"/>
        <w:rPr>
          <w:rFonts w:ascii="Times New Roman" w:hAnsi="Times New Roman"/>
          <w:b/>
          <w:bCs/>
        </w:rPr>
      </w:pPr>
      <w:r>
        <w:rPr>
          <w:rFonts w:ascii="Times New Roman" w:hAnsi="Times New Roman"/>
          <w:b/>
          <w:bCs/>
        </w:rPr>
        <w:t xml:space="preserve">11. REFERENCIAS </w:t>
      </w:r>
      <w:r>
        <w:rPr>
          <w:rFonts w:ascii="Times New Roman" w:hAnsi="Times New Roman"/>
          <w:b/>
          <w:bCs/>
        </w:rPr>
        <w:t>BIBLIOGRÁFICAS.</w:t>
      </w:r>
    </w:p>
    <w:p w:rsidR="001B03C2" w:rsidRPr="00AA2F17" w:rsidRDefault="009B166E">
      <w:pPr>
        <w:spacing w:line="480" w:lineRule="auto"/>
        <w:jc w:val="both"/>
        <w:rPr>
          <w:rFonts w:ascii="Times New Roman" w:hAnsi="Times New Roman" w:cs="Arial"/>
          <w:lang w:val="en-US"/>
        </w:rPr>
      </w:pPr>
      <w:r>
        <w:rPr>
          <w:rFonts w:ascii="Times New Roman" w:hAnsi="Times New Roman"/>
        </w:rPr>
        <w:t xml:space="preserve">1.- </w:t>
      </w:r>
      <w:r>
        <w:rPr>
          <w:rFonts w:ascii="Times New Roman" w:hAnsi="Times New Roman" w:cs="Arial"/>
        </w:rPr>
        <w:t xml:space="preserve">Wolff WI, Shinya H. Colonosfiberoscopy. </w:t>
      </w:r>
      <w:r w:rsidRPr="00AA2F17">
        <w:rPr>
          <w:rFonts w:ascii="Times New Roman" w:hAnsi="Times New Roman" w:cs="Arial"/>
          <w:lang w:val="en-US"/>
        </w:rPr>
        <w:t>Journal of the American Medical Association 1971;217,11: 1509-1512.</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 </w:t>
      </w:r>
      <w:r w:rsidRPr="00AA2F17">
        <w:rPr>
          <w:rFonts w:ascii="Times New Roman" w:hAnsi="Times New Roman" w:cs="Arial"/>
          <w:lang w:val="en-US"/>
        </w:rPr>
        <w:t>Schmidt TD. Colonoscopy. Encyclopedia of Gastroenterology. 2004. Leonard Johnson ed. Elsevier, Nueva York: 449-456.</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 </w:t>
      </w:r>
      <w:r w:rsidRPr="00AA2F17">
        <w:rPr>
          <w:rFonts w:ascii="Times New Roman" w:hAnsi="Times New Roman" w:cs="Arial"/>
          <w:lang w:val="en-US"/>
        </w:rPr>
        <w:t>Taka</w:t>
      </w:r>
      <w:r w:rsidRPr="00AA2F17">
        <w:rPr>
          <w:rFonts w:ascii="Times New Roman" w:hAnsi="Times New Roman" w:cs="Arial"/>
          <w:lang w:val="en-US"/>
        </w:rPr>
        <w:t>hashi Y, Tanaka H, Kinjo M, Sakumoto K, 2005</w:t>
      </w:r>
      <w:r w:rsidRPr="00AA2F17">
        <w:rPr>
          <w:rFonts w:ascii="Times New Roman" w:hAnsi="Times New Roman" w:cs="Arial"/>
          <w:vertAlign w:val="superscript"/>
          <w:lang w:val="en-US"/>
        </w:rPr>
        <w:t>a</w:t>
      </w:r>
      <w:r w:rsidRPr="00AA2F17">
        <w:rPr>
          <w:rFonts w:ascii="Times New Roman" w:hAnsi="Times New Roman" w:cs="Arial"/>
          <w:lang w:val="en-US"/>
        </w:rPr>
        <w:t>. Prospective evaluation of factors predicting difficulting and pain during sedation-free colonoscopy. Diseases of the colon y rectum. 2005</w:t>
      </w:r>
      <w:r w:rsidRPr="00AA2F17">
        <w:rPr>
          <w:rFonts w:ascii="Times New Roman" w:hAnsi="Times New Roman" w:cs="Arial"/>
          <w:lang w:val="en-US"/>
        </w:rPr>
        <w:t xml:space="preserve">A; </w:t>
      </w:r>
      <w:r w:rsidRPr="00AA2F17">
        <w:rPr>
          <w:rFonts w:ascii="Times New Roman" w:hAnsi="Times New Roman" w:cs="Arial"/>
          <w:lang w:val="en-US"/>
        </w:rPr>
        <w:t>48, 6: 1295-1300.</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4.- </w:t>
      </w:r>
      <w:r w:rsidRPr="00AA2F17">
        <w:rPr>
          <w:rFonts w:ascii="Times New Roman" w:hAnsi="Times New Roman" w:cs="Arial"/>
          <w:lang w:val="en-US"/>
        </w:rPr>
        <w:t>Hafner M. Conventional colonoscopy. European Jo</w:t>
      </w:r>
      <w:r w:rsidRPr="00AA2F17">
        <w:rPr>
          <w:rFonts w:ascii="Times New Roman" w:hAnsi="Times New Roman" w:cs="Arial"/>
          <w:lang w:val="en-US"/>
        </w:rPr>
        <w:t>urnal of Radiology 2007; 61,3: 409-414.</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5.- </w:t>
      </w:r>
      <w:r w:rsidRPr="00AA2F17">
        <w:rPr>
          <w:rFonts w:ascii="Times New Roman" w:hAnsi="Times New Roman" w:cs="Arial"/>
          <w:lang w:val="en-US"/>
        </w:rPr>
        <w:t>Levin B, Barthel JS, Burt RW, David DS, Ford JM. Colorectal ancer screening clinical practice guidelines. Journal of the National Comprehensive Cancer Network; 4,4:384-420.</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6.- </w:t>
      </w:r>
      <w:r w:rsidRPr="00AA2F17">
        <w:rPr>
          <w:rFonts w:ascii="Times New Roman" w:hAnsi="Times New Roman" w:cs="Arial"/>
          <w:lang w:val="en-US"/>
        </w:rPr>
        <w:t>Cohen LB, Wecsler JS, Gaetano JN, e</w:t>
      </w:r>
      <w:r w:rsidRPr="00AA2F17">
        <w:rPr>
          <w:rFonts w:ascii="Times New Roman" w:hAnsi="Times New Roman" w:cs="Arial"/>
          <w:lang w:val="en-US"/>
        </w:rPr>
        <w:t>t al. Endoscopic sedation in the United States: results from a nationwide survey. Am J Gastroenterol 2006;101:967–74.</w:t>
      </w:r>
    </w:p>
    <w:p w:rsidR="001B03C2" w:rsidRDefault="009B166E">
      <w:pPr>
        <w:spacing w:line="480" w:lineRule="auto"/>
        <w:jc w:val="both"/>
        <w:rPr>
          <w:rFonts w:ascii="Times New Roman" w:hAnsi="Times New Roman" w:cs="Arial"/>
          <w:position w:val="2"/>
        </w:rPr>
      </w:pPr>
      <w:r w:rsidRPr="00AA2F17">
        <w:rPr>
          <w:rFonts w:ascii="Times New Roman" w:hAnsi="Times New Roman"/>
          <w:position w:val="2"/>
          <w:lang w:val="en-US"/>
        </w:rPr>
        <w:t xml:space="preserve">7.- </w:t>
      </w:r>
      <w:r w:rsidRPr="00AA2F17">
        <w:rPr>
          <w:rFonts w:ascii="Times New Roman" w:hAnsi="Times New Roman" w:cs="Arial"/>
          <w:position w:val="2"/>
          <w:lang w:val="en-US"/>
        </w:rPr>
        <w:t xml:space="preserve">Bell GD, McCloy RF, Charlton JE, Campbell D, Dent NA et al. Recommendations for standards of sedation and patient monitoring during </w:t>
      </w:r>
      <w:r w:rsidRPr="00AA2F17">
        <w:rPr>
          <w:rFonts w:ascii="Times New Roman" w:hAnsi="Times New Roman" w:cs="Arial"/>
          <w:position w:val="2"/>
          <w:lang w:val="en-US"/>
        </w:rPr>
        <w:t xml:space="preserve">gastrointestinal endoscopy. 1991. </w:t>
      </w:r>
      <w:r>
        <w:rPr>
          <w:rFonts w:ascii="Times New Roman" w:hAnsi="Times New Roman" w:cs="Arial"/>
          <w:position w:val="2"/>
        </w:rPr>
        <w:t>Gut; 32, 7: 823-827.</w:t>
      </w:r>
    </w:p>
    <w:p w:rsidR="001B03C2" w:rsidRPr="00AA2F17" w:rsidRDefault="009B166E">
      <w:pPr>
        <w:spacing w:line="480" w:lineRule="auto"/>
        <w:jc w:val="both"/>
        <w:rPr>
          <w:rFonts w:ascii="Times New Roman" w:hAnsi="Times New Roman" w:cs="Arial"/>
          <w:position w:val="2"/>
          <w:lang w:val="en-US"/>
        </w:rPr>
      </w:pPr>
      <w:r w:rsidRPr="00AA2F17">
        <w:rPr>
          <w:rFonts w:ascii="Times New Roman" w:hAnsi="Times New Roman"/>
          <w:position w:val="2"/>
          <w:lang w:val="en-US"/>
        </w:rPr>
        <w:t xml:space="preserve">8.- </w:t>
      </w:r>
      <w:r w:rsidRPr="00AA2F17">
        <w:rPr>
          <w:rFonts w:ascii="Times New Roman" w:hAnsi="Times New Roman" w:cs="Arial"/>
          <w:position w:val="2"/>
          <w:lang w:val="en-US"/>
        </w:rPr>
        <w:t xml:space="preserve">Comprehensive accreditation manual for hospitals. Oakbrook Terrace (IL): Joint Comission on </w:t>
      </w:r>
      <w:r w:rsidRPr="00AA2F17">
        <w:rPr>
          <w:rFonts w:ascii="Times New Roman" w:hAnsi="Times New Roman" w:cs="Arial"/>
          <w:position w:val="2"/>
          <w:lang w:val="en-US"/>
        </w:rPr>
        <w:lastRenderedPageBreak/>
        <w:t>Accreditation of ealthcare Organizations;2008.</w:t>
      </w:r>
    </w:p>
    <w:p w:rsidR="001B03C2" w:rsidRPr="00AA2F17" w:rsidRDefault="009B166E">
      <w:pPr>
        <w:spacing w:line="480" w:lineRule="auto"/>
        <w:jc w:val="both"/>
        <w:rPr>
          <w:rFonts w:ascii="Times New Roman" w:hAnsi="Times New Roman" w:cs="Arial"/>
          <w:lang w:val="en-US"/>
        </w:rPr>
      </w:pPr>
      <w:r>
        <w:rPr>
          <w:rFonts w:ascii="Times New Roman" w:hAnsi="Times New Roman"/>
        </w:rPr>
        <w:t>9.-</w:t>
      </w:r>
      <w:r>
        <w:rPr>
          <w:rFonts w:ascii="Times New Roman" w:hAnsi="Times New Roman" w:cs="Arial"/>
        </w:rPr>
        <w:t xml:space="preserve"> </w:t>
      </w:r>
      <w:r w:rsidRPr="00AA2F17">
        <w:rPr>
          <w:rFonts w:ascii="Times New Roman" w:hAnsi="Times New Roman" w:cs="Arial"/>
        </w:rPr>
        <w:t xml:space="preserve">Vargo JJ, Holub JL, Faigel DO, et al. </w:t>
      </w:r>
      <w:r>
        <w:rPr>
          <w:rFonts w:ascii="Times New Roman" w:hAnsi="Times New Roman" w:cs="Arial"/>
          <w:lang w:val="en-US"/>
        </w:rPr>
        <w:t>Risk factors for</w:t>
      </w:r>
      <w:r>
        <w:rPr>
          <w:rFonts w:ascii="Times New Roman" w:hAnsi="Times New Roman" w:cs="Arial"/>
          <w:lang w:val="en-US"/>
        </w:rPr>
        <w:t xml:space="preserve"> cardiopulmonary events during propofol mediated upper endoscopy and colonoscopy. Aliment Pharmacol Ther 2006;24:955–63</w:t>
      </w:r>
      <w:r w:rsidRPr="00AA2F17">
        <w:rPr>
          <w:rFonts w:ascii="Times New Roman" w:hAnsi="Times New Roman" w:cs="Arial"/>
          <w:lang w:val="en-US"/>
        </w:rPr>
        <w:t>.</w:t>
      </w:r>
    </w:p>
    <w:p w:rsidR="001B03C2" w:rsidRDefault="009B166E">
      <w:pPr>
        <w:spacing w:line="480" w:lineRule="auto"/>
        <w:jc w:val="both"/>
        <w:rPr>
          <w:rFonts w:ascii="Times New Roman" w:hAnsi="Times New Roman" w:cs="Arial"/>
        </w:rPr>
      </w:pPr>
      <w:r w:rsidRPr="00AA2F17">
        <w:rPr>
          <w:rFonts w:ascii="Times New Roman" w:hAnsi="Times New Roman"/>
          <w:lang w:val="en-US"/>
        </w:rPr>
        <w:t xml:space="preserve">10.- </w:t>
      </w:r>
      <w:r w:rsidRPr="00AA2F17">
        <w:rPr>
          <w:rFonts w:ascii="Times New Roman" w:hAnsi="Times New Roman" w:cs="Arial"/>
          <w:lang w:val="en-US"/>
        </w:rPr>
        <w:t xml:space="preserve">Heldwein W, Dollhopf M, Rosch T, Meining A, Schmidtsdorff G. et al.  The Munich Polytectomy Study (MUPS): prospective analysis of </w:t>
      </w:r>
      <w:r w:rsidRPr="00AA2F17">
        <w:rPr>
          <w:rFonts w:ascii="Times New Roman" w:hAnsi="Times New Roman" w:cs="Arial"/>
          <w:lang w:val="en-US"/>
        </w:rPr>
        <w:t xml:space="preserve">complications and risk factors in 4000 colonic snare polypectomies. </w:t>
      </w:r>
      <w:r>
        <w:rPr>
          <w:rFonts w:ascii="Times New Roman" w:hAnsi="Times New Roman" w:cs="Arial"/>
        </w:rPr>
        <w:t>Endoscopy 2005;37,11: 1116-1122).</w:t>
      </w:r>
    </w:p>
    <w:p w:rsidR="001B03C2" w:rsidRPr="00AA2F17" w:rsidRDefault="009B166E">
      <w:pPr>
        <w:spacing w:line="480" w:lineRule="auto"/>
        <w:jc w:val="both"/>
        <w:rPr>
          <w:rFonts w:ascii="Times New Roman" w:hAnsi="Times New Roman" w:cs="Arial"/>
          <w:lang w:val="en-US"/>
        </w:rPr>
      </w:pPr>
      <w:r>
        <w:rPr>
          <w:rFonts w:ascii="Times New Roman" w:hAnsi="Times New Roman"/>
        </w:rPr>
        <w:t xml:space="preserve">11.- </w:t>
      </w:r>
      <w:r>
        <w:rPr>
          <w:rFonts w:ascii="Times New Roman" w:hAnsi="Times New Roman" w:cs="Arial"/>
        </w:rPr>
        <w:t xml:space="preserve">Paspatis GA, Vardas E, Theodoropoulou  A, Manolaraki MM, Charoniti E, et al. </w:t>
      </w:r>
      <w:r w:rsidRPr="00AA2F17">
        <w:rPr>
          <w:rFonts w:ascii="Times New Roman" w:hAnsi="Times New Roman" w:cs="Arial"/>
          <w:lang w:val="en-US"/>
        </w:rPr>
        <w:t>Complications of colonoscopy in a large public county hospital in Greece</w:t>
      </w:r>
      <w:r w:rsidRPr="00AA2F17">
        <w:rPr>
          <w:rFonts w:ascii="Times New Roman" w:hAnsi="Times New Roman" w:cs="Arial"/>
          <w:lang w:val="en-US"/>
        </w:rPr>
        <w:t>. A 10-year study. Digestive and Liver disease 2008; 40, 12: 951-957.</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12.- </w:t>
      </w:r>
      <w:r w:rsidRPr="00AA2F17">
        <w:rPr>
          <w:rFonts w:ascii="Times New Roman" w:hAnsi="Times New Roman" w:cs="Arial"/>
          <w:lang w:val="en-US"/>
        </w:rPr>
        <w:t>Winawer S, Fletcher R, Rex D, Bond J, Burt R, et al. Colorectal cancer screening and surveillance: clinical guidelines and rationale-update based in new evidence. Gastroenterology 2</w:t>
      </w:r>
      <w:r w:rsidRPr="00AA2F17">
        <w:rPr>
          <w:rFonts w:ascii="Times New Roman" w:hAnsi="Times New Roman" w:cs="Arial"/>
          <w:lang w:val="en-US"/>
        </w:rPr>
        <w:t xml:space="preserve">003; 124,2: 544-560. </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13.-</w:t>
      </w:r>
      <w:r w:rsidRPr="00AA2F17">
        <w:rPr>
          <w:rFonts w:ascii="Times New Roman" w:hAnsi="Times New Roman" w:cs="Arial"/>
          <w:lang w:val="en-US"/>
        </w:rPr>
        <w:t>Levin TR, Wei Zhao, Conell C, Seeff LC, Manninen DL, et al. Complications of colonoscopy in an integrated health care delivery system. Annals of internal medicine 2006b; 145,12: 880-887.</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14.- </w:t>
      </w:r>
      <w:r w:rsidRPr="00AA2F17">
        <w:rPr>
          <w:rFonts w:ascii="Times New Roman" w:hAnsi="Times New Roman" w:cs="Arial"/>
          <w:lang w:val="en-US"/>
        </w:rPr>
        <w:t xml:space="preserve">Iqbal CW, Chung YS, Farley DR. </w:t>
      </w:r>
      <w:r>
        <w:rPr>
          <w:rFonts w:ascii="Times New Roman" w:hAnsi="Times New Roman" w:cs="Arial"/>
        </w:rPr>
        <w:t>Colonos</w:t>
      </w:r>
      <w:r>
        <w:rPr>
          <w:rFonts w:ascii="Times New Roman" w:hAnsi="Times New Roman" w:cs="Arial"/>
        </w:rPr>
        <w:t xml:space="preserve">copic perforations. </w:t>
      </w:r>
      <w:r w:rsidRPr="00AA2F17">
        <w:rPr>
          <w:rFonts w:ascii="Times New Roman" w:hAnsi="Times New Roman" w:cs="Arial"/>
          <w:lang w:val="en-US"/>
        </w:rPr>
        <w:t>A retrospective reviews. Journal of Gastrointestinal Surgery 2005; 9,9: 1229-35.</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15.- </w:t>
      </w:r>
      <w:r w:rsidRPr="00AA2F17">
        <w:rPr>
          <w:rFonts w:ascii="Times New Roman" w:hAnsi="Times New Roman" w:cs="Arial"/>
          <w:lang w:val="en-US"/>
        </w:rPr>
        <w:t xml:space="preserve">Rabeneck L, Paszat LF, Hilsden RJ, Saskin R, Leddin D, et al. Bleeding and perforation after outpatient colonoscopy and their risk factors in usual </w:t>
      </w:r>
      <w:r w:rsidRPr="00AA2F17">
        <w:rPr>
          <w:rFonts w:ascii="Times New Roman" w:hAnsi="Times New Roman" w:cs="Arial"/>
          <w:lang w:val="en-US"/>
        </w:rPr>
        <w:t>clinical practice. Gastroenterology 2008; 135,6: 1899-1906.</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16.- </w:t>
      </w:r>
      <w:r w:rsidRPr="00AA2F17">
        <w:rPr>
          <w:rFonts w:ascii="Times New Roman" w:hAnsi="Times New Roman" w:cs="Arial"/>
          <w:lang w:val="en-US"/>
        </w:rPr>
        <w:t>Pignone M, Rich M, Teutsch SM, Berg AO, Lohr KN. Screening for colorectal cancer in adults at average risk: a summary for the evidence for the U.S. preventive services task force. Annals of I</w:t>
      </w:r>
      <w:r w:rsidRPr="00AA2F17">
        <w:rPr>
          <w:rFonts w:ascii="Times New Roman" w:hAnsi="Times New Roman" w:cs="Arial"/>
          <w:lang w:val="en-US"/>
        </w:rPr>
        <w:t>nternal Medicine 2002; 137,2:132.</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17.- </w:t>
      </w:r>
      <w:r w:rsidRPr="00AA2F17">
        <w:rPr>
          <w:rFonts w:ascii="Times New Roman" w:hAnsi="Times New Roman" w:cs="Arial"/>
          <w:lang w:val="en-US"/>
        </w:rPr>
        <w:t>Harewood GC, Wiersema MJ, Melton LJ. A prospective, controlled assessment of factors influencing acceptance of screening colonoscopy. The American Journal of Gastroenterology 2002; 97,12: 3186-94.</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lastRenderedPageBreak/>
        <w:t xml:space="preserve">18.- </w:t>
      </w:r>
      <w:r w:rsidRPr="00AA2F17">
        <w:rPr>
          <w:rFonts w:ascii="Times New Roman" w:hAnsi="Times New Roman" w:cs="Arial"/>
          <w:lang w:val="en-US"/>
        </w:rPr>
        <w:t xml:space="preserve">Salmon P, Shah </w:t>
      </w:r>
      <w:r w:rsidRPr="00AA2F17">
        <w:rPr>
          <w:rFonts w:ascii="Times New Roman" w:hAnsi="Times New Roman" w:cs="Arial"/>
          <w:lang w:val="en-US"/>
        </w:rPr>
        <w:t>R, Berg S, Williams C. Evaluating customer satisfaction with colonoscopy. Endoscopy 1994;26,4:342-46.</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19.- </w:t>
      </w:r>
      <w:r w:rsidRPr="00AA2F17">
        <w:rPr>
          <w:rFonts w:ascii="Times New Roman" w:hAnsi="Times New Roman" w:cs="Arial"/>
          <w:lang w:val="en-US"/>
        </w:rPr>
        <w:t>Limoges MF, Rickabaugh B. Evaluation of TENS during screening flexible sigmoidoscopy. Gastroenterology Nursing 2004; 27,2: 61-68.</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20.-</w:t>
      </w:r>
      <w:r w:rsidRPr="00AA2F17">
        <w:rPr>
          <w:rFonts w:ascii="Times New Roman" w:hAnsi="Times New Roman" w:cs="Arial"/>
          <w:lang w:val="en-US"/>
        </w:rPr>
        <w:t xml:space="preserve"> Knowles CH, Az</w:t>
      </w:r>
      <w:r w:rsidRPr="00AA2F17">
        <w:rPr>
          <w:rFonts w:ascii="Times New Roman" w:hAnsi="Times New Roman" w:cs="Arial"/>
          <w:lang w:val="en-US"/>
        </w:rPr>
        <w:t>iz Q. Basic and clinical aspects of gastrointestinal pain. Pain 2009;141,3: 191-209.</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21.- </w:t>
      </w:r>
      <w:r w:rsidRPr="00AA2F17">
        <w:rPr>
          <w:rFonts w:ascii="Times New Roman" w:hAnsi="Times New Roman" w:cs="Arial"/>
          <w:lang w:val="en-US"/>
        </w:rPr>
        <w:t xml:space="preserve">Bielefelt K, Gebhart GF. Visceral Pain: basic mechanisms. Wall and Melzack's Textbook of Pain (S. McMahon and M. Koltzenburg eds.) Churchill Livingstone, Oxford, pp. </w:t>
      </w:r>
      <w:r w:rsidRPr="00AA2F17">
        <w:rPr>
          <w:rFonts w:ascii="Times New Roman" w:hAnsi="Times New Roman" w:cs="Arial"/>
          <w:lang w:val="en-US"/>
        </w:rPr>
        <w:t>741.</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22.- </w:t>
      </w:r>
      <w:r w:rsidRPr="00AA2F17">
        <w:rPr>
          <w:rFonts w:ascii="Times New Roman" w:hAnsi="Times New Roman" w:cs="Arial"/>
          <w:lang w:val="en-US"/>
        </w:rPr>
        <w:t>Moisset X, Bouhassira D, Denis D, Dominique G, Benoit C, et al. Anatomical connections between brain areas activated during rectal distension in healthy volunteers: A visceral pain network. European Journal of Pain 2009.</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23.- </w:t>
      </w:r>
      <w:r w:rsidRPr="00AA2F17">
        <w:rPr>
          <w:rFonts w:ascii="Times New Roman" w:hAnsi="Times New Roman" w:cs="Arial"/>
          <w:lang w:val="en-US"/>
        </w:rPr>
        <w:t>Tsai MS, Su YH, Lian</w:t>
      </w:r>
      <w:r w:rsidRPr="00AA2F17">
        <w:rPr>
          <w:rFonts w:ascii="Times New Roman" w:hAnsi="Times New Roman" w:cs="Arial"/>
          <w:lang w:val="en-US"/>
        </w:rPr>
        <w:t>g JT, Lai HS, Lee PH. Patient factors predicting the completion of sedation-free colonoscopy. Hepato-Gastroenterology 2008; 55,86-87: 1606-08.</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24.- </w:t>
      </w:r>
      <w:r w:rsidRPr="00AA2F17">
        <w:rPr>
          <w:rFonts w:ascii="Times New Roman" w:hAnsi="Times New Roman" w:cs="Arial"/>
          <w:lang w:val="en-US"/>
        </w:rPr>
        <w:t>Leung FW, Aharonian S, Guth PH, Jackson G, Chu SK, et al. Unsedated colonoscopy: time to revisit this opinio</w:t>
      </w:r>
      <w:r w:rsidRPr="00AA2F17">
        <w:rPr>
          <w:rFonts w:ascii="Times New Roman" w:hAnsi="Times New Roman" w:cs="Arial"/>
          <w:lang w:val="en-US"/>
        </w:rPr>
        <w:t>n? The Journal of Family Practice 2008; 57,12, pp E1-4.</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25.- </w:t>
      </w:r>
      <w:r w:rsidRPr="00AA2F17">
        <w:rPr>
          <w:rFonts w:ascii="Times New Roman" w:hAnsi="Times New Roman" w:cs="Arial"/>
          <w:lang w:val="en-US"/>
        </w:rPr>
        <w:t>Ristikankare M, Hartikainen J, Heikkinen M, Janatuinen E, Julkunen R. Is routinely given conscious sedation of benefit during colonoscopy? Gastrointestinal Endoscopy 1999; 49, 5:566-72.</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26.- </w:t>
      </w:r>
      <w:r w:rsidRPr="00AA2F17">
        <w:rPr>
          <w:rFonts w:ascii="Times New Roman" w:hAnsi="Times New Roman" w:cs="Arial"/>
          <w:lang w:val="en-US"/>
        </w:rPr>
        <w:t>Takahashi Y, Tanaka H, Kinjo M, Sakumoto K. Sedation-free colonoscopy. Diseases of the Colon y Rectum 2005b; 48,4: 855-59.</w:t>
      </w:r>
    </w:p>
    <w:p w:rsidR="001B03C2" w:rsidRDefault="009B166E">
      <w:pPr>
        <w:spacing w:line="480" w:lineRule="auto"/>
        <w:jc w:val="both"/>
        <w:rPr>
          <w:rFonts w:ascii="Times New Roman" w:hAnsi="Times New Roman" w:cs="Arial"/>
        </w:rPr>
      </w:pPr>
      <w:r w:rsidRPr="00AA2F17">
        <w:rPr>
          <w:rFonts w:ascii="Times New Roman" w:hAnsi="Times New Roman"/>
          <w:lang w:val="en-US"/>
        </w:rPr>
        <w:t xml:space="preserve">27.- </w:t>
      </w:r>
      <w:r w:rsidRPr="00AA2F17">
        <w:rPr>
          <w:rFonts w:ascii="Times New Roman" w:hAnsi="Times New Roman" w:cs="Arial"/>
          <w:lang w:val="en-US"/>
        </w:rPr>
        <w:t xml:space="preserve">Gasparovic S, Rustemovic N, Opacic M, Bates M, Petrovecki M. Comparison of colonoscopies performed under sedation with propofol </w:t>
      </w:r>
      <w:r w:rsidRPr="00AA2F17">
        <w:rPr>
          <w:rFonts w:ascii="Times New Roman" w:hAnsi="Times New Roman" w:cs="Arial"/>
          <w:lang w:val="en-US"/>
        </w:rPr>
        <w:t xml:space="preserve">or with midazolam or without sedation. </w:t>
      </w:r>
      <w:r>
        <w:rPr>
          <w:rFonts w:ascii="Times New Roman" w:hAnsi="Times New Roman" w:cs="Arial"/>
        </w:rPr>
        <w:t xml:space="preserve">Acta Medica Austriaca 2003;30, 1: 13-16.  </w:t>
      </w:r>
    </w:p>
    <w:p w:rsidR="001B03C2" w:rsidRPr="00AA2F17" w:rsidRDefault="009B166E">
      <w:pPr>
        <w:spacing w:line="480" w:lineRule="auto"/>
        <w:jc w:val="both"/>
        <w:rPr>
          <w:rFonts w:ascii="Times New Roman" w:hAnsi="Times New Roman" w:cs="Arial"/>
          <w:lang w:val="en-US"/>
        </w:rPr>
      </w:pPr>
      <w:r>
        <w:rPr>
          <w:rFonts w:ascii="Times New Roman" w:hAnsi="Times New Roman"/>
        </w:rPr>
        <w:t xml:space="preserve">28.- </w:t>
      </w:r>
      <w:r>
        <w:rPr>
          <w:rFonts w:ascii="Times New Roman" w:hAnsi="Times New Roman" w:cs="Arial"/>
        </w:rPr>
        <w:t xml:space="preserve">Fanti L, Gemma M, Passaretti S, Guslandi M, Testoni PA, et al. </w:t>
      </w:r>
      <w:r w:rsidRPr="00AA2F17">
        <w:rPr>
          <w:rFonts w:ascii="Times New Roman" w:hAnsi="Times New Roman" w:cs="Arial"/>
          <w:lang w:val="en-US"/>
        </w:rPr>
        <w:t>Electroacupuncture analgesia for colonoscopy. A prospective, randomized, placebo-controlled study. The Ame</w:t>
      </w:r>
      <w:r w:rsidRPr="00AA2F17">
        <w:rPr>
          <w:rFonts w:ascii="Times New Roman" w:hAnsi="Times New Roman" w:cs="Arial"/>
          <w:lang w:val="en-US"/>
        </w:rPr>
        <w:t>rican Journal of Gastroenterology 2003; 98,2:312-316.</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lastRenderedPageBreak/>
        <w:t xml:space="preserve">29.- </w:t>
      </w:r>
      <w:r w:rsidRPr="00AA2F17">
        <w:rPr>
          <w:rFonts w:ascii="Times New Roman" w:hAnsi="Times New Roman" w:cs="Arial"/>
          <w:lang w:val="en-US"/>
        </w:rPr>
        <w:t xml:space="preserve">Radaelli F, Mencci G, Bartesaghi G, Minoli G, Aigo. Sedation practice influences the effectiveness of colonoscopy: Results from a large, multicenter, prospective study. Digestive and Liver Disease </w:t>
      </w:r>
      <w:r w:rsidRPr="00AA2F17">
        <w:rPr>
          <w:rFonts w:ascii="Times New Roman" w:hAnsi="Times New Roman" w:cs="Arial"/>
          <w:lang w:val="en-US"/>
        </w:rPr>
        <w:t>2006; 38, 1:S143-S144.</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30.-</w:t>
      </w:r>
      <w:r w:rsidRPr="00AA2F17">
        <w:rPr>
          <w:rFonts w:ascii="Times New Roman" w:hAnsi="Times New Roman" w:cs="Arial"/>
          <w:lang w:val="en-US"/>
        </w:rPr>
        <w:t xml:space="preserve"> Cadrnel JF, Benhamou Y, Zylberberg P, Novello P, Luciani F, et al. </w:t>
      </w:r>
      <w:r>
        <w:rPr>
          <w:rFonts w:ascii="Times New Roman" w:hAnsi="Times New Roman" w:cs="Arial"/>
        </w:rPr>
        <w:t xml:space="preserve">Hypnotic relaxation: a new sedative tool for colonoscopy? </w:t>
      </w:r>
      <w:r w:rsidRPr="00AA2F17">
        <w:rPr>
          <w:rFonts w:ascii="Times New Roman" w:hAnsi="Times New Roman" w:cs="Arial"/>
          <w:lang w:val="en-US"/>
        </w:rPr>
        <w:t>Journal of Clinical Gastroenterology 1994;18,2: 127-29.</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31.- </w:t>
      </w:r>
      <w:r w:rsidRPr="00AA2F17">
        <w:rPr>
          <w:rFonts w:ascii="Times New Roman" w:hAnsi="Times New Roman" w:cs="Arial"/>
          <w:lang w:val="en-US"/>
        </w:rPr>
        <w:t>Leung FW. Methods of reducing discomfort d</w:t>
      </w:r>
      <w:r w:rsidRPr="00AA2F17">
        <w:rPr>
          <w:rFonts w:ascii="Times New Roman" w:hAnsi="Times New Roman" w:cs="Arial"/>
          <w:lang w:val="en-US"/>
        </w:rPr>
        <w:t>uring colonoscopy. Digestive Diseases ans Sciences. 2008;53,6: 1462-67.</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32.- </w:t>
      </w:r>
      <w:r w:rsidRPr="00AA2F17">
        <w:rPr>
          <w:rFonts w:ascii="Times New Roman" w:hAnsi="Times New Roman" w:cs="Arial"/>
          <w:lang w:val="en-US"/>
        </w:rPr>
        <w:t>Leung FW, Aharonian HS, Leung JW, Guth PH, Jackson G. Impact of a novel water method on scheduled unsedated colonoscopy in U.S. veterans. Gastrointestinal Endoscopy 2009;69,3: 546</w:t>
      </w:r>
      <w:r w:rsidRPr="00AA2F17">
        <w:rPr>
          <w:rFonts w:ascii="Times New Roman" w:hAnsi="Times New Roman" w:cs="Arial"/>
          <w:lang w:val="en-US"/>
        </w:rPr>
        <w:t>-50.</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33.- </w:t>
      </w:r>
      <w:r w:rsidRPr="00AA2F17">
        <w:rPr>
          <w:rFonts w:ascii="Times New Roman" w:hAnsi="Times New Roman" w:cs="Arial"/>
          <w:lang w:val="en-US"/>
        </w:rPr>
        <w:t>Yau KK, Cheung HYS, Wong DCT, Chung CC, Li MKW. Towards painless colonoscopy: a double blind randomized controlled trial on carbon dioxide insufflation colonoscopy. Surgical Practice 2007;11,2: 525-35.</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34.- </w:t>
      </w:r>
      <w:r w:rsidRPr="00AA2F17">
        <w:rPr>
          <w:rFonts w:ascii="Times New Roman" w:hAnsi="Times New Roman" w:cs="Arial"/>
          <w:lang w:val="en-US"/>
        </w:rPr>
        <w:t>Horiuchi A, Nakayama Y. Unsedated ultra</w:t>
      </w:r>
      <w:r w:rsidRPr="00AA2F17">
        <w:rPr>
          <w:rFonts w:ascii="Times New Roman" w:hAnsi="Times New Roman" w:cs="Arial"/>
          <w:lang w:val="en-US"/>
        </w:rPr>
        <w:t xml:space="preserve">thin EGD by using a 5.2 mm diameter videoscope: evaluation of acceptability and diagnostic accuracy. Gastrointestinal Endoscopy 2006;64,6: 868-73. </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35.- </w:t>
      </w:r>
      <w:r w:rsidRPr="00AA2F17">
        <w:rPr>
          <w:rFonts w:ascii="Times New Roman" w:hAnsi="Times New Roman" w:cs="Arial"/>
          <w:lang w:val="en-US"/>
        </w:rPr>
        <w:t xml:space="preserve">Park CH, Lee WS, Joo YE, Kim HS, Choi SK, et al. Sedation-free colonoscopy using an upper endoscope is </w:t>
      </w:r>
      <w:r w:rsidRPr="00AA2F17">
        <w:rPr>
          <w:rFonts w:ascii="Times New Roman" w:hAnsi="Times New Roman" w:cs="Arial"/>
          <w:lang w:val="en-US"/>
        </w:rPr>
        <w:t>tolerable and effective in patients with low body mass index: a prospective randomized study. The American Journal of Gastroenterology 2006;101,11: 2504-10.</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36.- </w:t>
      </w:r>
      <w:r w:rsidRPr="00AA2F17">
        <w:rPr>
          <w:rFonts w:ascii="Times New Roman" w:hAnsi="Times New Roman" w:cs="Arial"/>
          <w:lang w:val="en-US"/>
        </w:rPr>
        <w:t>Lichenstein DR, Jagannath S, Baron TH, Anderson MA, Banerjee S, et al. Sedation and anesthesia</w:t>
      </w:r>
      <w:r w:rsidRPr="00AA2F17">
        <w:rPr>
          <w:rFonts w:ascii="Times New Roman" w:hAnsi="Times New Roman" w:cs="Arial"/>
          <w:lang w:val="en-US"/>
        </w:rPr>
        <w:t xml:space="preserve"> in GI endoscopy. Gastointestinal Endoscopy 2008;68,5: 815-26.</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 xml:space="preserve">37.- </w:t>
      </w:r>
      <w:r w:rsidRPr="00AA2F17">
        <w:rPr>
          <w:rFonts w:ascii="Times New Roman" w:hAnsi="Times New Roman" w:cs="Arial"/>
          <w:lang w:val="en-US"/>
        </w:rPr>
        <w:t xml:space="preserve"> Harris JK, Vader J, Wietlisbach V, Bburnand B, Gonvers J, et al. Variations in colonoscopy practice in Europe: a multicentre descriptive study ((EPAGE). Scandinavian Journal of Gastroente</w:t>
      </w:r>
      <w:r w:rsidRPr="00AA2F17">
        <w:rPr>
          <w:rFonts w:ascii="Times New Roman" w:hAnsi="Times New Roman" w:cs="Arial"/>
          <w:lang w:val="en-US"/>
        </w:rPr>
        <w:t>rology 2007;42,1: 126-34.</w:t>
      </w:r>
    </w:p>
    <w:p w:rsidR="001B03C2" w:rsidRDefault="009B166E">
      <w:pPr>
        <w:spacing w:line="480" w:lineRule="auto"/>
        <w:jc w:val="both"/>
        <w:rPr>
          <w:rFonts w:ascii="Times New Roman" w:hAnsi="Times New Roman" w:cs="Arial"/>
          <w:color w:val="000000"/>
          <w:lang w:val="en-US"/>
        </w:rPr>
      </w:pPr>
      <w:r w:rsidRPr="00AA2F17">
        <w:rPr>
          <w:rFonts w:ascii="Times New Roman" w:hAnsi="Times New Roman"/>
          <w:lang w:val="en-US"/>
        </w:rPr>
        <w:t xml:space="preserve">38.- </w:t>
      </w:r>
      <w:r w:rsidRPr="00AA2F17">
        <w:rPr>
          <w:rFonts w:ascii="Times New Roman" w:hAnsi="Times New Roman" w:cs="Arial"/>
          <w:color w:val="000000"/>
          <w:lang w:val="en-US"/>
        </w:rPr>
        <w:t xml:space="preserve">Cohen LB, Wecsler JS, Gaetano JN, et al. </w:t>
      </w:r>
      <w:r>
        <w:rPr>
          <w:rFonts w:ascii="Times New Roman" w:hAnsi="Times New Roman" w:cs="Arial"/>
          <w:color w:val="000000"/>
          <w:lang w:val="en-US"/>
        </w:rPr>
        <w:t>Endoscopic sedation in the United States: results from a nationwide survey. Am J Gastroenterol 2006;101:967–74.</w:t>
      </w:r>
    </w:p>
    <w:p w:rsidR="001B03C2" w:rsidRDefault="009B166E">
      <w:pPr>
        <w:spacing w:line="480" w:lineRule="auto"/>
        <w:jc w:val="both"/>
        <w:rPr>
          <w:rFonts w:ascii="Times New Roman" w:hAnsi="Times New Roman" w:cs="Arial"/>
          <w:lang w:val="en-US"/>
        </w:rPr>
      </w:pPr>
      <w:r w:rsidRPr="00AA2F17">
        <w:rPr>
          <w:rFonts w:ascii="Times New Roman" w:hAnsi="Times New Roman"/>
          <w:lang w:val="en-US"/>
        </w:rPr>
        <w:lastRenderedPageBreak/>
        <w:t xml:space="preserve">39.- </w:t>
      </w:r>
      <w:r>
        <w:rPr>
          <w:rFonts w:ascii="Times New Roman" w:hAnsi="Times New Roman" w:cs="Arial"/>
          <w:lang w:val="en-US"/>
        </w:rPr>
        <w:t>Frakes JT. Outpatient endoscopy. The case for the ambulatory surger</w:t>
      </w:r>
      <w:r>
        <w:rPr>
          <w:rFonts w:ascii="Times New Roman" w:hAnsi="Times New Roman" w:cs="Arial"/>
          <w:lang w:val="en-US"/>
        </w:rPr>
        <w:t>y center. Gastrointest Endosc Clin N Am 2002;12:215–27.</w:t>
      </w:r>
    </w:p>
    <w:p w:rsidR="001B03C2" w:rsidRPr="00AA2F17" w:rsidRDefault="009B166E">
      <w:pPr>
        <w:spacing w:line="480" w:lineRule="auto"/>
        <w:jc w:val="both"/>
        <w:rPr>
          <w:rFonts w:ascii="Times New Roman" w:hAnsi="Times New Roman" w:cs="Arial"/>
          <w:lang w:val="en-US"/>
        </w:rPr>
      </w:pPr>
      <w:r w:rsidRPr="00AA2F17">
        <w:rPr>
          <w:rFonts w:ascii="Times New Roman" w:hAnsi="Times New Roman"/>
          <w:lang w:val="en-US"/>
        </w:rPr>
        <w:t>40.-</w:t>
      </w:r>
      <w:r w:rsidRPr="00AA2F17">
        <w:rPr>
          <w:rFonts w:ascii="Times New Roman" w:hAnsi="Times New Roman" w:cs="Arial"/>
          <w:lang w:val="en-US"/>
        </w:rPr>
        <w:t xml:space="preserve"> </w:t>
      </w:r>
      <w:r>
        <w:rPr>
          <w:rFonts w:ascii="Times New Roman" w:hAnsi="Times New Roman" w:cs="Arial"/>
          <w:lang w:val="en-US"/>
        </w:rPr>
        <w:t xml:space="preserve">Aisenberg J, Brill JV, Ladabaum U, et al. Sedation for gastrointestinal endoscopy: new practices, new economics. </w:t>
      </w:r>
      <w:r w:rsidRPr="00AA2F17">
        <w:rPr>
          <w:rFonts w:ascii="Times New Roman" w:hAnsi="Times New Roman" w:cs="Arial"/>
          <w:lang w:val="en-US"/>
        </w:rPr>
        <w:t>Am J Gastroenterol 2005;100:996–1000.</w:t>
      </w:r>
    </w:p>
    <w:p w:rsidR="001B03C2" w:rsidRDefault="009B166E">
      <w:pPr>
        <w:spacing w:line="480" w:lineRule="auto"/>
        <w:jc w:val="both"/>
        <w:rPr>
          <w:rFonts w:ascii="Times New Roman" w:hAnsi="Times New Roman" w:cs="Arial"/>
          <w:lang w:val="en-US"/>
        </w:rPr>
      </w:pPr>
      <w:r w:rsidRPr="00AA2F17">
        <w:rPr>
          <w:rFonts w:ascii="Times New Roman" w:hAnsi="Times New Roman" w:cs="Arial"/>
          <w:lang w:val="en-US"/>
        </w:rPr>
        <w:t xml:space="preserve">41.- </w:t>
      </w:r>
      <w:r>
        <w:rPr>
          <w:rFonts w:ascii="Times New Roman" w:hAnsi="Times New Roman" w:cs="Arial"/>
          <w:lang w:val="en-US"/>
        </w:rPr>
        <w:t>Mathew A, Riley TR 3rd, Young M, et al.</w:t>
      </w:r>
      <w:r>
        <w:rPr>
          <w:rFonts w:ascii="Times New Roman" w:hAnsi="Times New Roman" w:cs="Arial"/>
          <w:lang w:val="en-US"/>
        </w:rPr>
        <w:t xml:space="preserve"> Cost-saving approach to patients on long-term anticoagulation who need endoscopy: a decision analysis. Am J Gastroenterol 2003; 98:1766–76.</w:t>
      </w:r>
    </w:p>
    <w:p w:rsidR="001B03C2" w:rsidRDefault="009B166E">
      <w:pPr>
        <w:spacing w:line="480" w:lineRule="auto"/>
        <w:jc w:val="both"/>
        <w:rPr>
          <w:rFonts w:ascii="Times New Roman" w:hAnsi="Times New Roman" w:cs="Arial"/>
          <w:lang w:val="en-US"/>
        </w:rPr>
      </w:pPr>
      <w:r w:rsidRPr="00AA2F17">
        <w:rPr>
          <w:rFonts w:ascii="Times New Roman" w:hAnsi="Times New Roman" w:cs="Arial"/>
          <w:lang w:val="en-US"/>
        </w:rPr>
        <w:t xml:space="preserve">42.- </w:t>
      </w:r>
      <w:r>
        <w:rPr>
          <w:rFonts w:ascii="Times New Roman" w:hAnsi="Times New Roman" w:cs="Arial"/>
          <w:lang w:val="en-US"/>
        </w:rPr>
        <w:t xml:space="preserve">Hussain N, Alsulaiman R, Burtin P, et al. The safety of endoscopic sphincterotomy in patients receiving </w:t>
      </w:r>
      <w:r>
        <w:rPr>
          <w:rFonts w:ascii="Times New Roman" w:hAnsi="Times New Roman" w:cs="Arial"/>
          <w:lang w:val="en-US"/>
        </w:rPr>
        <w:t>antiplatelet agents—a case-control study. Aliment Pharmacol Ther 2007;25:579–84.</w:t>
      </w:r>
    </w:p>
    <w:p w:rsidR="001B03C2" w:rsidRDefault="009B166E">
      <w:pPr>
        <w:spacing w:line="480" w:lineRule="auto"/>
        <w:jc w:val="both"/>
        <w:rPr>
          <w:rFonts w:ascii="Times New Roman" w:hAnsi="Times New Roman" w:cs="Arial"/>
          <w:lang w:val="en-US"/>
        </w:rPr>
      </w:pPr>
      <w:r>
        <w:rPr>
          <w:rFonts w:ascii="Times New Roman" w:hAnsi="Times New Roman" w:cs="Arial"/>
          <w:lang w:val="en-US"/>
        </w:rPr>
        <w:t xml:space="preserve">43.- Campo R, Brullet E, Montserrat A, et al. Identification of factors that influence tolerance of upper gastrointestinal endoscopy. Eur J Gastroenterol Hepatol </w:t>
      </w:r>
      <w:r>
        <w:rPr>
          <w:rFonts w:ascii="Times New Roman" w:hAnsi="Times New Roman" w:cs="Arial"/>
          <w:lang w:val="en-US"/>
        </w:rPr>
        <w:t>1999;11:201–4.</w:t>
      </w:r>
    </w:p>
    <w:p w:rsidR="001B03C2" w:rsidRDefault="009B166E">
      <w:pPr>
        <w:spacing w:line="480" w:lineRule="auto"/>
        <w:jc w:val="both"/>
        <w:rPr>
          <w:rFonts w:ascii="Times New Roman" w:hAnsi="Times New Roman" w:cs="Arial"/>
          <w:lang w:val="en-US"/>
        </w:rPr>
      </w:pPr>
      <w:r>
        <w:rPr>
          <w:rFonts w:ascii="Times New Roman" w:hAnsi="Times New Roman" w:cs="Arial"/>
          <w:lang w:val="en-US"/>
        </w:rPr>
        <w:t xml:space="preserve">44.- Anderson JC, Messina CR, Cohn W, Gottfried E,Ingber S, Bernstein G, Coman E, Polito J. Factors predictive od difficult colonoscopy. Gastrointestinal endoscopy 2001; 54,5: 558-62. </w:t>
      </w:r>
    </w:p>
    <w:p w:rsidR="001B03C2" w:rsidRDefault="009B166E">
      <w:pPr>
        <w:spacing w:line="480" w:lineRule="auto"/>
        <w:jc w:val="both"/>
        <w:rPr>
          <w:rFonts w:ascii="Times New Roman" w:hAnsi="Times New Roman" w:cs="Arial"/>
          <w:lang w:val="en-US"/>
        </w:rPr>
      </w:pPr>
      <w:r>
        <w:rPr>
          <w:rFonts w:ascii="Times New Roman" w:hAnsi="Times New Roman" w:cs="Arial"/>
          <w:lang w:val="en-US"/>
        </w:rPr>
        <w:t>45.- Elphick DA, Donnelly MT, Smith  KS, Riley SA. Facto</w:t>
      </w:r>
      <w:r>
        <w:rPr>
          <w:rFonts w:ascii="Times New Roman" w:hAnsi="Times New Roman" w:cs="Arial"/>
          <w:lang w:val="en-US"/>
        </w:rPr>
        <w:t>rs associated with abdominal discomfort during colonoscopy: a prospective analysis.</w:t>
      </w:r>
      <w:r>
        <w:rPr>
          <w:rFonts w:ascii="Times New Roman" w:hAnsi="Times New Roman" w:cs="AdvAGroteskBE-B"/>
          <w:lang w:val="en-US"/>
        </w:rPr>
        <w:t xml:space="preserve"> </w:t>
      </w:r>
      <w:r>
        <w:rPr>
          <w:rFonts w:ascii="Times New Roman" w:hAnsi="Times New Roman" w:cs="Arial"/>
          <w:lang w:val="en-US"/>
        </w:rPr>
        <w:t>European Journal of Gastroenterology &amp; Hepatology 2009; 21, 9: 1076-82.</w:t>
      </w:r>
    </w:p>
    <w:p w:rsidR="001B03C2" w:rsidRDefault="009B166E">
      <w:pPr>
        <w:spacing w:line="480" w:lineRule="auto"/>
        <w:jc w:val="both"/>
        <w:rPr>
          <w:rFonts w:ascii="Times New Roman" w:hAnsi="Times New Roman" w:cs="Arial"/>
          <w:lang w:val="en-US"/>
        </w:rPr>
      </w:pPr>
      <w:r>
        <w:rPr>
          <w:rFonts w:ascii="Times New Roman" w:hAnsi="Times New Roman" w:cs="Arial"/>
          <w:lang w:val="en-US"/>
        </w:rPr>
        <w:t>46.-Takahashi Y, Tanaka H, Kinjo M, Sakumoto K.</w:t>
      </w:r>
      <w:r>
        <w:rPr>
          <w:rFonts w:ascii="Times New Roman" w:hAnsi="Times New Roman" w:cs="Garamond-Light"/>
          <w:lang w:val="en-US"/>
        </w:rPr>
        <w:t xml:space="preserve"> </w:t>
      </w:r>
      <w:r>
        <w:rPr>
          <w:rFonts w:ascii="Times New Roman" w:hAnsi="Times New Roman" w:cs="Arial"/>
          <w:lang w:val="en-US"/>
        </w:rPr>
        <w:t>Prospective evaluation of factors predicting difficu</w:t>
      </w:r>
      <w:r>
        <w:rPr>
          <w:rFonts w:ascii="Times New Roman" w:hAnsi="Times New Roman" w:cs="Arial"/>
          <w:lang w:val="en-US"/>
        </w:rPr>
        <w:t>lty and pain during sedation-Free colonoscopy. Dis Colon Rectum 2005;48: 1295-1300.</w:t>
      </w:r>
    </w:p>
    <w:p w:rsidR="001B03C2" w:rsidRDefault="009B166E">
      <w:pPr>
        <w:spacing w:line="480" w:lineRule="auto"/>
        <w:jc w:val="both"/>
        <w:rPr>
          <w:rFonts w:ascii="Times New Roman" w:eastAsia="AdvPSA322" w:hAnsi="Times New Roman" w:cs="AdvPSA322"/>
          <w:lang w:val="en-US"/>
        </w:rPr>
      </w:pPr>
      <w:r>
        <w:rPr>
          <w:rFonts w:ascii="Times New Roman" w:hAnsi="Times New Roman" w:cs="Arial"/>
          <w:lang w:val="en-US"/>
        </w:rPr>
        <w:t xml:space="preserve">47.- </w:t>
      </w:r>
      <w:r>
        <w:rPr>
          <w:rFonts w:ascii="Times New Roman" w:eastAsia="AdvPSA322" w:hAnsi="Times New Roman" w:cs="AdvPSA322"/>
          <w:lang w:val="en-US"/>
        </w:rPr>
        <w:t>Chen SC, Rex DK. Review article: registered nurse-administered propofol sedation for endoscopy. Aliment Pharmacol Ther 2004;19(2):147–55.</w:t>
      </w:r>
    </w:p>
    <w:p w:rsidR="001B03C2" w:rsidRDefault="009B166E">
      <w:pPr>
        <w:spacing w:line="480" w:lineRule="auto"/>
        <w:jc w:val="both"/>
        <w:rPr>
          <w:rFonts w:ascii="Times New Roman" w:eastAsia="AdvPSA322" w:hAnsi="Times New Roman" w:cs="Arial"/>
          <w:lang w:val="en-US"/>
        </w:rPr>
      </w:pPr>
      <w:r>
        <w:rPr>
          <w:rFonts w:ascii="Times New Roman" w:eastAsia="AdvPSA322" w:hAnsi="Times New Roman" w:cs="AdvPSA322"/>
          <w:lang w:val="en-US"/>
        </w:rPr>
        <w:t xml:space="preserve">48.- </w:t>
      </w:r>
      <w:r>
        <w:rPr>
          <w:rFonts w:ascii="Times New Roman" w:eastAsia="AdvPSA322" w:hAnsi="Times New Roman" w:cs="Arial"/>
          <w:lang w:val="en-US"/>
        </w:rPr>
        <w:t xml:space="preserve">Arrowsmith JB, Gerstman </w:t>
      </w:r>
      <w:r>
        <w:rPr>
          <w:rFonts w:ascii="Times New Roman" w:eastAsia="AdvPSA322" w:hAnsi="Times New Roman" w:cs="Arial"/>
          <w:lang w:val="en-US"/>
        </w:rPr>
        <w:t>BB, Fleischer DE, et al. Results from the American Society for Gastrointestinal Endoscopy/U.S. Food and Drug Administration collaborative study on complication rates and drug use during gastrointestinal endoscopy. Gastrointest Endosc 1991;37(4):421–7.</w:t>
      </w:r>
    </w:p>
    <w:p w:rsidR="001B03C2" w:rsidRDefault="009B166E">
      <w:pPr>
        <w:spacing w:line="480" w:lineRule="auto"/>
        <w:jc w:val="both"/>
        <w:rPr>
          <w:rFonts w:ascii="Times New Roman" w:eastAsia="AdvPSA322" w:hAnsi="Times New Roman" w:cs="Arial"/>
          <w:lang w:val="en-US"/>
        </w:rPr>
      </w:pPr>
      <w:r>
        <w:rPr>
          <w:rFonts w:ascii="Times New Roman" w:eastAsia="AdvPSA322" w:hAnsi="Times New Roman" w:cs="AdvPSA322"/>
          <w:lang w:val="en-US"/>
        </w:rPr>
        <w:t>49.-</w:t>
      </w:r>
      <w:r>
        <w:rPr>
          <w:rFonts w:ascii="Times New Roman" w:eastAsia="AdvPSA322" w:hAnsi="Times New Roman" w:cs="AdvPSA322"/>
          <w:lang w:val="en-US"/>
        </w:rPr>
        <w:t xml:space="preserve"> </w:t>
      </w:r>
      <w:r>
        <w:rPr>
          <w:rFonts w:ascii="Times New Roman" w:eastAsia="AdvPSA322" w:hAnsi="Times New Roman" w:cs="Arial"/>
          <w:lang w:val="en-US"/>
        </w:rPr>
        <w:t>Vargo JJ, Holub JL, Faigel DO, et al. Risk factors for cardiopulmonary events during propofol mediated upper endoscopy and colonoscopy. Aliment Pharmacol Ther 2006;24:955–63.</w:t>
      </w:r>
    </w:p>
    <w:p w:rsidR="001B03C2" w:rsidRDefault="009B166E">
      <w:pPr>
        <w:spacing w:line="480" w:lineRule="auto"/>
        <w:jc w:val="both"/>
        <w:rPr>
          <w:rFonts w:ascii="Times New Roman" w:eastAsia="AdvPSA322" w:hAnsi="Times New Roman" w:cs="Arial"/>
          <w:lang w:val="en-US"/>
        </w:rPr>
      </w:pPr>
      <w:r>
        <w:rPr>
          <w:rFonts w:ascii="Times New Roman" w:eastAsia="AdvPSA322" w:hAnsi="Times New Roman" w:cs="Arial"/>
          <w:lang w:val="en-US"/>
        </w:rPr>
        <w:lastRenderedPageBreak/>
        <w:t>50.- Food and Drug Administration. Propofol draft final printed label. Available</w:t>
      </w:r>
      <w:r>
        <w:rPr>
          <w:rFonts w:ascii="Times New Roman" w:eastAsia="AdvPSA322" w:hAnsi="Times New Roman" w:cs="Arial"/>
          <w:lang w:val="en-US"/>
        </w:rPr>
        <w:t xml:space="preserve"> at: </w:t>
      </w:r>
      <w:hyperlink r:id="rId23">
        <w:r>
          <w:rPr>
            <w:rStyle w:val="EnlacedeInternet"/>
            <w:rFonts w:ascii="Times New Roman" w:eastAsia="AdvPSA322" w:hAnsi="Times New Roman" w:cs="Arial"/>
            <w:lang w:val="en-US"/>
          </w:rPr>
          <w:t>http://www.fda</w:t>
        </w:r>
      </w:hyperlink>
      <w:r>
        <w:rPr>
          <w:rFonts w:ascii="Times New Roman" w:eastAsia="AdvPSA322" w:hAnsi="Times New Roman" w:cs="Arial"/>
          <w:lang w:val="en-US"/>
        </w:rPr>
        <w:t>. gov/cder/foi/anda/2000/75392_Propofol_Prntlbl.pdf. Accessed June 1, 2008.</w:t>
      </w:r>
    </w:p>
    <w:p w:rsidR="001B03C2" w:rsidRDefault="009B166E">
      <w:pPr>
        <w:spacing w:line="480" w:lineRule="auto"/>
        <w:jc w:val="both"/>
        <w:rPr>
          <w:rFonts w:ascii="Times New Roman" w:eastAsia="AdvPSA322" w:hAnsi="Times New Roman" w:cs="Arial"/>
          <w:color w:val="000000"/>
          <w:lang w:val="en-US"/>
        </w:rPr>
      </w:pPr>
      <w:r w:rsidRPr="00AA2F17">
        <w:rPr>
          <w:rFonts w:ascii="Times New Roman" w:eastAsia="AdvPSA322" w:hAnsi="Times New Roman" w:cs="Arial"/>
        </w:rPr>
        <w:t>51.-</w:t>
      </w:r>
      <w:bookmarkStart w:id="4" w:name="S-12"/>
      <w:bookmarkEnd w:id="4"/>
      <w:r w:rsidRPr="00AA2F17">
        <w:rPr>
          <w:rFonts w:ascii="Times New Roman" w:eastAsia="AdvPSA322" w:hAnsi="Times New Roman" w:cs="Arial"/>
        </w:rPr>
        <w:t xml:space="preserve"> </w:t>
      </w:r>
      <w:r w:rsidRPr="00AA2F17">
        <w:rPr>
          <w:rFonts w:ascii="Times New Roman" w:eastAsia="AdvPSA322" w:hAnsi="Times New Roman" w:cs="Arial"/>
          <w:color w:val="000000"/>
        </w:rPr>
        <w:t xml:space="preserve">Martinez-Palli G, Bordas JM, Llach J, Gines A, Lopez A, Gambus P, Pellise M, Mondelo F, Fernandrz-Esparrach G, Ubres M, </w:t>
      </w:r>
      <w:r w:rsidRPr="00AA2F17">
        <w:rPr>
          <w:rFonts w:ascii="Times New Roman" w:eastAsia="AdvPSA322" w:hAnsi="Times New Roman" w:cs="Arial"/>
          <w:color w:val="000000"/>
        </w:rPr>
        <w:t xml:space="preserve">Pique JM. </w:t>
      </w:r>
      <w:r>
        <w:rPr>
          <w:rFonts w:ascii="Times New Roman" w:eastAsia="AdvPSA322" w:hAnsi="Times New Roman" w:cs="Arial"/>
          <w:color w:val="000000"/>
          <w:lang w:val="en-US"/>
        </w:rPr>
        <w:t>Sedo-analgesia in colonoscopy: Prospective study</w:t>
      </w:r>
      <w:r>
        <w:rPr>
          <w:rFonts w:ascii="Times New Roman" w:eastAsia="AdvPSA322" w:hAnsi="Times New Roman" w:cs="Arial"/>
          <w:color w:val="000080"/>
          <w:lang w:val="en-US"/>
        </w:rPr>
        <w:t xml:space="preserve"> </w:t>
      </w:r>
      <w:r>
        <w:rPr>
          <w:rFonts w:ascii="Times New Roman" w:eastAsia="AdvPSA322" w:hAnsi="Times New Roman" w:cs="Arial"/>
          <w:color w:val="000000"/>
          <w:lang w:val="en-US"/>
        </w:rPr>
        <w:t>comparing propofol-remiphentanyl (PR), phentanyl-midazolam (PM) and meperidine-midazolam (MM). Gastrointestinal endoscopy 2005;61(5):AB109. 140.</w:t>
      </w:r>
    </w:p>
    <w:p w:rsidR="001B03C2" w:rsidRPr="00AA2F17" w:rsidRDefault="009B166E">
      <w:pPr>
        <w:spacing w:line="480" w:lineRule="auto"/>
        <w:jc w:val="both"/>
        <w:rPr>
          <w:rFonts w:ascii="Times New Roman" w:eastAsia="AdvPSA322" w:hAnsi="Times New Roman" w:cs="Arial"/>
          <w:color w:val="000000"/>
        </w:rPr>
      </w:pPr>
      <w:r>
        <w:rPr>
          <w:rFonts w:ascii="Times New Roman" w:eastAsia="AdvPSA322" w:hAnsi="Times New Roman" w:cs="Arial"/>
          <w:lang w:val="en-US"/>
        </w:rPr>
        <w:t>52.-</w:t>
      </w:r>
      <w:bookmarkStart w:id="5" w:name="S-8"/>
      <w:bookmarkEnd w:id="5"/>
      <w:r>
        <w:rPr>
          <w:rFonts w:ascii="Times New Roman" w:eastAsia="AdvPSA322" w:hAnsi="Times New Roman" w:cs="Arial"/>
          <w:lang w:val="en-US"/>
        </w:rPr>
        <w:t xml:space="preserve"> </w:t>
      </w:r>
      <w:r>
        <w:rPr>
          <w:rFonts w:ascii="Times New Roman" w:eastAsia="AdvPSA322" w:hAnsi="Times New Roman" w:cs="Arial"/>
          <w:color w:val="000000"/>
          <w:lang w:val="en-US"/>
        </w:rPr>
        <w:t>Kulling D, Fantin AC, Biro P, Bauerfeind P, Fri</w:t>
      </w:r>
      <w:r>
        <w:rPr>
          <w:rFonts w:ascii="Times New Roman" w:eastAsia="AdvPSA322" w:hAnsi="Times New Roman" w:cs="Arial"/>
          <w:color w:val="000000"/>
          <w:lang w:val="en-US"/>
        </w:rPr>
        <w:t xml:space="preserve">ed M. Safer colonoscopy with patient-controlled analgesia and sedation with propofol and alfentanil. </w:t>
      </w:r>
      <w:r w:rsidRPr="00AA2F17">
        <w:rPr>
          <w:rFonts w:ascii="Times New Roman" w:eastAsia="AdvPSA322" w:hAnsi="Times New Roman" w:cs="Arial"/>
          <w:color w:val="000000"/>
        </w:rPr>
        <w:t>Gastrointestinal endoscopy 2001;54(1):1-7. 120.</w:t>
      </w:r>
    </w:p>
    <w:p w:rsidR="001B03C2" w:rsidRDefault="009B166E">
      <w:pPr>
        <w:spacing w:line="480" w:lineRule="auto"/>
        <w:jc w:val="both"/>
        <w:rPr>
          <w:rFonts w:ascii="Times New Roman" w:eastAsia="AdvPSA322" w:hAnsi="Times New Roman" w:cs="Arial"/>
          <w:color w:val="000080"/>
          <w:lang w:val="en-US"/>
        </w:rPr>
      </w:pPr>
      <w:r w:rsidRPr="00AA2F17">
        <w:rPr>
          <w:rFonts w:ascii="Times New Roman" w:eastAsia="AdvPSA322" w:hAnsi="Times New Roman" w:cs="Arial"/>
          <w:color w:val="000000"/>
        </w:rPr>
        <w:t>53.-</w:t>
      </w:r>
      <w:bookmarkStart w:id="6" w:name="S-13"/>
      <w:bookmarkEnd w:id="6"/>
      <w:r w:rsidRPr="00AA2F17">
        <w:rPr>
          <w:rFonts w:ascii="Times New Roman" w:eastAsia="AdvPSA322" w:hAnsi="Times New Roman" w:cs="Arial"/>
          <w:color w:val="000000"/>
        </w:rPr>
        <w:t xml:space="preserve"> Moerman AT, Foubert LA, Herregods LL, Struys MM, De Wolf DJ, De Looze DA, De Vos MM, Mortier EP. </w:t>
      </w:r>
      <w:r>
        <w:rPr>
          <w:rFonts w:ascii="Times New Roman" w:eastAsia="AdvPSA322" w:hAnsi="Times New Roman" w:cs="Arial"/>
          <w:color w:val="000000"/>
          <w:lang w:val="en-US"/>
        </w:rPr>
        <w:t>Propo</w:t>
      </w:r>
      <w:r>
        <w:rPr>
          <w:rFonts w:ascii="Times New Roman" w:eastAsia="AdvPSA322" w:hAnsi="Times New Roman" w:cs="Arial"/>
          <w:color w:val="000000"/>
          <w:lang w:val="en-US"/>
        </w:rPr>
        <w:t>fol versus remifentanil for monitored anaesthesia care during colonoscopy. European journal of anaesthesiology 2003;20(6):461-466.144.</w:t>
      </w:r>
      <w:r>
        <w:rPr>
          <w:rFonts w:ascii="Times New Roman" w:eastAsia="AdvPSA322" w:hAnsi="Times New Roman" w:cs="Arial"/>
          <w:color w:val="000080"/>
          <w:lang w:val="en-US"/>
        </w:rPr>
        <w:t xml:space="preserve"> </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54.-</w:t>
      </w:r>
      <w:bookmarkStart w:id="7" w:name="S-21"/>
      <w:bookmarkEnd w:id="7"/>
      <w:r>
        <w:rPr>
          <w:rFonts w:ascii="Times New Roman" w:eastAsia="AdvPSA322" w:hAnsi="Times New Roman" w:cs="Arial"/>
          <w:color w:val="000000"/>
          <w:lang w:val="en-US"/>
        </w:rPr>
        <w:t xml:space="preserve"> Ulmer BJ, Hansen JJ, Overley CA, Symms MR, Chadalawada V, Liangpunsakul S, Strahl E, Mendel AM, Rex DK. Propofol ve</w:t>
      </w:r>
      <w:r>
        <w:rPr>
          <w:rFonts w:ascii="Times New Roman" w:eastAsia="AdvPSA322" w:hAnsi="Times New Roman" w:cs="Arial"/>
          <w:color w:val="000000"/>
          <w:lang w:val="en-US"/>
        </w:rPr>
        <w:t>rsus midazolam/fentanyl for outpatient colonoscopy: administration by nurses supervised by endoscopists. Clin Gastroenterol Hepatol 2003;1(6):425-432.203.</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 xml:space="preserve">55.- </w:t>
      </w:r>
      <w:bookmarkStart w:id="8" w:name="S-6"/>
      <w:bookmarkEnd w:id="8"/>
      <w:r>
        <w:rPr>
          <w:rFonts w:ascii="Times New Roman" w:eastAsia="AdvPSA322" w:hAnsi="Times New Roman" w:cs="Arial"/>
          <w:color w:val="000000"/>
          <w:lang w:val="en-US"/>
        </w:rPr>
        <w:t xml:space="preserve">Jimenez-Perez J, Pastor G, Aznarez R, Carral D, Rodriguez C, Borda F. Iatrogenic perforation in </w:t>
      </w:r>
      <w:r>
        <w:rPr>
          <w:rFonts w:ascii="Times New Roman" w:eastAsia="AdvPSA322" w:hAnsi="Times New Roman" w:cs="Arial"/>
          <w:color w:val="000000"/>
          <w:lang w:val="en-US"/>
        </w:rPr>
        <w:t>diagnostic colonoscopy related to the type of sedation. DDW Abstracts 2000:3351. 318.</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56.- Trummel J. Sedation for gastrointestinal endoscopy: the changing landscape. Curr Opin Anaesthesiol 2007;20:359–64.</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57.- Rex DK, Overley CA, Walker J. Registered nurs</w:t>
      </w:r>
      <w:r>
        <w:rPr>
          <w:rFonts w:ascii="Times New Roman" w:eastAsia="AdvPSA322" w:hAnsi="Times New Roman" w:cs="Arial"/>
          <w:color w:val="000000"/>
          <w:lang w:val="en-US"/>
        </w:rPr>
        <w:t>e-administered propofol sedation for upper endoscopy and colonoscopy: why? when? how? Rev Gastroenterol Disord 2003;3:70–80.</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 xml:space="preserve">58.- Cohen LB, Wang C, Jones JB. AQUAVAN is safe and effective for minimal to moderate sedation during colonoscopy. Anesthesiology </w:t>
      </w:r>
      <w:r>
        <w:rPr>
          <w:rFonts w:ascii="Times New Roman" w:eastAsia="AdvPSA322" w:hAnsi="Times New Roman" w:cs="Arial"/>
          <w:color w:val="000000"/>
          <w:lang w:val="en-US"/>
        </w:rPr>
        <w:t>2006;105:AB1367.</w:t>
      </w:r>
    </w:p>
    <w:p w:rsidR="001B03C2" w:rsidRPr="00AA2F17" w:rsidRDefault="009B166E">
      <w:pPr>
        <w:spacing w:line="480" w:lineRule="auto"/>
        <w:jc w:val="both"/>
        <w:rPr>
          <w:rFonts w:ascii="Times New Roman" w:eastAsia="AdvPSA322" w:hAnsi="Times New Roman" w:cs="AdvPSA322"/>
          <w:color w:val="000000"/>
        </w:rPr>
      </w:pPr>
      <w:r>
        <w:rPr>
          <w:rFonts w:ascii="Times New Roman" w:eastAsia="AdvPSA322" w:hAnsi="Times New Roman" w:cs="Arial"/>
          <w:color w:val="000000"/>
          <w:lang w:val="en-US"/>
        </w:rPr>
        <w:t xml:space="preserve">59.- Rex DK, Cohen LB, Kline J, et al. Fospropofol disodium is effective and safe for minimal to </w:t>
      </w:r>
      <w:r>
        <w:rPr>
          <w:rFonts w:ascii="Times New Roman" w:eastAsia="AdvPSA322" w:hAnsi="Times New Roman" w:cs="Arial"/>
          <w:color w:val="000000"/>
          <w:lang w:val="en-US"/>
        </w:rPr>
        <w:lastRenderedPageBreak/>
        <w:t xml:space="preserve">moderate sedation in patients undergoing colonoscopy: results in a phase 3, randomized, double-blind trial. </w:t>
      </w:r>
      <w:r w:rsidRPr="00AA2F17">
        <w:rPr>
          <w:rFonts w:ascii="Times New Roman" w:eastAsia="AdvPSA322" w:hAnsi="Times New Roman" w:cs="Arial"/>
          <w:color w:val="000000"/>
        </w:rPr>
        <w:t>Gastrointest Endosc 2007;65:AB369</w:t>
      </w:r>
      <w:r w:rsidRPr="00AA2F17">
        <w:rPr>
          <w:rFonts w:ascii="Times New Roman" w:eastAsia="AdvPSA322" w:hAnsi="Times New Roman" w:cs="AdvPSA322"/>
          <w:color w:val="000000"/>
        </w:rPr>
        <w:t>.</w:t>
      </w:r>
    </w:p>
    <w:p w:rsidR="001B03C2" w:rsidRDefault="009B166E">
      <w:pPr>
        <w:spacing w:line="480" w:lineRule="auto"/>
        <w:jc w:val="both"/>
        <w:rPr>
          <w:rFonts w:ascii="Times New Roman" w:eastAsia="AdvPSA322" w:hAnsi="Times New Roman" w:cs="Arial"/>
          <w:color w:val="000000"/>
          <w:lang w:val="en-US"/>
        </w:rPr>
      </w:pPr>
      <w:r w:rsidRPr="00AA2F17">
        <w:rPr>
          <w:rFonts w:ascii="Times New Roman" w:eastAsia="AdvPSA322" w:hAnsi="Times New Roman" w:cs="AdvPSA322"/>
          <w:color w:val="000000"/>
        </w:rPr>
        <w:t xml:space="preserve">60.- </w:t>
      </w:r>
      <w:r w:rsidRPr="00AA2F17">
        <w:rPr>
          <w:rFonts w:ascii="Times New Roman" w:eastAsia="AdvPSA322" w:hAnsi="Times New Roman" w:cs="Arial"/>
          <w:color w:val="000000"/>
        </w:rPr>
        <w:t xml:space="preserve">Demiraran Y, Korkut E, Tamer A, et al. </w:t>
      </w:r>
      <w:r>
        <w:rPr>
          <w:rFonts w:ascii="Times New Roman" w:eastAsia="AdvPSA322" w:hAnsi="Times New Roman" w:cs="Arial"/>
          <w:color w:val="000000"/>
          <w:lang w:val="en-US"/>
        </w:rPr>
        <w:t>The comparison of dexmedetomidine and midazolam used for sedation of patients during upper endoscopy: a prospective, randomized study.Can J Gastroenterol 2007;21:25–9.</w:t>
      </w:r>
    </w:p>
    <w:p w:rsidR="001B03C2" w:rsidRDefault="009B166E">
      <w:pPr>
        <w:spacing w:line="480" w:lineRule="auto"/>
        <w:jc w:val="both"/>
        <w:rPr>
          <w:rFonts w:ascii="Times New Roman" w:eastAsia="AdvPSA322" w:hAnsi="Times New Roman" w:cs="Arial"/>
          <w:color w:val="000000"/>
          <w:lang w:val="en-US"/>
        </w:rPr>
      </w:pPr>
      <w:r w:rsidRPr="00AA2F17">
        <w:rPr>
          <w:rFonts w:ascii="Times New Roman" w:eastAsia="AdvPSA322" w:hAnsi="Times New Roman" w:cs="Arial"/>
          <w:color w:val="000000"/>
        </w:rPr>
        <w:t>61.- Jalowiecki P, Rudner R, Gonciarz M, et</w:t>
      </w:r>
      <w:r w:rsidRPr="00AA2F17">
        <w:rPr>
          <w:rFonts w:ascii="Times New Roman" w:eastAsia="AdvPSA322" w:hAnsi="Times New Roman" w:cs="Arial"/>
          <w:color w:val="000000"/>
        </w:rPr>
        <w:t xml:space="preserve"> al. </w:t>
      </w:r>
      <w:r>
        <w:rPr>
          <w:rFonts w:ascii="Times New Roman" w:eastAsia="AdvPSA322" w:hAnsi="Times New Roman" w:cs="Arial"/>
          <w:color w:val="000000"/>
          <w:lang w:val="en-US"/>
        </w:rPr>
        <w:t>Sole use of dexmedetomidine has limited utility for conscious sedation during outpatient colonoscopy. Anesthesiology 2005;103:269–73.</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62.- Gilger MA, Spearman RS, Dietrich CL, et al. Safety and effectiveness of ketamine as a sedative agent for pediatr</w:t>
      </w:r>
      <w:r>
        <w:rPr>
          <w:rFonts w:ascii="Times New Roman" w:eastAsia="AdvPSA322" w:hAnsi="Times New Roman" w:cs="Arial"/>
          <w:color w:val="000000"/>
          <w:lang w:val="en-US"/>
        </w:rPr>
        <w:t xml:space="preserve">ic GI endoscopy. Gastrointest Endosc 2004;59: 659–63. </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64.- Wiesner G, Harth M, Hoerauf KH, Szulc R, Jurzyk W, Sobczynski P, et al. Occupational exposure to inhaled anaesthetics: a follow-up study on anaesthetists of an eastern European University Hospital</w:t>
      </w:r>
      <w:r>
        <w:rPr>
          <w:rFonts w:ascii="Times New Roman" w:eastAsia="AdvPSA322" w:hAnsi="Times New Roman" w:cs="Arial"/>
          <w:color w:val="000000"/>
          <w:lang w:val="en-US"/>
        </w:rPr>
        <w:t>. Acta Anaesthesiol Scand. 2000;44:804-6.</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65.- Saunders BP, Fukumoto M, Halligan S, et al. Patient-administered nitrous oxide/ oxygen inhalation provides effective sedation and analgesia for colonoscopy. Gastrointest Endosc 1994;40:418–21.</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rial"/>
          <w:color w:val="000000"/>
          <w:lang w:val="en-US"/>
        </w:rPr>
        <w:t xml:space="preserve">66.- Forbes GM, </w:t>
      </w:r>
      <w:r>
        <w:rPr>
          <w:rFonts w:ascii="Times New Roman" w:eastAsia="AdvPSA322" w:hAnsi="Times New Roman" w:cs="Arial"/>
          <w:color w:val="000000"/>
          <w:lang w:val="en-US"/>
        </w:rPr>
        <w:t>Collins BJ. Nitrous oxide for colonoscopy: a randomized controlled study. Gastrointest Endosc 2000;51:271–7.</w:t>
      </w:r>
    </w:p>
    <w:p w:rsidR="001B03C2" w:rsidRDefault="009B166E">
      <w:pPr>
        <w:spacing w:line="480" w:lineRule="auto"/>
        <w:jc w:val="both"/>
        <w:rPr>
          <w:rFonts w:ascii="Times New Roman" w:eastAsia="AdvPSA322" w:hAnsi="Times New Roman" w:cs="AdvPSA322"/>
          <w:color w:val="000000"/>
          <w:lang w:val="en-US"/>
        </w:rPr>
      </w:pPr>
      <w:r>
        <w:rPr>
          <w:rFonts w:ascii="Times New Roman" w:eastAsia="AdvPSA322" w:hAnsi="Times New Roman" w:cs="Arial"/>
          <w:color w:val="000000"/>
          <w:lang w:val="en-US"/>
        </w:rPr>
        <w:t>67.- Maslekar SK, Hughes M, Skinn E, et al. Randomised controlled trial of sedation for colonoscopy: entonox versus intravenous sedation. Gastroint</w:t>
      </w:r>
      <w:r>
        <w:rPr>
          <w:rFonts w:ascii="Times New Roman" w:eastAsia="AdvPSA322" w:hAnsi="Times New Roman" w:cs="Arial"/>
          <w:color w:val="000000"/>
          <w:lang w:val="en-US"/>
        </w:rPr>
        <w:t>est Endosc 2006;63:AB97.</w:t>
      </w:r>
      <w:r>
        <w:rPr>
          <w:rFonts w:ascii="Times New Roman" w:eastAsia="AdvPSA322" w:hAnsi="Times New Roman" w:cs="AdvPSA322"/>
          <w:color w:val="000000"/>
          <w:lang w:val="en-US"/>
        </w:rPr>
        <w:t xml:space="preserve"> </w:t>
      </w:r>
    </w:p>
    <w:p w:rsidR="001B03C2" w:rsidRDefault="009B166E">
      <w:pPr>
        <w:spacing w:line="480" w:lineRule="auto"/>
        <w:jc w:val="both"/>
        <w:rPr>
          <w:rFonts w:ascii="Times New Roman" w:eastAsia="AdvPSA322" w:hAnsi="Times New Roman" w:cs="AdvPSA322"/>
          <w:color w:val="000000"/>
          <w:lang w:val="en-US"/>
        </w:rPr>
      </w:pPr>
      <w:r>
        <w:rPr>
          <w:rFonts w:ascii="Times New Roman" w:eastAsia="AdvPSA322" w:hAnsi="Times New Roman" w:cs="AdvPSA322"/>
          <w:color w:val="000000"/>
          <w:lang w:val="en-US"/>
        </w:rPr>
        <w:t xml:space="preserve">68.- </w:t>
      </w:r>
      <w:r>
        <w:rPr>
          <w:rFonts w:ascii="Times New Roman" w:eastAsia="AdvPSA322" w:hAnsi="Times New Roman" w:cs="Arial"/>
          <w:color w:val="000000"/>
          <w:lang w:val="en-US"/>
        </w:rPr>
        <w:t>Lahoud GY, Hopkins PM. Balanced conscious sedation with intravenous induction and inhalational maintenance for patients requiring endoscopic and/or surgical procedures. Eur J Anaesthesiol 2007;24(2):116–21</w:t>
      </w:r>
      <w:r>
        <w:rPr>
          <w:rFonts w:ascii="Times New Roman" w:eastAsia="AdvPSA322" w:hAnsi="Times New Roman" w:cs="AdvPSA322"/>
          <w:color w:val="000000"/>
          <w:lang w:val="en-US"/>
        </w:rPr>
        <w:t>.</w:t>
      </w:r>
    </w:p>
    <w:p w:rsidR="001B03C2" w:rsidRDefault="009B166E">
      <w:pPr>
        <w:spacing w:line="480" w:lineRule="auto"/>
        <w:jc w:val="both"/>
        <w:rPr>
          <w:rFonts w:ascii="Times New Roman" w:eastAsia="AdvPSA322" w:hAnsi="Times New Roman" w:cs="Arial"/>
          <w:color w:val="000000"/>
          <w:lang w:val="en-US"/>
        </w:rPr>
      </w:pPr>
      <w:r>
        <w:rPr>
          <w:rFonts w:ascii="Times New Roman" w:eastAsia="AdvPSA322" w:hAnsi="Times New Roman" w:cs="AdvPSA322"/>
          <w:color w:val="000000"/>
          <w:lang w:val="en-US"/>
        </w:rPr>
        <w:t xml:space="preserve">69.- </w:t>
      </w:r>
      <w:r>
        <w:rPr>
          <w:rFonts w:ascii="Times New Roman" w:eastAsia="AdvPSA322" w:hAnsi="Times New Roman" w:cs="Arial"/>
          <w:color w:val="000000"/>
          <w:lang w:val="en-US"/>
        </w:rPr>
        <w:t>Knaggs CL, Dr</w:t>
      </w:r>
      <w:r>
        <w:rPr>
          <w:rFonts w:ascii="Times New Roman" w:eastAsia="AdvPSA322" w:hAnsi="Times New Roman" w:cs="Arial"/>
          <w:color w:val="000000"/>
          <w:lang w:val="en-US"/>
        </w:rPr>
        <w:t>ummond GB,. Randomized comparison of three methods of induction of anaesthesia with sevoflurane. BR J Anaesth 2005;95: 178-82.</w:t>
      </w: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ascii="Times New Roman" w:hAnsi="Times New Roman"/>
        </w:rPr>
      </w:pPr>
    </w:p>
    <w:p w:rsidR="001B03C2" w:rsidRDefault="001B03C2">
      <w:pPr>
        <w:spacing w:line="480" w:lineRule="auto"/>
        <w:jc w:val="both"/>
        <w:rPr>
          <w:rFonts w:hint="eastAsia"/>
        </w:rPr>
      </w:pPr>
    </w:p>
    <w:p w:rsidR="001B03C2" w:rsidRDefault="001B03C2">
      <w:pPr>
        <w:rPr>
          <w:rFonts w:hint="eastAsia"/>
        </w:rPr>
        <w:sectPr w:rsidR="001B03C2">
          <w:type w:val="continuous"/>
          <w:pgSz w:w="11906" w:h="16838"/>
          <w:pgMar w:top="1984" w:right="1134" w:bottom="1134" w:left="1134" w:header="1134" w:footer="0" w:gutter="0"/>
          <w:cols w:space="720"/>
          <w:formProt w:val="0"/>
          <w:docGrid w:linePitch="312" w:charSpace="-6145"/>
        </w:sectPr>
      </w:pPr>
    </w:p>
    <w:p w:rsidR="009B166E" w:rsidRDefault="009B166E"/>
    <w:sectPr w:rsidR="009B166E" w:rsidSect="001B03C2">
      <w:type w:val="continuous"/>
      <w:pgSz w:w="11906" w:h="16838"/>
      <w:pgMar w:top="1984" w:right="1134" w:bottom="1134" w:left="1134" w:header="1134" w:footer="0" w:gutter="0"/>
      <w:cols w:space="720"/>
      <w:formProt w:val="0"/>
      <w:docGrid w:linePitch="312" w:charSpace="-6145"/>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SFGP" w:date="2014-09-18T20:09:00Z" w:initials="L">
    <w:p w:rsidR="00AA2F17" w:rsidRDefault="00AA2F17">
      <w:pPr>
        <w:pStyle w:val="Textocomentario"/>
        <w:rPr>
          <w:rFonts w:hint="eastAsia"/>
        </w:rPr>
      </w:pPr>
      <w:r>
        <w:rPr>
          <w:rStyle w:val="Refdecomentario"/>
          <w:rFonts w:hint="eastAsia"/>
        </w:rPr>
        <w:annotationRef/>
      </w:r>
      <w:r>
        <w:t>Regina Romero</w:t>
      </w:r>
    </w:p>
  </w:comment>
  <w:comment w:id="1" w:author="LESFGP" w:date="2014-09-18T20:09:00Z" w:initials="L">
    <w:p w:rsidR="00AA2F17" w:rsidRDefault="00AA2F17">
      <w:pPr>
        <w:pStyle w:val="Textocomentario"/>
        <w:rPr>
          <w:rFonts w:hint="eastAsia"/>
        </w:rPr>
      </w:pPr>
      <w:r>
        <w:rPr>
          <w:rStyle w:val="Refdecomentario"/>
          <w:rFonts w:hint="eastAsia"/>
        </w:rPr>
        <w:annotationRef/>
      </w:r>
      <w:r>
        <w:t>Estudio Unicéntrico</w:t>
      </w:r>
    </w:p>
  </w:comment>
  <w:comment w:id="3" w:author="LESFGP" w:date="2014-09-18T20:12:00Z" w:initials="L">
    <w:p w:rsidR="00AA2F17" w:rsidRDefault="00AA2F17">
      <w:pPr>
        <w:pStyle w:val="Textocomentario"/>
      </w:pPr>
      <w:r>
        <w:rPr>
          <w:rStyle w:val="Refdecomentario"/>
          <w:rFonts w:hint="eastAsia"/>
        </w:rPr>
        <w:annotationRef/>
      </w:r>
      <w:r>
        <w:t>NO LOS PONDREMOS</w:t>
      </w:r>
    </w:p>
    <w:p w:rsidR="00AA2F17" w:rsidRDefault="00AA2F17">
      <w:pPr>
        <w:pStyle w:val="Textocomentario"/>
        <w:rPr>
          <w:rFonts w:hint="eastAsia"/>
        </w:rPr>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66E" w:rsidRDefault="009B166E" w:rsidP="001B03C2">
      <w:r>
        <w:separator/>
      </w:r>
    </w:p>
  </w:endnote>
  <w:endnote w:type="continuationSeparator" w:id="1">
    <w:p w:rsidR="009B166E" w:rsidRDefault="009B166E" w:rsidP="001B03C2">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roman"/>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Symbol;Arial Unicode MS">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AdvPSA322">
    <w:altName w:val="Times New Roman"/>
    <w:panose1 w:val="00000000000000000000"/>
    <w:charset w:val="00"/>
    <w:family w:val="roman"/>
    <w:notTrueType/>
    <w:pitch w:val="default"/>
    <w:sig w:usb0="00000000" w:usb1="00000000" w:usb2="00000000" w:usb3="00000000" w:csb0="00000000" w:csb1="00000000"/>
  </w:font>
  <w:font w:name="UniversLTStd;Arial Unicode MS">
    <w:panose1 w:val="00000000000000000000"/>
    <w:charset w:val="00"/>
    <w:family w:val="roman"/>
    <w:notTrueType/>
    <w:pitch w:val="default"/>
    <w:sig w:usb0="00000000" w:usb1="00000000" w:usb2="00000000" w:usb3="00000000" w:csb0="00000000" w:csb1="00000000"/>
  </w:font>
  <w:font w:name="AdvAGroteskBE-B">
    <w:panose1 w:val="00000000000000000000"/>
    <w:charset w:val="00"/>
    <w:family w:val="roman"/>
    <w:notTrueType/>
    <w:pitch w:val="default"/>
    <w:sig w:usb0="00000000" w:usb1="00000000" w:usb2="00000000" w:usb3="00000000" w:csb0="00000000" w:csb1="00000000"/>
  </w:font>
  <w:font w:name="Garamond-Ligh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66E" w:rsidRDefault="009B166E" w:rsidP="001B03C2">
      <w:r>
        <w:separator/>
      </w:r>
    </w:p>
  </w:footnote>
  <w:footnote w:type="continuationSeparator" w:id="1">
    <w:p w:rsidR="009B166E" w:rsidRDefault="009B166E" w:rsidP="001B03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3C2" w:rsidRDefault="009B166E">
    <w:pPr>
      <w:spacing w:line="480" w:lineRule="auto"/>
      <w:jc w:val="both"/>
      <w:rPr>
        <w:rFonts w:ascii="Times New Roman" w:hAnsi="Times New Roman"/>
      </w:rPr>
    </w:pPr>
    <w:r>
      <w:rPr>
        <w:rFonts w:ascii="Times New Roman" w:hAnsi="Times New Roman"/>
      </w:rPr>
      <w:t>Informe Clí</w:t>
    </w:r>
    <w:r>
      <w:rPr>
        <w:rFonts w:ascii="Times New Roman" w:hAnsi="Times New Roman"/>
      </w:rPr>
      <w:t>nico PROTOCOLO FCVHPC-2013-01                      Versión Final, 30 Septiembre 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6FCB"/>
    <w:multiLevelType w:val="multilevel"/>
    <w:tmpl w:val="18DC0F6E"/>
    <w:lvl w:ilvl="0">
      <w:start w:val="1"/>
      <w:numFmt w:val="bullet"/>
      <w:lvlText w:val=""/>
      <w:lvlJc w:val="left"/>
      <w:pPr>
        <w:tabs>
          <w:tab w:val="num" w:pos="720"/>
        </w:tabs>
        <w:ind w:left="720" w:hanging="360"/>
      </w:pPr>
      <w:rPr>
        <w:rFonts w:ascii="Wingdings 2" w:hAnsi="Wingdings 2" w:cs="Wingdings 2"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Wingdings 2" w:hAnsi="Wingdings 2" w:cs="Wingdings 2"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Wingdings 2" w:hAnsi="Wingdings 2" w:cs="Wingdings 2"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04FC790C"/>
    <w:multiLevelType w:val="multilevel"/>
    <w:tmpl w:val="09C8B2A2"/>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2">
    <w:nsid w:val="0DA22C6D"/>
    <w:multiLevelType w:val="multilevel"/>
    <w:tmpl w:val="FF96C1C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nsid w:val="0EA16EB4"/>
    <w:multiLevelType w:val="multilevel"/>
    <w:tmpl w:val="6F08E6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nsid w:val="15192151"/>
    <w:multiLevelType w:val="multilevel"/>
    <w:tmpl w:val="9CFE4AD2"/>
    <w:lvl w:ilvl="0">
      <w:start w:val="1"/>
      <w:numFmt w:val="bullet"/>
      <w:lvlText w:val=""/>
      <w:lvlJc w:val="left"/>
      <w:pPr>
        <w:tabs>
          <w:tab w:val="num" w:pos="720"/>
        </w:tabs>
        <w:ind w:left="720" w:hanging="360"/>
      </w:pPr>
      <w:rPr>
        <w:rFonts w:ascii="Wingdings 2" w:hAnsi="Wingdings 2" w:cs="Wingdings 2"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Wingdings 2" w:hAnsi="Wingdings 2" w:cs="Wingdings 2"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Wingdings 2" w:hAnsi="Wingdings 2" w:cs="Wingdings 2"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nsid w:val="16200C9C"/>
    <w:multiLevelType w:val="multilevel"/>
    <w:tmpl w:val="BE1CB5D4"/>
    <w:lvl w:ilvl="0">
      <w:numFmt w:val="bullet"/>
      <w:lvlText w:val="-"/>
      <w:lvlJc w:val="left"/>
      <w:pPr>
        <w:tabs>
          <w:tab w:val="num" w:pos="720"/>
        </w:tabs>
        <w:ind w:left="720" w:hanging="360"/>
      </w:pPr>
      <w:rPr>
        <w:rFonts w:ascii="Times New Roman" w:hAnsi="Times New Roman" w:cs="Times New Roman" w:hint="default"/>
        <w:sz w:val="18"/>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18802342"/>
    <w:multiLevelType w:val="multilevel"/>
    <w:tmpl w:val="9FEEEA4C"/>
    <w:lvl w:ilvl="0">
      <w:start w:val="1"/>
      <w:numFmt w:val="bullet"/>
      <w:lvlText w:val=""/>
      <w:lvlJc w:val="left"/>
      <w:pPr>
        <w:tabs>
          <w:tab w:val="num" w:pos="720"/>
        </w:tabs>
        <w:ind w:left="720" w:hanging="360"/>
      </w:pPr>
      <w:rPr>
        <w:rFonts w:ascii="Wingdings 2" w:hAnsi="Wingdings 2" w:cs="Wingdings 2"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Wingdings 2" w:hAnsi="Wingdings 2" w:cs="Wingdings 2"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Wingdings 2" w:hAnsi="Wingdings 2" w:cs="Wingdings 2"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nsid w:val="230110EC"/>
    <w:multiLevelType w:val="multilevel"/>
    <w:tmpl w:val="AFEC9C9E"/>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8">
    <w:nsid w:val="2402241B"/>
    <w:multiLevelType w:val="multilevel"/>
    <w:tmpl w:val="8E4C605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nsid w:val="46AA2926"/>
    <w:multiLevelType w:val="multilevel"/>
    <w:tmpl w:val="8F74E9F6"/>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0">
    <w:nsid w:val="4D074C78"/>
    <w:multiLevelType w:val="multilevel"/>
    <w:tmpl w:val="A9ACD07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1">
    <w:nsid w:val="56A821AB"/>
    <w:multiLevelType w:val="multilevel"/>
    <w:tmpl w:val="C5A6049C"/>
    <w:lvl w:ilvl="0">
      <w:start w:val="1"/>
      <w:numFmt w:val="bullet"/>
      <w:lvlText w:val=""/>
      <w:lvlJc w:val="left"/>
      <w:pPr>
        <w:tabs>
          <w:tab w:val="num" w:pos="720"/>
        </w:tabs>
        <w:ind w:left="720" w:hanging="360"/>
      </w:pPr>
      <w:rPr>
        <w:rFonts w:ascii="Wingdings 2" w:hAnsi="Wingdings 2" w:cs="Wingdings 2" w:hint="default"/>
        <w:sz w:val="28"/>
        <w:szCs w:val="28"/>
      </w:rPr>
    </w:lvl>
    <w:lvl w:ilvl="1">
      <w:start w:val="1"/>
      <w:numFmt w:val="bullet"/>
      <w:lvlText w:val="◦"/>
      <w:lvlJc w:val="left"/>
      <w:pPr>
        <w:tabs>
          <w:tab w:val="num" w:pos="1080"/>
        </w:tabs>
        <w:ind w:left="1080" w:hanging="360"/>
      </w:pPr>
      <w:rPr>
        <w:rFonts w:ascii="OpenSymbol" w:hAnsi="OpenSymbol" w:cs="OpenSymbol" w:hint="default"/>
        <w:b/>
        <w:bCs/>
        <w:sz w:val="40"/>
        <w:szCs w:val="40"/>
      </w:rPr>
    </w:lvl>
    <w:lvl w:ilvl="2">
      <w:start w:val="1"/>
      <w:numFmt w:val="bullet"/>
      <w:lvlText w:val="▪"/>
      <w:lvlJc w:val="left"/>
      <w:pPr>
        <w:tabs>
          <w:tab w:val="num" w:pos="1440"/>
        </w:tabs>
        <w:ind w:left="1440" w:hanging="360"/>
      </w:pPr>
      <w:rPr>
        <w:rFonts w:ascii="OpenSymbol" w:hAnsi="OpenSymbol" w:cs="OpenSymbol" w:hint="default"/>
        <w:b/>
        <w:bCs/>
        <w:sz w:val="40"/>
        <w:szCs w:val="40"/>
      </w:rPr>
    </w:lvl>
    <w:lvl w:ilvl="3">
      <w:start w:val="1"/>
      <w:numFmt w:val="bullet"/>
      <w:lvlText w:val=""/>
      <w:lvlJc w:val="left"/>
      <w:pPr>
        <w:tabs>
          <w:tab w:val="num" w:pos="1800"/>
        </w:tabs>
        <w:ind w:left="1800" w:hanging="360"/>
      </w:pPr>
      <w:rPr>
        <w:rFonts w:ascii="Wingdings 2" w:hAnsi="Wingdings 2" w:cs="Wingdings 2" w:hint="default"/>
        <w:sz w:val="28"/>
        <w:szCs w:val="28"/>
      </w:rPr>
    </w:lvl>
    <w:lvl w:ilvl="4">
      <w:start w:val="1"/>
      <w:numFmt w:val="bullet"/>
      <w:lvlText w:val="◦"/>
      <w:lvlJc w:val="left"/>
      <w:pPr>
        <w:tabs>
          <w:tab w:val="num" w:pos="2160"/>
        </w:tabs>
        <w:ind w:left="2160" w:hanging="360"/>
      </w:pPr>
      <w:rPr>
        <w:rFonts w:ascii="OpenSymbol" w:hAnsi="OpenSymbol" w:cs="OpenSymbol" w:hint="default"/>
        <w:b/>
        <w:bCs/>
        <w:sz w:val="40"/>
        <w:szCs w:val="40"/>
      </w:rPr>
    </w:lvl>
    <w:lvl w:ilvl="5">
      <w:start w:val="1"/>
      <w:numFmt w:val="bullet"/>
      <w:lvlText w:val="▪"/>
      <w:lvlJc w:val="left"/>
      <w:pPr>
        <w:tabs>
          <w:tab w:val="num" w:pos="2520"/>
        </w:tabs>
        <w:ind w:left="2520" w:hanging="360"/>
      </w:pPr>
      <w:rPr>
        <w:rFonts w:ascii="OpenSymbol" w:hAnsi="OpenSymbol" w:cs="OpenSymbol" w:hint="default"/>
        <w:b/>
        <w:bCs/>
        <w:sz w:val="40"/>
        <w:szCs w:val="40"/>
      </w:rPr>
    </w:lvl>
    <w:lvl w:ilvl="6">
      <w:start w:val="1"/>
      <w:numFmt w:val="bullet"/>
      <w:lvlText w:val=""/>
      <w:lvlJc w:val="left"/>
      <w:pPr>
        <w:tabs>
          <w:tab w:val="num" w:pos="2880"/>
        </w:tabs>
        <w:ind w:left="2880" w:hanging="360"/>
      </w:pPr>
      <w:rPr>
        <w:rFonts w:ascii="Wingdings 2" w:hAnsi="Wingdings 2" w:cs="Wingdings 2" w:hint="default"/>
        <w:sz w:val="28"/>
        <w:szCs w:val="28"/>
      </w:rPr>
    </w:lvl>
    <w:lvl w:ilvl="7">
      <w:start w:val="1"/>
      <w:numFmt w:val="bullet"/>
      <w:lvlText w:val="◦"/>
      <w:lvlJc w:val="left"/>
      <w:pPr>
        <w:tabs>
          <w:tab w:val="num" w:pos="3240"/>
        </w:tabs>
        <w:ind w:left="3240" w:hanging="360"/>
      </w:pPr>
      <w:rPr>
        <w:rFonts w:ascii="OpenSymbol" w:hAnsi="OpenSymbol" w:cs="OpenSymbol" w:hint="default"/>
        <w:b/>
        <w:bCs/>
        <w:sz w:val="40"/>
        <w:szCs w:val="40"/>
      </w:rPr>
    </w:lvl>
    <w:lvl w:ilvl="8">
      <w:start w:val="1"/>
      <w:numFmt w:val="bullet"/>
      <w:lvlText w:val="▪"/>
      <w:lvlJc w:val="left"/>
      <w:pPr>
        <w:tabs>
          <w:tab w:val="num" w:pos="3600"/>
        </w:tabs>
        <w:ind w:left="3600" w:hanging="360"/>
      </w:pPr>
      <w:rPr>
        <w:rFonts w:ascii="OpenSymbol" w:hAnsi="OpenSymbol" w:cs="OpenSymbol" w:hint="default"/>
        <w:b/>
        <w:bCs/>
        <w:sz w:val="40"/>
        <w:szCs w:val="40"/>
      </w:rPr>
    </w:lvl>
  </w:abstractNum>
  <w:abstractNum w:abstractNumId="12">
    <w:nsid w:val="650079CA"/>
    <w:multiLevelType w:val="multilevel"/>
    <w:tmpl w:val="841A4E90"/>
    <w:lvl w:ilvl="0">
      <w:start w:val="1"/>
      <w:numFmt w:val="none"/>
      <w:suff w:val="nothing"/>
      <w:lvlText w:val="."/>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13">
    <w:nsid w:val="78937BD6"/>
    <w:multiLevelType w:val="multilevel"/>
    <w:tmpl w:val="0C00AF3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2"/>
  </w:num>
  <w:num w:numId="2">
    <w:abstractNumId w:val="7"/>
  </w:num>
  <w:num w:numId="3">
    <w:abstractNumId w:val="1"/>
  </w:num>
  <w:num w:numId="4">
    <w:abstractNumId w:val="9"/>
  </w:num>
  <w:num w:numId="5">
    <w:abstractNumId w:val="5"/>
  </w:num>
  <w:num w:numId="6">
    <w:abstractNumId w:val="4"/>
  </w:num>
  <w:num w:numId="7">
    <w:abstractNumId w:val="11"/>
  </w:num>
  <w:num w:numId="8">
    <w:abstractNumId w:val="6"/>
  </w:num>
  <w:num w:numId="9">
    <w:abstractNumId w:val="2"/>
  </w:num>
  <w:num w:numId="10">
    <w:abstractNumId w:val="13"/>
  </w:num>
  <w:num w:numId="11">
    <w:abstractNumId w:val="10"/>
  </w:num>
  <w:num w:numId="12">
    <w:abstractNumId w:val="3"/>
  </w:num>
  <w:num w:numId="13">
    <w:abstractNumId w:val="0"/>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useFELayout/>
  </w:compat>
  <w:rsids>
    <w:rsidRoot w:val="001B03C2"/>
    <w:rsid w:val="001B03C2"/>
    <w:rsid w:val="009B166E"/>
    <w:rsid w:val="00AA2F1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 w:val="24"/>
        <w:szCs w:val="24"/>
        <w:lang w:val="es-E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B03C2"/>
    <w:pPr>
      <w:widowControl w:val="0"/>
      <w:suppressAutoHyphens/>
    </w:pPr>
    <w:rPr>
      <w:color w:val="00000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6z0">
    <w:name w:val="WW8Num6z0"/>
    <w:rsid w:val="001B03C2"/>
    <w:rPr>
      <w:rFonts w:ascii="Times New Roman" w:eastAsia="Times New Roman" w:hAnsi="Times New Roman" w:cs="Times New Roman"/>
      <w:sz w:val="18"/>
      <w:szCs w:val="21"/>
      <w:lang w:val="en-US" w:eastAsia="ar-SA" w:bidi="ar-SA"/>
    </w:rPr>
  </w:style>
  <w:style w:type="character" w:customStyle="1" w:styleId="WW8Num9z0">
    <w:name w:val="WW8Num9z0"/>
    <w:rsid w:val="001B03C2"/>
    <w:rPr>
      <w:rFonts w:ascii="Symbol" w:hAnsi="Symbol" w:cs="OpenSymbol;Arial Unicode MS"/>
    </w:rPr>
  </w:style>
  <w:style w:type="character" w:customStyle="1" w:styleId="WW8Num9z1">
    <w:name w:val="WW8Num9z1"/>
    <w:rsid w:val="001B03C2"/>
    <w:rPr>
      <w:rFonts w:ascii="OpenSymbol;Arial Unicode MS" w:hAnsi="OpenSymbol;Arial Unicode MS" w:cs="OpenSymbol;Arial Unicode MS"/>
    </w:rPr>
  </w:style>
  <w:style w:type="character" w:customStyle="1" w:styleId="WW8Num10z0">
    <w:name w:val="WW8Num10z0"/>
    <w:rsid w:val="001B03C2"/>
    <w:rPr>
      <w:rFonts w:ascii="Symbol" w:hAnsi="Symbol" w:cs="OpenSymbol;Arial Unicode MS"/>
      <w:sz w:val="28"/>
      <w:szCs w:val="28"/>
    </w:rPr>
  </w:style>
  <w:style w:type="character" w:customStyle="1" w:styleId="WW8Num10z1">
    <w:name w:val="WW8Num10z1"/>
    <w:rsid w:val="001B03C2"/>
    <w:rPr>
      <w:rFonts w:ascii="OpenSymbol;Arial Unicode MS" w:hAnsi="OpenSymbol;Arial Unicode MS" w:cs="OpenSymbol;Arial Unicode MS"/>
      <w:b/>
      <w:bCs/>
      <w:sz w:val="40"/>
      <w:szCs w:val="40"/>
    </w:rPr>
  </w:style>
  <w:style w:type="character" w:customStyle="1" w:styleId="WW8Num11z0">
    <w:name w:val="WW8Num11z0"/>
    <w:rsid w:val="001B03C2"/>
    <w:rPr>
      <w:rFonts w:cs="Arial"/>
    </w:rPr>
  </w:style>
  <w:style w:type="character" w:customStyle="1" w:styleId="WW8Num11z1">
    <w:name w:val="WW8Num11z1"/>
    <w:rsid w:val="001B03C2"/>
  </w:style>
  <w:style w:type="character" w:customStyle="1" w:styleId="ListLabel1">
    <w:name w:val="ListLabel 1"/>
    <w:rsid w:val="001B03C2"/>
    <w:rPr>
      <w:rFonts w:cs="Times New Roman"/>
      <w:sz w:val="18"/>
      <w:szCs w:val="21"/>
    </w:rPr>
  </w:style>
  <w:style w:type="character" w:customStyle="1" w:styleId="ListLabel2">
    <w:name w:val="ListLabel 2"/>
    <w:rsid w:val="001B03C2"/>
    <w:rPr>
      <w:rFonts w:cs="Wingdings 2"/>
    </w:rPr>
  </w:style>
  <w:style w:type="character" w:customStyle="1" w:styleId="ListLabel3">
    <w:name w:val="ListLabel 3"/>
    <w:rsid w:val="001B03C2"/>
    <w:rPr>
      <w:rFonts w:cs="OpenSymbol"/>
    </w:rPr>
  </w:style>
  <w:style w:type="character" w:customStyle="1" w:styleId="ListLabel4">
    <w:name w:val="ListLabel 4"/>
    <w:rsid w:val="001B03C2"/>
    <w:rPr>
      <w:rFonts w:cs="Wingdings 2"/>
      <w:sz w:val="28"/>
      <w:szCs w:val="28"/>
    </w:rPr>
  </w:style>
  <w:style w:type="character" w:customStyle="1" w:styleId="ListLabel5">
    <w:name w:val="ListLabel 5"/>
    <w:rsid w:val="001B03C2"/>
    <w:rPr>
      <w:rFonts w:cs="OpenSymbol"/>
      <w:b/>
      <w:bCs/>
      <w:sz w:val="40"/>
      <w:szCs w:val="40"/>
    </w:rPr>
  </w:style>
  <w:style w:type="character" w:customStyle="1" w:styleId="WW8Num3z0">
    <w:name w:val="WW8Num3z0"/>
    <w:rsid w:val="001B03C2"/>
    <w:rPr>
      <w:rFonts w:ascii="Times New Roman" w:hAnsi="Times New Roman" w:cs="Times New Roman"/>
    </w:rPr>
  </w:style>
  <w:style w:type="character" w:customStyle="1" w:styleId="WW8Num4z0">
    <w:name w:val="WW8Num4z0"/>
    <w:rsid w:val="001B03C2"/>
    <w:rPr>
      <w:rFonts w:ascii="Symbol" w:hAnsi="Symbol" w:cs="Symbol"/>
    </w:rPr>
  </w:style>
  <w:style w:type="character" w:customStyle="1" w:styleId="WW8Num5z0">
    <w:name w:val="WW8Num5z0"/>
    <w:rsid w:val="001B03C2"/>
    <w:rPr>
      <w:rFonts w:ascii="Symbol" w:hAnsi="Symbol" w:cs="OpenSymbol;Arial Unicode MS"/>
      <w:lang w:val="en-US"/>
    </w:rPr>
  </w:style>
  <w:style w:type="character" w:customStyle="1" w:styleId="EnlacedeInternet">
    <w:name w:val="Enlace de Internet"/>
    <w:rsid w:val="001B03C2"/>
    <w:rPr>
      <w:color w:val="000080"/>
      <w:u w:val="single"/>
    </w:rPr>
  </w:style>
  <w:style w:type="character" w:customStyle="1" w:styleId="WW8Num7z0">
    <w:name w:val="WW8Num7z0"/>
    <w:rsid w:val="001B03C2"/>
    <w:rPr>
      <w:rFonts w:cs="Arial"/>
    </w:rPr>
  </w:style>
  <w:style w:type="character" w:customStyle="1" w:styleId="WW8Num8z0">
    <w:name w:val="WW8Num8z0"/>
    <w:rsid w:val="001B03C2"/>
    <w:rPr>
      <w:rFonts w:cs="Arial"/>
    </w:rPr>
  </w:style>
  <w:style w:type="character" w:customStyle="1" w:styleId="WW8Num8z1">
    <w:name w:val="WW8Num8z1"/>
    <w:rsid w:val="001B03C2"/>
  </w:style>
  <w:style w:type="character" w:styleId="Refdecomentario">
    <w:name w:val="annotation reference"/>
    <w:basedOn w:val="Fuentedeprrafopredeter"/>
    <w:rsid w:val="001B03C2"/>
    <w:rPr>
      <w:sz w:val="16"/>
      <w:szCs w:val="16"/>
    </w:rPr>
  </w:style>
  <w:style w:type="character" w:customStyle="1" w:styleId="ListLabel6">
    <w:name w:val="ListLabel 6"/>
    <w:rsid w:val="001B03C2"/>
    <w:rPr>
      <w:rFonts w:cs="Times New Roman"/>
      <w:sz w:val="18"/>
      <w:szCs w:val="21"/>
    </w:rPr>
  </w:style>
  <w:style w:type="character" w:customStyle="1" w:styleId="ListLabel7">
    <w:name w:val="ListLabel 7"/>
    <w:rsid w:val="001B03C2"/>
    <w:rPr>
      <w:rFonts w:cs="Wingdings 2"/>
    </w:rPr>
  </w:style>
  <w:style w:type="character" w:customStyle="1" w:styleId="ListLabel8">
    <w:name w:val="ListLabel 8"/>
    <w:rsid w:val="001B03C2"/>
    <w:rPr>
      <w:rFonts w:cs="OpenSymbol"/>
    </w:rPr>
  </w:style>
  <w:style w:type="character" w:customStyle="1" w:styleId="ListLabel9">
    <w:name w:val="ListLabel 9"/>
    <w:rsid w:val="001B03C2"/>
    <w:rPr>
      <w:rFonts w:cs="Wingdings 2"/>
      <w:sz w:val="28"/>
      <w:szCs w:val="28"/>
    </w:rPr>
  </w:style>
  <w:style w:type="character" w:customStyle="1" w:styleId="ListLabel10">
    <w:name w:val="ListLabel 10"/>
    <w:rsid w:val="001B03C2"/>
    <w:rPr>
      <w:rFonts w:cs="OpenSymbol"/>
      <w:b/>
      <w:bCs/>
      <w:sz w:val="40"/>
      <w:szCs w:val="40"/>
    </w:rPr>
  </w:style>
  <w:style w:type="character" w:customStyle="1" w:styleId="ListLabel11">
    <w:name w:val="ListLabel 11"/>
    <w:rsid w:val="001B03C2"/>
    <w:rPr>
      <w:rFonts w:cs="Symbol"/>
    </w:rPr>
  </w:style>
  <w:style w:type="character" w:customStyle="1" w:styleId="ListLabel12">
    <w:name w:val="ListLabel 12"/>
    <w:rsid w:val="001B03C2"/>
    <w:rPr>
      <w:rFonts w:cs="Times New Roman"/>
      <w:sz w:val="18"/>
      <w:szCs w:val="21"/>
    </w:rPr>
  </w:style>
  <w:style w:type="character" w:customStyle="1" w:styleId="ListLabel13">
    <w:name w:val="ListLabel 13"/>
    <w:rsid w:val="001B03C2"/>
    <w:rPr>
      <w:rFonts w:cs="Wingdings 2"/>
    </w:rPr>
  </w:style>
  <w:style w:type="character" w:customStyle="1" w:styleId="ListLabel14">
    <w:name w:val="ListLabel 14"/>
    <w:rsid w:val="001B03C2"/>
    <w:rPr>
      <w:rFonts w:cs="OpenSymbol"/>
    </w:rPr>
  </w:style>
  <w:style w:type="character" w:customStyle="1" w:styleId="ListLabel15">
    <w:name w:val="ListLabel 15"/>
    <w:rsid w:val="001B03C2"/>
    <w:rPr>
      <w:rFonts w:cs="Wingdings 2"/>
      <w:sz w:val="28"/>
      <w:szCs w:val="28"/>
    </w:rPr>
  </w:style>
  <w:style w:type="character" w:customStyle="1" w:styleId="ListLabel16">
    <w:name w:val="ListLabel 16"/>
    <w:rsid w:val="001B03C2"/>
    <w:rPr>
      <w:rFonts w:cs="OpenSymbol"/>
      <w:b/>
      <w:bCs/>
      <w:sz w:val="40"/>
      <w:szCs w:val="40"/>
    </w:rPr>
  </w:style>
  <w:style w:type="character" w:customStyle="1" w:styleId="ListLabel17">
    <w:name w:val="ListLabel 17"/>
    <w:rsid w:val="001B03C2"/>
    <w:rPr>
      <w:rFonts w:cs="Symbol"/>
    </w:rPr>
  </w:style>
  <w:style w:type="character" w:customStyle="1" w:styleId="ListLabel18">
    <w:name w:val="ListLabel 18"/>
    <w:rsid w:val="001B03C2"/>
    <w:rPr>
      <w:rFonts w:cs="Times New Roman"/>
      <w:sz w:val="18"/>
      <w:szCs w:val="21"/>
    </w:rPr>
  </w:style>
  <w:style w:type="character" w:customStyle="1" w:styleId="ListLabel19">
    <w:name w:val="ListLabel 19"/>
    <w:rsid w:val="001B03C2"/>
    <w:rPr>
      <w:rFonts w:cs="Wingdings 2"/>
    </w:rPr>
  </w:style>
  <w:style w:type="character" w:customStyle="1" w:styleId="ListLabel20">
    <w:name w:val="ListLabel 20"/>
    <w:rsid w:val="001B03C2"/>
    <w:rPr>
      <w:rFonts w:cs="OpenSymbol"/>
    </w:rPr>
  </w:style>
  <w:style w:type="character" w:customStyle="1" w:styleId="ListLabel21">
    <w:name w:val="ListLabel 21"/>
    <w:rsid w:val="001B03C2"/>
    <w:rPr>
      <w:rFonts w:cs="Wingdings 2"/>
      <w:sz w:val="28"/>
      <w:szCs w:val="28"/>
    </w:rPr>
  </w:style>
  <w:style w:type="character" w:customStyle="1" w:styleId="ListLabel22">
    <w:name w:val="ListLabel 22"/>
    <w:rsid w:val="001B03C2"/>
    <w:rPr>
      <w:rFonts w:cs="OpenSymbol"/>
      <w:b/>
      <w:bCs/>
      <w:sz w:val="40"/>
      <w:szCs w:val="40"/>
    </w:rPr>
  </w:style>
  <w:style w:type="character" w:customStyle="1" w:styleId="ListLabel23">
    <w:name w:val="ListLabel 23"/>
    <w:rsid w:val="001B03C2"/>
    <w:rPr>
      <w:rFonts w:cs="Symbol"/>
    </w:rPr>
  </w:style>
  <w:style w:type="character" w:customStyle="1" w:styleId="ListLabel24">
    <w:name w:val="ListLabel 24"/>
    <w:rsid w:val="001B03C2"/>
    <w:rPr>
      <w:rFonts w:cs="Times New Roman"/>
      <w:sz w:val="18"/>
      <w:szCs w:val="21"/>
    </w:rPr>
  </w:style>
  <w:style w:type="character" w:customStyle="1" w:styleId="ListLabel25">
    <w:name w:val="ListLabel 25"/>
    <w:rsid w:val="001B03C2"/>
    <w:rPr>
      <w:rFonts w:cs="Wingdings 2"/>
    </w:rPr>
  </w:style>
  <w:style w:type="character" w:customStyle="1" w:styleId="ListLabel26">
    <w:name w:val="ListLabel 26"/>
    <w:rsid w:val="001B03C2"/>
    <w:rPr>
      <w:rFonts w:cs="OpenSymbol"/>
    </w:rPr>
  </w:style>
  <w:style w:type="character" w:customStyle="1" w:styleId="ListLabel27">
    <w:name w:val="ListLabel 27"/>
    <w:rsid w:val="001B03C2"/>
    <w:rPr>
      <w:rFonts w:cs="Wingdings 2"/>
      <w:sz w:val="28"/>
      <w:szCs w:val="28"/>
    </w:rPr>
  </w:style>
  <w:style w:type="character" w:customStyle="1" w:styleId="ListLabel28">
    <w:name w:val="ListLabel 28"/>
    <w:rsid w:val="001B03C2"/>
    <w:rPr>
      <w:rFonts w:cs="OpenSymbol"/>
      <w:b/>
      <w:bCs/>
      <w:sz w:val="40"/>
      <w:szCs w:val="40"/>
    </w:rPr>
  </w:style>
  <w:style w:type="character" w:customStyle="1" w:styleId="ListLabel29">
    <w:name w:val="ListLabel 29"/>
    <w:rsid w:val="001B03C2"/>
    <w:rPr>
      <w:rFonts w:cs="Symbol"/>
    </w:rPr>
  </w:style>
  <w:style w:type="character" w:customStyle="1" w:styleId="ListLabel30">
    <w:name w:val="ListLabel 30"/>
    <w:rsid w:val="001B03C2"/>
    <w:rPr>
      <w:rFonts w:cs="Times New Roman"/>
      <w:sz w:val="18"/>
      <w:szCs w:val="21"/>
    </w:rPr>
  </w:style>
  <w:style w:type="character" w:customStyle="1" w:styleId="ListLabel31">
    <w:name w:val="ListLabel 31"/>
    <w:rsid w:val="001B03C2"/>
    <w:rPr>
      <w:rFonts w:cs="Wingdings 2"/>
    </w:rPr>
  </w:style>
  <w:style w:type="character" w:customStyle="1" w:styleId="ListLabel32">
    <w:name w:val="ListLabel 32"/>
    <w:rsid w:val="001B03C2"/>
    <w:rPr>
      <w:rFonts w:cs="OpenSymbol"/>
    </w:rPr>
  </w:style>
  <w:style w:type="character" w:customStyle="1" w:styleId="ListLabel33">
    <w:name w:val="ListLabel 33"/>
    <w:rsid w:val="001B03C2"/>
    <w:rPr>
      <w:rFonts w:cs="Wingdings 2"/>
      <w:sz w:val="28"/>
      <w:szCs w:val="28"/>
    </w:rPr>
  </w:style>
  <w:style w:type="character" w:customStyle="1" w:styleId="ListLabel34">
    <w:name w:val="ListLabel 34"/>
    <w:rsid w:val="001B03C2"/>
    <w:rPr>
      <w:rFonts w:cs="OpenSymbol"/>
      <w:b/>
      <w:bCs/>
      <w:sz w:val="40"/>
      <w:szCs w:val="40"/>
    </w:rPr>
  </w:style>
  <w:style w:type="character" w:customStyle="1" w:styleId="ListLabel35">
    <w:name w:val="ListLabel 35"/>
    <w:rsid w:val="001B03C2"/>
    <w:rPr>
      <w:rFonts w:cs="Symbol"/>
    </w:rPr>
  </w:style>
  <w:style w:type="paragraph" w:styleId="Encabezado">
    <w:name w:val="header"/>
    <w:basedOn w:val="Normal"/>
    <w:next w:val="Cuerpodetexto"/>
    <w:rsid w:val="001B03C2"/>
    <w:pPr>
      <w:keepNext/>
      <w:spacing w:before="240" w:after="120"/>
    </w:pPr>
    <w:rPr>
      <w:rFonts w:ascii="Liberation Sans" w:eastAsia="Microsoft YaHei" w:hAnsi="Liberation Sans"/>
      <w:sz w:val="28"/>
      <w:szCs w:val="28"/>
    </w:rPr>
  </w:style>
  <w:style w:type="paragraph" w:customStyle="1" w:styleId="Cuerpodetexto">
    <w:name w:val="Cuerpo de texto"/>
    <w:basedOn w:val="Normal"/>
    <w:rsid w:val="001B03C2"/>
    <w:pPr>
      <w:spacing w:after="140" w:line="288" w:lineRule="auto"/>
    </w:pPr>
  </w:style>
  <w:style w:type="paragraph" w:styleId="Lista">
    <w:name w:val="List"/>
    <w:basedOn w:val="Cuerpodetexto"/>
    <w:rsid w:val="001B03C2"/>
  </w:style>
  <w:style w:type="paragraph" w:customStyle="1" w:styleId="Pie">
    <w:name w:val="Pie"/>
    <w:basedOn w:val="Normal"/>
    <w:rsid w:val="001B03C2"/>
    <w:pPr>
      <w:suppressLineNumbers/>
      <w:spacing w:before="120" w:after="120"/>
    </w:pPr>
    <w:rPr>
      <w:i/>
      <w:iCs/>
    </w:rPr>
  </w:style>
  <w:style w:type="paragraph" w:customStyle="1" w:styleId="ndice">
    <w:name w:val="Índice"/>
    <w:basedOn w:val="Normal"/>
    <w:rsid w:val="001B03C2"/>
    <w:pPr>
      <w:suppressLineNumbers/>
    </w:pPr>
  </w:style>
  <w:style w:type="paragraph" w:customStyle="1" w:styleId="Contenidodelatabla">
    <w:name w:val="Contenido de la tabla"/>
    <w:basedOn w:val="Normal"/>
    <w:rsid w:val="001B03C2"/>
    <w:pPr>
      <w:suppressLineNumbers/>
    </w:pPr>
  </w:style>
  <w:style w:type="paragraph" w:styleId="Prrafodelista">
    <w:name w:val="List Paragraph"/>
    <w:basedOn w:val="Normal"/>
    <w:rsid w:val="001B03C2"/>
    <w:pPr>
      <w:ind w:left="708"/>
    </w:pPr>
    <w:rPr>
      <w:szCs w:val="21"/>
    </w:rPr>
  </w:style>
  <w:style w:type="paragraph" w:customStyle="1" w:styleId="Contenidodelmarco">
    <w:name w:val="Contenido del marco"/>
    <w:basedOn w:val="Normal"/>
    <w:rsid w:val="001B03C2"/>
  </w:style>
  <w:style w:type="paragraph" w:customStyle="1" w:styleId="Encabezamiento">
    <w:name w:val="Encabezamiento"/>
    <w:basedOn w:val="Normal"/>
    <w:rsid w:val="001B03C2"/>
  </w:style>
  <w:style w:type="numbering" w:customStyle="1" w:styleId="WW8Num6">
    <w:name w:val="WW8Num6"/>
    <w:rsid w:val="001B03C2"/>
  </w:style>
  <w:style w:type="numbering" w:customStyle="1" w:styleId="WW8Num9">
    <w:name w:val="WW8Num9"/>
    <w:rsid w:val="001B03C2"/>
  </w:style>
  <w:style w:type="numbering" w:customStyle="1" w:styleId="WW8Num10">
    <w:name w:val="WW8Num10"/>
    <w:rsid w:val="001B03C2"/>
  </w:style>
  <w:style w:type="numbering" w:customStyle="1" w:styleId="WW8Num11">
    <w:name w:val="WW8Num11"/>
    <w:rsid w:val="001B03C2"/>
  </w:style>
  <w:style w:type="numbering" w:customStyle="1" w:styleId="WW8Num3">
    <w:name w:val="WW8Num3"/>
    <w:rsid w:val="001B03C2"/>
  </w:style>
  <w:style w:type="numbering" w:customStyle="1" w:styleId="WW8Num4">
    <w:name w:val="WW8Num4"/>
    <w:rsid w:val="001B03C2"/>
  </w:style>
  <w:style w:type="numbering" w:customStyle="1" w:styleId="WW8Num5">
    <w:name w:val="WW8Num5"/>
    <w:rsid w:val="001B03C2"/>
  </w:style>
  <w:style w:type="numbering" w:customStyle="1" w:styleId="WW8Num7">
    <w:name w:val="WW8Num7"/>
    <w:rsid w:val="001B03C2"/>
  </w:style>
  <w:style w:type="numbering" w:customStyle="1" w:styleId="WW8Num8">
    <w:name w:val="WW8Num8"/>
    <w:rsid w:val="001B03C2"/>
  </w:style>
  <w:style w:type="paragraph" w:styleId="Textocomentario">
    <w:name w:val="annotation text"/>
    <w:basedOn w:val="Normal"/>
    <w:link w:val="TextocomentarioCar"/>
    <w:uiPriority w:val="99"/>
    <w:semiHidden/>
    <w:unhideWhenUsed/>
    <w:rsid w:val="00AA2F17"/>
    <w:rPr>
      <w:sz w:val="20"/>
      <w:szCs w:val="18"/>
    </w:rPr>
  </w:style>
  <w:style w:type="character" w:customStyle="1" w:styleId="TextocomentarioCar">
    <w:name w:val="Texto comentario Car"/>
    <w:basedOn w:val="Fuentedeprrafopredeter"/>
    <w:link w:val="Textocomentario"/>
    <w:uiPriority w:val="99"/>
    <w:semiHidden/>
    <w:rsid w:val="00AA2F17"/>
    <w:rPr>
      <w:color w:val="00000A"/>
      <w:sz w:val="20"/>
      <w:szCs w:val="18"/>
    </w:rPr>
  </w:style>
  <w:style w:type="paragraph" w:styleId="Asuntodelcomentario">
    <w:name w:val="annotation subject"/>
    <w:basedOn w:val="Textocomentario"/>
    <w:next w:val="Textocomentario"/>
    <w:link w:val="AsuntodelcomentarioCar"/>
    <w:uiPriority w:val="99"/>
    <w:semiHidden/>
    <w:unhideWhenUsed/>
    <w:rsid w:val="00AA2F17"/>
    <w:rPr>
      <w:b/>
      <w:bCs/>
    </w:rPr>
  </w:style>
  <w:style w:type="character" w:customStyle="1" w:styleId="AsuntodelcomentarioCar">
    <w:name w:val="Asunto del comentario Car"/>
    <w:basedOn w:val="TextocomentarioCar"/>
    <w:link w:val="Asuntodelcomentario"/>
    <w:uiPriority w:val="99"/>
    <w:semiHidden/>
    <w:rsid w:val="00AA2F17"/>
    <w:rPr>
      <w:b/>
      <w:bCs/>
    </w:rPr>
  </w:style>
  <w:style w:type="paragraph" w:styleId="Textodeglobo">
    <w:name w:val="Balloon Text"/>
    <w:basedOn w:val="Normal"/>
    <w:link w:val="TextodegloboCar"/>
    <w:uiPriority w:val="99"/>
    <w:semiHidden/>
    <w:unhideWhenUsed/>
    <w:rsid w:val="00AA2F17"/>
    <w:rPr>
      <w:rFonts w:ascii="Tahoma" w:hAnsi="Tahoma"/>
      <w:sz w:val="16"/>
      <w:szCs w:val="14"/>
    </w:rPr>
  </w:style>
  <w:style w:type="character" w:customStyle="1" w:styleId="TextodegloboCar">
    <w:name w:val="Texto de globo Car"/>
    <w:basedOn w:val="Fuentedeprrafopredeter"/>
    <w:link w:val="Textodeglobo"/>
    <w:uiPriority w:val="99"/>
    <w:semiHidden/>
    <w:rsid w:val="00AA2F17"/>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NUL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chart" Target="charts/chart9.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hyperlink" Target="http://www.fda/" TargetMode="External"/><Relationship Id="rId10" Type="http://schemas.openxmlformats.org/officeDocument/2006/relationships/chart" Target="charts/chart1.xml"/><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NULL"/><Relationship Id="rId22" Type="http://schemas.openxmlformats.org/officeDocument/2006/relationships/image" Target="media/image3.pn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clustered"/>
        <c:ser>
          <c:idx val="0"/>
          <c:order val="0"/>
          <c:tx>
            <c:strRef>
              <c:f>label 0</c:f>
              <c:strCache>
                <c:ptCount val="1"/>
                <c:pt idx="0">
                  <c:v>Grupo S</c:v>
                </c:pt>
              </c:strCache>
            </c:strRef>
          </c:tx>
          <c:spPr>
            <a:solidFill>
              <a:srgbClr val="FFFF99"/>
            </a:solidFill>
            <a:ln>
              <a:noFill/>
            </a:ln>
          </c:spPr>
          <c:cat>
            <c:strRef>
              <c:f>categories</c:f>
              <c:strCache>
                <c:ptCount val="3"/>
                <c:pt idx="0">
                  <c:v>Screning</c:v>
                </c:pt>
                <c:pt idx="1">
                  <c:v>Control postquirúrgico</c:v>
                </c:pt>
                <c:pt idx="2">
                  <c:v>Médico</c:v>
                </c:pt>
              </c:strCache>
            </c:strRef>
          </c:cat>
          <c:val>
            <c:numRef>
              <c:f>0</c:f>
              <c:numCache>
                <c:formatCode>General</c:formatCode>
                <c:ptCount val="3"/>
                <c:pt idx="0">
                  <c:v>45</c:v>
                </c:pt>
                <c:pt idx="1">
                  <c:v>23</c:v>
                </c:pt>
                <c:pt idx="2">
                  <c:v>71</c:v>
                </c:pt>
              </c:numCache>
            </c:numRef>
          </c:val>
        </c:ser>
        <c:ser>
          <c:idx val="1"/>
          <c:order val="1"/>
          <c:tx>
            <c:strRef>
              <c:f>label 1</c:f>
              <c:strCache>
                <c:ptCount val="1"/>
                <c:pt idx="0">
                  <c:v>Grupo P</c:v>
                </c:pt>
              </c:strCache>
            </c:strRef>
          </c:tx>
          <c:spPr>
            <a:solidFill>
              <a:srgbClr val="00CCFF"/>
            </a:solidFill>
            <a:ln>
              <a:noFill/>
            </a:ln>
          </c:spPr>
          <c:cat>
            <c:strRef>
              <c:f>categories</c:f>
              <c:strCache>
                <c:ptCount val="3"/>
                <c:pt idx="0">
                  <c:v>Screning</c:v>
                </c:pt>
                <c:pt idx="1">
                  <c:v>Control postquirúrgico</c:v>
                </c:pt>
                <c:pt idx="2">
                  <c:v>Médico</c:v>
                </c:pt>
              </c:strCache>
            </c:strRef>
          </c:cat>
          <c:val>
            <c:numRef>
              <c:f>1</c:f>
              <c:numCache>
                <c:formatCode>General</c:formatCode>
                <c:ptCount val="3"/>
                <c:pt idx="0">
                  <c:v>37</c:v>
                </c:pt>
                <c:pt idx="1">
                  <c:v>28</c:v>
                </c:pt>
                <c:pt idx="2">
                  <c:v>74</c:v>
                </c:pt>
              </c:numCache>
            </c:numRef>
          </c:val>
        </c:ser>
        <c:gapWidth val="100"/>
        <c:axId val="71519616"/>
        <c:axId val="76833536"/>
      </c:barChart>
      <c:catAx>
        <c:axId val="71519616"/>
        <c:scaling>
          <c:orientation val="minMax"/>
        </c:scaling>
        <c:axPos val="b"/>
        <c:tickLblPos val="nextTo"/>
        <c:spPr>
          <a:ln>
            <a:solidFill>
              <a:srgbClr val="B3B3B3"/>
            </a:solidFill>
          </a:ln>
        </c:spPr>
        <c:txPr>
          <a:bodyPr/>
          <a:lstStyle/>
          <a:p>
            <a:pPr>
              <a:defRPr lang="en-US"/>
            </a:pPr>
            <a:endParaRPr lang="es-ES"/>
          </a:p>
        </c:txPr>
        <c:crossAx val="76833536"/>
        <c:crossesAt val="0"/>
        <c:auto val="1"/>
        <c:lblAlgn val="ctr"/>
        <c:lblOffset val="100"/>
      </c:catAx>
      <c:valAx>
        <c:axId val="76833536"/>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71519616"/>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clustered"/>
        <c:ser>
          <c:idx val="0"/>
          <c:order val="0"/>
          <c:tx>
            <c:strRef>
              <c:f>label 0</c:f>
              <c:strCache>
                <c:ptCount val="1"/>
                <c:pt idx="0">
                  <c:v>Grupo S</c:v>
                </c:pt>
              </c:strCache>
            </c:strRef>
          </c:tx>
          <c:spPr>
            <a:solidFill>
              <a:srgbClr val="FFFF99"/>
            </a:solidFill>
            <a:ln>
              <a:noFill/>
            </a:ln>
          </c:spPr>
          <c:cat>
            <c:strRef>
              <c:f>categories</c:f>
              <c:strCache>
                <c:ptCount val="5"/>
                <c:pt idx="0">
                  <c:v>Delgadez</c:v>
                </c:pt>
                <c:pt idx="1">
                  <c:v>Cirugía previa</c:v>
                </c:pt>
                <c:pt idx="2">
                  <c:v>RT previa</c:v>
                </c:pt>
                <c:pt idx="3">
                  <c:v>Divertículos</c:v>
                </c:pt>
                <c:pt idx="4">
                  <c:v>Dolor previo</c:v>
                </c:pt>
              </c:strCache>
            </c:strRef>
          </c:cat>
          <c:val>
            <c:numRef>
              <c:f>0</c:f>
              <c:numCache>
                <c:formatCode>General</c:formatCode>
                <c:ptCount val="5"/>
                <c:pt idx="0">
                  <c:v>10</c:v>
                </c:pt>
                <c:pt idx="1">
                  <c:v>69</c:v>
                </c:pt>
                <c:pt idx="2">
                  <c:v>9</c:v>
                </c:pt>
                <c:pt idx="3">
                  <c:v>4</c:v>
                </c:pt>
                <c:pt idx="4">
                  <c:v>11</c:v>
                </c:pt>
              </c:numCache>
            </c:numRef>
          </c:val>
        </c:ser>
        <c:ser>
          <c:idx val="1"/>
          <c:order val="1"/>
          <c:tx>
            <c:strRef>
              <c:f>label 1</c:f>
              <c:strCache>
                <c:ptCount val="1"/>
                <c:pt idx="0">
                  <c:v>Grupo P</c:v>
                </c:pt>
              </c:strCache>
            </c:strRef>
          </c:tx>
          <c:spPr>
            <a:solidFill>
              <a:srgbClr val="00CCFF"/>
            </a:solidFill>
            <a:ln>
              <a:noFill/>
            </a:ln>
          </c:spPr>
          <c:cat>
            <c:strRef>
              <c:f>categories</c:f>
              <c:strCache>
                <c:ptCount val="5"/>
                <c:pt idx="0">
                  <c:v>Delgadez</c:v>
                </c:pt>
                <c:pt idx="1">
                  <c:v>Cirugía previa</c:v>
                </c:pt>
                <c:pt idx="2">
                  <c:v>RT previa</c:v>
                </c:pt>
                <c:pt idx="3">
                  <c:v>Divertículos</c:v>
                </c:pt>
                <c:pt idx="4">
                  <c:v>Dolor previo</c:v>
                </c:pt>
              </c:strCache>
            </c:strRef>
          </c:cat>
          <c:val>
            <c:numRef>
              <c:f>1</c:f>
              <c:numCache>
                <c:formatCode>General</c:formatCode>
                <c:ptCount val="5"/>
                <c:pt idx="0">
                  <c:v>9</c:v>
                </c:pt>
                <c:pt idx="1">
                  <c:v>78</c:v>
                </c:pt>
                <c:pt idx="2">
                  <c:v>13</c:v>
                </c:pt>
                <c:pt idx="3">
                  <c:v>10</c:v>
                </c:pt>
                <c:pt idx="4">
                  <c:v>12</c:v>
                </c:pt>
              </c:numCache>
            </c:numRef>
          </c:val>
        </c:ser>
        <c:gapWidth val="100"/>
        <c:axId val="76841728"/>
        <c:axId val="76843264"/>
      </c:barChart>
      <c:catAx>
        <c:axId val="76841728"/>
        <c:scaling>
          <c:orientation val="minMax"/>
        </c:scaling>
        <c:axPos val="b"/>
        <c:tickLblPos val="nextTo"/>
        <c:spPr>
          <a:ln>
            <a:solidFill>
              <a:srgbClr val="B3B3B3"/>
            </a:solidFill>
          </a:ln>
        </c:spPr>
        <c:txPr>
          <a:bodyPr/>
          <a:lstStyle/>
          <a:p>
            <a:pPr>
              <a:defRPr lang="en-US"/>
            </a:pPr>
            <a:endParaRPr lang="es-ES"/>
          </a:p>
        </c:txPr>
        <c:crossAx val="76843264"/>
        <c:crossesAt val="0"/>
        <c:auto val="1"/>
        <c:lblAlgn val="ctr"/>
        <c:lblOffset val="100"/>
      </c:catAx>
      <c:valAx>
        <c:axId val="76843264"/>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76841728"/>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clustered"/>
        <c:ser>
          <c:idx val="0"/>
          <c:order val="0"/>
          <c:tx>
            <c:strRef>
              <c:f>label 0</c:f>
              <c:strCache>
                <c:ptCount val="1"/>
                <c:pt idx="0">
                  <c:v>Grupo S</c:v>
                </c:pt>
              </c:strCache>
            </c:strRef>
          </c:tx>
          <c:spPr>
            <a:solidFill>
              <a:srgbClr val="FFFF99"/>
            </a:solidFill>
            <a:ln>
              <a:noFill/>
            </a:ln>
          </c:spPr>
          <c:cat>
            <c:strRef>
              <c:f>categories</c:f>
              <c:strCache>
                <c:ptCount val="5"/>
                <c:pt idx="0">
                  <c:v>0</c:v>
                </c:pt>
                <c:pt idx="1">
                  <c:v>1</c:v>
                </c:pt>
                <c:pt idx="2">
                  <c:v>2</c:v>
                </c:pt>
                <c:pt idx="3">
                  <c:v>3</c:v>
                </c:pt>
                <c:pt idx="4">
                  <c:v>4</c:v>
                </c:pt>
              </c:strCache>
            </c:strRef>
          </c:cat>
          <c:val>
            <c:numRef>
              <c:f>0</c:f>
              <c:numCache>
                <c:formatCode>General</c:formatCode>
                <c:ptCount val="5"/>
                <c:pt idx="0">
                  <c:v>24</c:v>
                </c:pt>
                <c:pt idx="1">
                  <c:v>56</c:v>
                </c:pt>
                <c:pt idx="2">
                  <c:v>47</c:v>
                </c:pt>
                <c:pt idx="3">
                  <c:v>12</c:v>
                </c:pt>
                <c:pt idx="4">
                  <c:v>0</c:v>
                </c:pt>
              </c:numCache>
            </c:numRef>
          </c:val>
        </c:ser>
        <c:ser>
          <c:idx val="1"/>
          <c:order val="1"/>
          <c:tx>
            <c:strRef>
              <c:f>label 1</c:f>
              <c:strCache>
                <c:ptCount val="1"/>
                <c:pt idx="0">
                  <c:v>Grupo P</c:v>
                </c:pt>
              </c:strCache>
            </c:strRef>
          </c:tx>
          <c:spPr>
            <a:solidFill>
              <a:srgbClr val="00CCFF"/>
            </a:solidFill>
            <a:ln>
              <a:noFill/>
            </a:ln>
          </c:spPr>
          <c:cat>
            <c:strRef>
              <c:f>categories</c:f>
              <c:strCache>
                <c:ptCount val="5"/>
                <c:pt idx="0">
                  <c:v>0</c:v>
                </c:pt>
                <c:pt idx="1">
                  <c:v>1</c:v>
                </c:pt>
                <c:pt idx="2">
                  <c:v>2</c:v>
                </c:pt>
                <c:pt idx="3">
                  <c:v>3</c:v>
                </c:pt>
                <c:pt idx="4">
                  <c:v>4</c:v>
                </c:pt>
              </c:strCache>
            </c:strRef>
          </c:cat>
          <c:val>
            <c:numRef>
              <c:f>1</c:f>
              <c:numCache>
                <c:formatCode>General</c:formatCode>
                <c:ptCount val="5"/>
                <c:pt idx="0">
                  <c:v>29</c:v>
                </c:pt>
                <c:pt idx="1">
                  <c:v>56</c:v>
                </c:pt>
                <c:pt idx="2">
                  <c:v>47</c:v>
                </c:pt>
                <c:pt idx="3">
                  <c:v>6</c:v>
                </c:pt>
                <c:pt idx="4">
                  <c:v>1</c:v>
                </c:pt>
              </c:numCache>
            </c:numRef>
          </c:val>
        </c:ser>
        <c:gapWidth val="100"/>
        <c:axId val="76871936"/>
        <c:axId val="80748544"/>
      </c:barChart>
      <c:catAx>
        <c:axId val="76871936"/>
        <c:scaling>
          <c:orientation val="minMax"/>
        </c:scaling>
        <c:axPos val="b"/>
        <c:tickLblPos val="nextTo"/>
        <c:spPr>
          <a:ln>
            <a:solidFill>
              <a:srgbClr val="B3B3B3"/>
            </a:solidFill>
          </a:ln>
        </c:spPr>
        <c:txPr>
          <a:bodyPr/>
          <a:lstStyle/>
          <a:p>
            <a:pPr>
              <a:defRPr lang="en-US"/>
            </a:pPr>
            <a:endParaRPr lang="es-ES"/>
          </a:p>
        </c:txPr>
        <c:crossAx val="80748544"/>
        <c:crossesAt val="0"/>
        <c:auto val="1"/>
        <c:lblAlgn val="ctr"/>
        <c:lblOffset val="100"/>
      </c:catAx>
      <c:valAx>
        <c:axId val="80748544"/>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76871936"/>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clustered"/>
        <c:ser>
          <c:idx val="0"/>
          <c:order val="0"/>
          <c:tx>
            <c:strRef>
              <c:f>label 0</c:f>
              <c:strCache>
                <c:ptCount val="1"/>
                <c:pt idx="0">
                  <c:v>Grupo S</c:v>
                </c:pt>
              </c:strCache>
            </c:strRef>
          </c:tx>
          <c:spPr>
            <a:solidFill>
              <a:srgbClr val="FFFF99"/>
            </a:solidFill>
            <a:ln>
              <a:noFill/>
            </a:ln>
          </c:spPr>
          <c:cat>
            <c:strRef>
              <c:f>categories</c:f>
              <c:strCache>
                <c:ptCount val="6"/>
                <c:pt idx="0">
                  <c:v>Sudoración</c:v>
                </c:pt>
                <c:pt idx="1">
                  <c:v>Apnea</c:v>
                </c:pt>
                <c:pt idx="2">
                  <c:v>Sp02&lt;90%</c:v>
                </c:pt>
                <c:pt idx="3">
                  <c:v>Subluxación</c:v>
                </c:pt>
                <c:pt idx="4">
                  <c:v>Ventilación</c:v>
                </c:pt>
                <c:pt idx="5">
                  <c:v>IOT</c:v>
                </c:pt>
              </c:strCache>
            </c:strRef>
          </c:cat>
          <c:val>
            <c:numRef>
              <c:f>0</c:f>
              <c:numCache>
                <c:formatCode>General</c:formatCode>
                <c:ptCount val="6"/>
                <c:pt idx="0">
                  <c:v>1</c:v>
                </c:pt>
                <c:pt idx="1">
                  <c:v>1</c:v>
                </c:pt>
                <c:pt idx="2">
                  <c:v>7</c:v>
                </c:pt>
                <c:pt idx="3">
                  <c:v>33</c:v>
                </c:pt>
                <c:pt idx="4">
                  <c:v>4</c:v>
                </c:pt>
                <c:pt idx="5">
                  <c:v>0</c:v>
                </c:pt>
              </c:numCache>
            </c:numRef>
          </c:val>
        </c:ser>
        <c:ser>
          <c:idx val="1"/>
          <c:order val="1"/>
          <c:tx>
            <c:strRef>
              <c:f>label 1</c:f>
              <c:strCache>
                <c:ptCount val="1"/>
                <c:pt idx="0">
                  <c:v>Grupo P</c:v>
                </c:pt>
              </c:strCache>
            </c:strRef>
          </c:tx>
          <c:spPr>
            <a:solidFill>
              <a:srgbClr val="00CCFF"/>
            </a:solidFill>
            <a:ln>
              <a:noFill/>
            </a:ln>
          </c:spPr>
          <c:cat>
            <c:strRef>
              <c:f>categories</c:f>
              <c:strCache>
                <c:ptCount val="6"/>
                <c:pt idx="0">
                  <c:v>Sudoración</c:v>
                </c:pt>
                <c:pt idx="1">
                  <c:v>Apnea</c:v>
                </c:pt>
                <c:pt idx="2">
                  <c:v>Sp02&lt;90%</c:v>
                </c:pt>
                <c:pt idx="3">
                  <c:v>Subluxación</c:v>
                </c:pt>
                <c:pt idx="4">
                  <c:v>Ventilación</c:v>
                </c:pt>
                <c:pt idx="5">
                  <c:v>IOT</c:v>
                </c:pt>
              </c:strCache>
            </c:strRef>
          </c:cat>
          <c:val>
            <c:numRef>
              <c:f>1</c:f>
              <c:numCache>
                <c:formatCode>General</c:formatCode>
                <c:ptCount val="6"/>
                <c:pt idx="0">
                  <c:v>2</c:v>
                </c:pt>
                <c:pt idx="1">
                  <c:v>13</c:v>
                </c:pt>
                <c:pt idx="2">
                  <c:v>8</c:v>
                </c:pt>
                <c:pt idx="3">
                  <c:v>18</c:v>
                </c:pt>
                <c:pt idx="4">
                  <c:v>4</c:v>
                </c:pt>
                <c:pt idx="5">
                  <c:v>0</c:v>
                </c:pt>
              </c:numCache>
            </c:numRef>
          </c:val>
        </c:ser>
        <c:gapWidth val="100"/>
        <c:axId val="80760832"/>
        <c:axId val="80762368"/>
      </c:barChart>
      <c:catAx>
        <c:axId val="80760832"/>
        <c:scaling>
          <c:orientation val="minMax"/>
        </c:scaling>
        <c:axPos val="b"/>
        <c:tickLblPos val="nextTo"/>
        <c:spPr>
          <a:ln>
            <a:solidFill>
              <a:srgbClr val="B3B3B3"/>
            </a:solidFill>
          </a:ln>
        </c:spPr>
        <c:txPr>
          <a:bodyPr/>
          <a:lstStyle/>
          <a:p>
            <a:pPr>
              <a:defRPr lang="en-US"/>
            </a:pPr>
            <a:endParaRPr lang="es-ES"/>
          </a:p>
        </c:txPr>
        <c:crossAx val="80762368"/>
        <c:crossesAt val="0"/>
        <c:auto val="1"/>
        <c:lblAlgn val="ctr"/>
        <c:lblOffset val="100"/>
      </c:catAx>
      <c:valAx>
        <c:axId val="80762368"/>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80760832"/>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
  <c:chart>
    <c:plotArea>
      <c:layout/>
      <c:lineChart>
        <c:grouping val="standard"/>
        <c:ser>
          <c:idx val="0"/>
          <c:order val="0"/>
          <c:tx>
            <c:strRef>
              <c:f>label 0</c:f>
              <c:strCache>
                <c:ptCount val="1"/>
                <c:pt idx="0">
                  <c:v>Grupo S</c:v>
                </c:pt>
              </c:strCache>
            </c:strRef>
          </c:tx>
          <c:spPr>
            <a:ln w="28800">
              <a:solidFill>
                <a:srgbClr val="FFFF99"/>
              </a:solidFill>
              <a:round/>
            </a:ln>
          </c:spPr>
          <c:marker>
            <c:symbol val="diamond"/>
            <c:size val="2"/>
          </c:marker>
          <c:cat>
            <c:strRef>
              <c:f>categories</c:f>
              <c:strCache>
                <c:ptCount val="3"/>
                <c:pt idx="0">
                  <c:v>Pre-colono</c:v>
                </c:pt>
                <c:pt idx="1">
                  <c:v>Ciego</c:v>
                </c:pt>
                <c:pt idx="2">
                  <c:v>Post-colono</c:v>
                </c:pt>
              </c:strCache>
            </c:strRef>
          </c:cat>
          <c:val>
            <c:numRef>
              <c:f>0</c:f>
              <c:numCache>
                <c:formatCode>General</c:formatCode>
                <c:ptCount val="3"/>
                <c:pt idx="0">
                  <c:v>138</c:v>
                </c:pt>
                <c:pt idx="1">
                  <c:v>110</c:v>
                </c:pt>
                <c:pt idx="2">
                  <c:v>109</c:v>
                </c:pt>
              </c:numCache>
            </c:numRef>
          </c:val>
        </c:ser>
        <c:ser>
          <c:idx val="1"/>
          <c:order val="1"/>
          <c:tx>
            <c:strRef>
              <c:f>label 1</c:f>
              <c:strCache>
                <c:ptCount val="1"/>
                <c:pt idx="0">
                  <c:v>Grupo P</c:v>
                </c:pt>
              </c:strCache>
            </c:strRef>
          </c:tx>
          <c:spPr>
            <a:ln w="28800">
              <a:solidFill>
                <a:srgbClr val="00CCFF"/>
              </a:solidFill>
              <a:round/>
            </a:ln>
          </c:spPr>
          <c:marker>
            <c:symbol val="square"/>
            <c:size val="2"/>
          </c:marker>
          <c:cat>
            <c:strRef>
              <c:f>categories</c:f>
              <c:strCache>
                <c:ptCount val="3"/>
                <c:pt idx="0">
                  <c:v>Pre-colono</c:v>
                </c:pt>
                <c:pt idx="1">
                  <c:v>Ciego</c:v>
                </c:pt>
                <c:pt idx="2">
                  <c:v>Post-colono</c:v>
                </c:pt>
              </c:strCache>
            </c:strRef>
          </c:cat>
          <c:val>
            <c:numRef>
              <c:f>1</c:f>
              <c:numCache>
                <c:formatCode>General</c:formatCode>
                <c:ptCount val="3"/>
                <c:pt idx="0">
                  <c:v>141</c:v>
                </c:pt>
                <c:pt idx="1">
                  <c:v>105</c:v>
                </c:pt>
                <c:pt idx="2">
                  <c:v>106</c:v>
                </c:pt>
              </c:numCache>
            </c:numRef>
          </c:val>
        </c:ser>
        <c:marker val="1"/>
        <c:axId val="80774656"/>
        <c:axId val="80776192"/>
      </c:lineChart>
      <c:catAx>
        <c:axId val="80774656"/>
        <c:scaling>
          <c:orientation val="minMax"/>
        </c:scaling>
        <c:axPos val="b"/>
        <c:tickLblPos val="nextTo"/>
        <c:spPr>
          <a:ln>
            <a:solidFill>
              <a:srgbClr val="B3B3B3"/>
            </a:solidFill>
          </a:ln>
        </c:spPr>
        <c:txPr>
          <a:bodyPr/>
          <a:lstStyle/>
          <a:p>
            <a:pPr>
              <a:defRPr lang="en-US"/>
            </a:pPr>
            <a:endParaRPr lang="es-ES"/>
          </a:p>
        </c:txPr>
        <c:crossAx val="80776192"/>
        <c:crossesAt val="0"/>
        <c:auto val="1"/>
        <c:lblAlgn val="ctr"/>
        <c:lblOffset val="100"/>
      </c:catAx>
      <c:valAx>
        <c:axId val="80776192"/>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80774656"/>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
  <c:chart>
    <c:plotArea>
      <c:layout/>
      <c:lineChart>
        <c:grouping val="standard"/>
        <c:ser>
          <c:idx val="0"/>
          <c:order val="0"/>
          <c:tx>
            <c:strRef>
              <c:f>label 0</c:f>
              <c:strCache>
                <c:ptCount val="1"/>
                <c:pt idx="0">
                  <c:v>Grupo S</c:v>
                </c:pt>
              </c:strCache>
            </c:strRef>
          </c:tx>
          <c:spPr>
            <a:ln w="28800">
              <a:solidFill>
                <a:srgbClr val="FFFF99"/>
              </a:solidFill>
              <a:round/>
            </a:ln>
          </c:spPr>
          <c:marker>
            <c:symbol val="diamond"/>
            <c:size val="2"/>
          </c:marker>
          <c:cat>
            <c:strRef>
              <c:f>categories</c:f>
              <c:strCache>
                <c:ptCount val="3"/>
                <c:pt idx="0">
                  <c:v>Pre-colono</c:v>
                </c:pt>
                <c:pt idx="1">
                  <c:v>Ciego</c:v>
                </c:pt>
                <c:pt idx="2">
                  <c:v>Post-colono</c:v>
                </c:pt>
              </c:strCache>
            </c:strRef>
          </c:cat>
          <c:val>
            <c:numRef>
              <c:f>0</c:f>
              <c:numCache>
                <c:formatCode>General</c:formatCode>
                <c:ptCount val="3"/>
                <c:pt idx="0">
                  <c:v>80</c:v>
                </c:pt>
                <c:pt idx="1">
                  <c:v>61</c:v>
                </c:pt>
                <c:pt idx="2">
                  <c:v>59</c:v>
                </c:pt>
              </c:numCache>
            </c:numRef>
          </c:val>
        </c:ser>
        <c:ser>
          <c:idx val="1"/>
          <c:order val="1"/>
          <c:tx>
            <c:strRef>
              <c:f>label 1</c:f>
              <c:strCache>
                <c:ptCount val="1"/>
                <c:pt idx="0">
                  <c:v>Grupo P</c:v>
                </c:pt>
              </c:strCache>
            </c:strRef>
          </c:tx>
          <c:spPr>
            <a:ln w="28800">
              <a:solidFill>
                <a:srgbClr val="00CCFF"/>
              </a:solidFill>
              <a:round/>
            </a:ln>
          </c:spPr>
          <c:marker>
            <c:symbol val="square"/>
            <c:size val="2"/>
          </c:marker>
          <c:cat>
            <c:strRef>
              <c:f>categories</c:f>
              <c:strCache>
                <c:ptCount val="3"/>
                <c:pt idx="0">
                  <c:v>Pre-colono</c:v>
                </c:pt>
                <c:pt idx="1">
                  <c:v>Ciego</c:v>
                </c:pt>
                <c:pt idx="2">
                  <c:v>Post-colono</c:v>
                </c:pt>
              </c:strCache>
            </c:strRef>
          </c:cat>
          <c:val>
            <c:numRef>
              <c:f>1</c:f>
              <c:numCache>
                <c:formatCode>General</c:formatCode>
                <c:ptCount val="3"/>
                <c:pt idx="0">
                  <c:v>80</c:v>
                </c:pt>
                <c:pt idx="1">
                  <c:v>56</c:v>
                </c:pt>
                <c:pt idx="2">
                  <c:v>58</c:v>
                </c:pt>
              </c:numCache>
            </c:numRef>
          </c:val>
        </c:ser>
        <c:marker val="1"/>
        <c:axId val="80800768"/>
        <c:axId val="80802560"/>
      </c:lineChart>
      <c:catAx>
        <c:axId val="80800768"/>
        <c:scaling>
          <c:orientation val="minMax"/>
        </c:scaling>
        <c:axPos val="b"/>
        <c:tickLblPos val="nextTo"/>
        <c:spPr>
          <a:ln>
            <a:solidFill>
              <a:srgbClr val="B3B3B3"/>
            </a:solidFill>
          </a:ln>
        </c:spPr>
        <c:txPr>
          <a:bodyPr/>
          <a:lstStyle/>
          <a:p>
            <a:pPr>
              <a:defRPr lang="en-US"/>
            </a:pPr>
            <a:endParaRPr lang="es-ES"/>
          </a:p>
        </c:txPr>
        <c:crossAx val="80802560"/>
        <c:crossesAt val="0"/>
        <c:auto val="1"/>
        <c:lblAlgn val="ctr"/>
        <c:lblOffset val="100"/>
      </c:catAx>
      <c:valAx>
        <c:axId val="80802560"/>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80800768"/>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
  <c:chart>
    <c:plotArea>
      <c:layout/>
      <c:lineChart>
        <c:grouping val="standard"/>
        <c:ser>
          <c:idx val="0"/>
          <c:order val="0"/>
          <c:tx>
            <c:strRef>
              <c:f>label 0</c:f>
              <c:strCache>
                <c:ptCount val="1"/>
                <c:pt idx="0">
                  <c:v>Grupo S</c:v>
                </c:pt>
              </c:strCache>
            </c:strRef>
          </c:tx>
          <c:spPr>
            <a:ln w="28800">
              <a:solidFill>
                <a:srgbClr val="FFFF99"/>
              </a:solidFill>
              <a:round/>
            </a:ln>
          </c:spPr>
          <c:marker>
            <c:symbol val="diamond"/>
            <c:size val="2"/>
          </c:marker>
          <c:cat>
            <c:strRef>
              <c:f>categories</c:f>
              <c:strCache>
                <c:ptCount val="3"/>
                <c:pt idx="0">
                  <c:v>Pre-colono</c:v>
                </c:pt>
                <c:pt idx="1">
                  <c:v>Ciego</c:v>
                </c:pt>
                <c:pt idx="2">
                  <c:v>Post-colono</c:v>
                </c:pt>
              </c:strCache>
            </c:strRef>
          </c:cat>
          <c:val>
            <c:numRef>
              <c:f>0</c:f>
              <c:numCache>
                <c:formatCode>General</c:formatCode>
                <c:ptCount val="3"/>
                <c:pt idx="0">
                  <c:v>105</c:v>
                </c:pt>
                <c:pt idx="1">
                  <c:v>82</c:v>
                </c:pt>
                <c:pt idx="2">
                  <c:v>80</c:v>
                </c:pt>
              </c:numCache>
            </c:numRef>
          </c:val>
        </c:ser>
        <c:ser>
          <c:idx val="1"/>
          <c:order val="1"/>
          <c:tx>
            <c:strRef>
              <c:f>label 1</c:f>
              <c:strCache>
                <c:ptCount val="1"/>
                <c:pt idx="0">
                  <c:v>Grupo P</c:v>
                </c:pt>
              </c:strCache>
            </c:strRef>
          </c:tx>
          <c:spPr>
            <a:ln w="28800">
              <a:solidFill>
                <a:srgbClr val="00CCFF"/>
              </a:solidFill>
              <a:round/>
            </a:ln>
          </c:spPr>
          <c:marker>
            <c:symbol val="square"/>
            <c:size val="2"/>
          </c:marker>
          <c:cat>
            <c:strRef>
              <c:f>categories</c:f>
              <c:strCache>
                <c:ptCount val="3"/>
                <c:pt idx="0">
                  <c:v>Pre-colono</c:v>
                </c:pt>
                <c:pt idx="1">
                  <c:v>Ciego</c:v>
                </c:pt>
                <c:pt idx="2">
                  <c:v>Post-colono</c:v>
                </c:pt>
              </c:strCache>
            </c:strRef>
          </c:cat>
          <c:val>
            <c:numRef>
              <c:f>1</c:f>
              <c:numCache>
                <c:formatCode>General</c:formatCode>
                <c:ptCount val="3"/>
                <c:pt idx="0">
                  <c:v>107</c:v>
                </c:pt>
                <c:pt idx="1">
                  <c:v>77</c:v>
                </c:pt>
                <c:pt idx="2">
                  <c:v>79</c:v>
                </c:pt>
              </c:numCache>
            </c:numRef>
          </c:val>
        </c:ser>
        <c:marker val="1"/>
        <c:axId val="81212160"/>
        <c:axId val="81213696"/>
      </c:lineChart>
      <c:catAx>
        <c:axId val="81212160"/>
        <c:scaling>
          <c:orientation val="minMax"/>
        </c:scaling>
        <c:axPos val="b"/>
        <c:tickLblPos val="nextTo"/>
        <c:spPr>
          <a:ln>
            <a:solidFill>
              <a:srgbClr val="B3B3B3"/>
            </a:solidFill>
          </a:ln>
        </c:spPr>
        <c:txPr>
          <a:bodyPr/>
          <a:lstStyle/>
          <a:p>
            <a:pPr>
              <a:defRPr lang="en-US"/>
            </a:pPr>
            <a:endParaRPr lang="es-ES"/>
          </a:p>
        </c:txPr>
        <c:crossAx val="81213696"/>
        <c:crossesAt val="0"/>
        <c:auto val="1"/>
        <c:lblAlgn val="ctr"/>
        <c:lblOffset val="100"/>
      </c:catAx>
      <c:valAx>
        <c:axId val="81213696"/>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81212160"/>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
  <c:chart>
    <c:plotArea>
      <c:layout/>
      <c:lineChart>
        <c:grouping val="standard"/>
        <c:ser>
          <c:idx val="0"/>
          <c:order val="0"/>
          <c:tx>
            <c:strRef>
              <c:f>label 0</c:f>
              <c:strCache>
                <c:ptCount val="1"/>
                <c:pt idx="0">
                  <c:v>Grupo S</c:v>
                </c:pt>
              </c:strCache>
            </c:strRef>
          </c:tx>
          <c:spPr>
            <a:ln w="28800">
              <a:solidFill>
                <a:srgbClr val="FFFF99"/>
              </a:solidFill>
              <a:round/>
            </a:ln>
          </c:spPr>
          <c:marker>
            <c:symbol val="diamond"/>
            <c:size val="2"/>
          </c:marker>
          <c:cat>
            <c:strRef>
              <c:f>categories</c:f>
              <c:strCache>
                <c:ptCount val="3"/>
                <c:pt idx="0">
                  <c:v>Pre-colono</c:v>
                </c:pt>
                <c:pt idx="1">
                  <c:v>Ciego</c:v>
                </c:pt>
                <c:pt idx="2">
                  <c:v>Post-colono</c:v>
                </c:pt>
              </c:strCache>
            </c:strRef>
          </c:cat>
          <c:val>
            <c:numRef>
              <c:f>0</c:f>
              <c:numCache>
                <c:formatCode>General</c:formatCode>
                <c:ptCount val="3"/>
                <c:pt idx="0">
                  <c:v>76</c:v>
                </c:pt>
                <c:pt idx="1">
                  <c:v>69</c:v>
                </c:pt>
                <c:pt idx="2">
                  <c:v>67</c:v>
                </c:pt>
              </c:numCache>
            </c:numRef>
          </c:val>
        </c:ser>
        <c:ser>
          <c:idx val="1"/>
          <c:order val="1"/>
          <c:tx>
            <c:strRef>
              <c:f>label 1</c:f>
              <c:strCache>
                <c:ptCount val="1"/>
                <c:pt idx="0">
                  <c:v>Grupo P</c:v>
                </c:pt>
              </c:strCache>
            </c:strRef>
          </c:tx>
          <c:spPr>
            <a:ln w="28800">
              <a:solidFill>
                <a:srgbClr val="00CCFF"/>
              </a:solidFill>
              <a:round/>
            </a:ln>
          </c:spPr>
          <c:marker>
            <c:symbol val="square"/>
            <c:size val="2"/>
          </c:marker>
          <c:cat>
            <c:strRef>
              <c:f>categories</c:f>
              <c:strCache>
                <c:ptCount val="3"/>
                <c:pt idx="0">
                  <c:v>Pre-colono</c:v>
                </c:pt>
                <c:pt idx="1">
                  <c:v>Ciego</c:v>
                </c:pt>
                <c:pt idx="2">
                  <c:v>Post-colono</c:v>
                </c:pt>
              </c:strCache>
            </c:strRef>
          </c:cat>
          <c:val>
            <c:numRef>
              <c:f>1</c:f>
              <c:numCache>
                <c:formatCode>General</c:formatCode>
                <c:ptCount val="3"/>
                <c:pt idx="0">
                  <c:v>76</c:v>
                </c:pt>
                <c:pt idx="1">
                  <c:v>66</c:v>
                </c:pt>
                <c:pt idx="2">
                  <c:v>69</c:v>
                </c:pt>
              </c:numCache>
            </c:numRef>
          </c:val>
        </c:ser>
        <c:marker val="1"/>
        <c:axId val="81250560"/>
        <c:axId val="81260544"/>
      </c:lineChart>
      <c:catAx>
        <c:axId val="81250560"/>
        <c:scaling>
          <c:orientation val="minMax"/>
        </c:scaling>
        <c:axPos val="b"/>
        <c:tickLblPos val="nextTo"/>
        <c:spPr>
          <a:ln>
            <a:solidFill>
              <a:srgbClr val="B3B3B3"/>
            </a:solidFill>
          </a:ln>
        </c:spPr>
        <c:txPr>
          <a:bodyPr/>
          <a:lstStyle/>
          <a:p>
            <a:pPr>
              <a:defRPr lang="en-US"/>
            </a:pPr>
            <a:endParaRPr lang="es-ES"/>
          </a:p>
        </c:txPr>
        <c:crossAx val="81260544"/>
        <c:crossesAt val="0"/>
        <c:auto val="1"/>
        <c:lblAlgn val="ctr"/>
        <c:lblOffset val="100"/>
      </c:catAx>
      <c:valAx>
        <c:axId val="81260544"/>
        <c:scaling>
          <c:orientation val="minMax"/>
        </c:scaling>
        <c:axPos val="l"/>
        <c:majorGridlines>
          <c:spPr>
            <a:ln>
              <a:solidFill>
                <a:srgbClr val="B3B3B3"/>
              </a:solidFill>
            </a:ln>
          </c:spPr>
        </c:majorGridlines>
        <c:numFmt formatCode="General" sourceLinked="1"/>
        <c:tickLblPos val="nextTo"/>
        <c:spPr>
          <a:ln>
            <a:solidFill>
              <a:srgbClr val="B3B3B3"/>
            </a:solidFill>
          </a:ln>
        </c:spPr>
        <c:txPr>
          <a:bodyPr/>
          <a:lstStyle/>
          <a:p>
            <a:pPr>
              <a:defRPr lang="en-US"/>
            </a:pPr>
            <a:endParaRPr lang="es-ES"/>
          </a:p>
        </c:txPr>
        <c:crossAx val="81250560"/>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
  <c:chart>
    <c:plotArea>
      <c:layout/>
      <c:barChart>
        <c:barDir val="col"/>
        <c:grouping val="percentStacked"/>
        <c:ser>
          <c:idx val="0"/>
          <c:order val="0"/>
          <c:tx>
            <c:strRef>
              <c:f>label 0</c:f>
              <c:strCache>
                <c:ptCount val="1"/>
                <c:pt idx="0">
                  <c:v>Sobresedados</c:v>
                </c:pt>
              </c:strCache>
            </c:strRef>
          </c:tx>
          <c:spPr>
            <a:solidFill>
              <a:srgbClr val="000000"/>
            </a:solidFill>
            <a:ln>
              <a:noFill/>
            </a:ln>
          </c:spPr>
          <c:cat>
            <c:strRef>
              <c:f>categories</c:f>
              <c:strCache>
                <c:ptCount val="2"/>
                <c:pt idx="0">
                  <c:v>Grupo S</c:v>
                </c:pt>
                <c:pt idx="1">
                  <c:v>Grupo P</c:v>
                </c:pt>
              </c:strCache>
            </c:strRef>
          </c:cat>
          <c:val>
            <c:numRef>
              <c:f>0</c:f>
              <c:numCache>
                <c:formatCode>General</c:formatCode>
                <c:ptCount val="2"/>
                <c:pt idx="0">
                  <c:v>43.9</c:v>
                </c:pt>
                <c:pt idx="1">
                  <c:v>15.8</c:v>
                </c:pt>
              </c:numCache>
            </c:numRef>
          </c:val>
        </c:ser>
        <c:ser>
          <c:idx val="1"/>
          <c:order val="1"/>
          <c:tx>
            <c:strRef>
              <c:f>label 1</c:f>
              <c:strCache>
                <c:ptCount val="1"/>
                <c:pt idx="0">
                  <c:v>No sobresedados</c:v>
                </c:pt>
              </c:strCache>
            </c:strRef>
          </c:tx>
          <c:spPr>
            <a:solidFill>
              <a:srgbClr val="DDDDDD"/>
            </a:solidFill>
            <a:ln>
              <a:noFill/>
            </a:ln>
          </c:spPr>
          <c:cat>
            <c:strRef>
              <c:f>categories</c:f>
              <c:strCache>
                <c:ptCount val="2"/>
                <c:pt idx="0">
                  <c:v>Grupo S</c:v>
                </c:pt>
                <c:pt idx="1">
                  <c:v>Grupo P</c:v>
                </c:pt>
              </c:strCache>
            </c:strRef>
          </c:cat>
          <c:val>
            <c:numRef>
              <c:f>1</c:f>
              <c:numCache>
                <c:formatCode>General</c:formatCode>
                <c:ptCount val="2"/>
                <c:pt idx="0">
                  <c:v>56.1</c:v>
                </c:pt>
                <c:pt idx="1">
                  <c:v>86.2</c:v>
                </c:pt>
              </c:numCache>
            </c:numRef>
          </c:val>
        </c:ser>
        <c:gapWidth val="100"/>
        <c:axId val="81305600"/>
        <c:axId val="81307136"/>
      </c:barChart>
      <c:catAx>
        <c:axId val="81305600"/>
        <c:scaling>
          <c:orientation val="minMax"/>
        </c:scaling>
        <c:axPos val="b"/>
        <c:tickLblPos val="nextTo"/>
        <c:spPr>
          <a:ln>
            <a:solidFill>
              <a:srgbClr val="B3B3B3"/>
            </a:solidFill>
          </a:ln>
        </c:spPr>
        <c:txPr>
          <a:bodyPr/>
          <a:lstStyle/>
          <a:p>
            <a:pPr>
              <a:defRPr lang="en-US"/>
            </a:pPr>
            <a:endParaRPr lang="es-ES"/>
          </a:p>
        </c:txPr>
        <c:crossAx val="81307136"/>
        <c:crossesAt val="0"/>
        <c:auto val="1"/>
        <c:lblAlgn val="ctr"/>
        <c:lblOffset val="100"/>
      </c:catAx>
      <c:valAx>
        <c:axId val="81307136"/>
        <c:scaling>
          <c:orientation val="minMax"/>
        </c:scaling>
        <c:axPos val="l"/>
        <c:majorGridlines>
          <c:spPr>
            <a:ln>
              <a:solidFill>
                <a:srgbClr val="B3B3B3"/>
              </a:solidFill>
            </a:ln>
          </c:spPr>
        </c:majorGridlines>
        <c:numFmt formatCode="0%" sourceLinked="1"/>
        <c:tickLblPos val="nextTo"/>
        <c:spPr>
          <a:ln>
            <a:solidFill>
              <a:srgbClr val="B3B3B3"/>
            </a:solidFill>
          </a:ln>
        </c:spPr>
        <c:txPr>
          <a:bodyPr/>
          <a:lstStyle/>
          <a:p>
            <a:pPr>
              <a:defRPr lang="en-US"/>
            </a:pPr>
            <a:endParaRPr lang="es-ES"/>
          </a:p>
        </c:txPr>
        <c:crossAx val="81305600"/>
        <c:crossesAt val="0"/>
        <c:crossBetween val="between"/>
      </c:valAx>
      <c:spPr>
        <a:noFill/>
        <a:ln>
          <a:solidFill>
            <a:srgbClr val="B3B3B3"/>
          </a:solidFill>
        </a:ln>
      </c:spPr>
    </c:plotArea>
    <c:legend>
      <c:legendPos val="r"/>
      <c:spPr>
        <a:noFill/>
        <a:ln>
          <a:noFill/>
        </a:ln>
      </c:spPr>
      <c:txPr>
        <a:bodyPr/>
        <a:lstStyle/>
        <a:p>
          <a:pPr>
            <a:defRPr lang="en-US"/>
          </a:pPr>
          <a:endParaRPr lang="es-ES"/>
        </a:p>
      </c:txPr>
    </c:legend>
    <c:plotVisOnly val="1"/>
  </c:chart>
  <c:spPr>
    <a:noFill/>
    <a:ln>
      <a:noFill/>
    </a:ln>
  </c:spPr>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113</Pages>
  <Words>24427</Words>
  <Characters>134350</Characters>
  <Application>Microsoft Office Word</Application>
  <DocSecurity>0</DocSecurity>
  <Lines>1119</Lines>
  <Paragraphs>316</Paragraphs>
  <ScaleCrop>false</ScaleCrop>
  <Company/>
  <LinksUpToDate>false</LinksUpToDate>
  <CharactersWithSpaces>158461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LESFGP</dc:creator>
  <cp:lastModifiedBy>LESFGP</cp:lastModifiedBy>
  <cp:revision>2</cp:revision>
  <dcterms:created xsi:type="dcterms:W3CDTF">2014-09-18T18:14:00Z</dcterms:created>
  <dcterms:modified xsi:type="dcterms:W3CDTF">2014-09-18T18:14:00Z</dcterms:modified>
  <dc:language>es-ES</dc:language>
</cp:coreProperties>
</file>