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C4A" w:rsidRPr="006D3AE7" w:rsidRDefault="00DC1C4A">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DC1C4A" w:rsidRPr="006D3AE7" w:rsidRDefault="00DC1C4A">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DC1C4A" w:rsidRPr="006D3AE7" w:rsidRDefault="00DC1C4A">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rsidP="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rsidP="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rsidP="00E04F76">
      <w:pPr>
        <w:tabs>
          <w:tab w:val="left" w:pos="426"/>
          <w:tab w:val="left" w:pos="1418"/>
          <w:tab w:val="left" w:pos="1843"/>
          <w:tab w:val="left" w:pos="3544"/>
          <w:tab w:val="left" w:pos="3969"/>
          <w:tab w:val="left" w:pos="6237"/>
          <w:tab w:val="left" w:pos="6663"/>
        </w:tabs>
        <w:ind w:right="567"/>
        <w:rPr>
          <w:rFonts w:ascii="Calibri" w:hAnsi="Calibri"/>
          <w:b/>
          <w:sz w:val="28"/>
          <w:szCs w:val="28"/>
        </w:rPr>
      </w:pPr>
    </w:p>
    <w:p w:rsidR="00335472" w:rsidRDefault="00335472" w:rsidP="00E04F76">
      <w:pPr>
        <w:tabs>
          <w:tab w:val="left" w:pos="426"/>
          <w:tab w:val="left" w:pos="1418"/>
          <w:tab w:val="left" w:pos="1843"/>
          <w:tab w:val="left" w:pos="3544"/>
          <w:tab w:val="left" w:pos="3969"/>
          <w:tab w:val="left" w:pos="6237"/>
          <w:tab w:val="left" w:pos="6663"/>
        </w:tabs>
        <w:ind w:right="567"/>
        <w:rPr>
          <w:rFonts w:ascii="Calibri" w:hAnsi="Calibri"/>
          <w:b/>
          <w:sz w:val="28"/>
          <w:szCs w:val="28"/>
        </w:rPr>
      </w:pPr>
    </w:p>
    <w:p w:rsidR="00455BAD" w:rsidRDefault="00455BAD" w:rsidP="00E04F76">
      <w:pPr>
        <w:tabs>
          <w:tab w:val="left" w:pos="426"/>
          <w:tab w:val="left" w:pos="1418"/>
          <w:tab w:val="left" w:pos="1843"/>
          <w:tab w:val="left" w:pos="3544"/>
          <w:tab w:val="left" w:pos="3969"/>
          <w:tab w:val="left" w:pos="6237"/>
          <w:tab w:val="left" w:pos="6663"/>
        </w:tabs>
        <w:ind w:right="567"/>
        <w:rPr>
          <w:rFonts w:ascii="Calibri" w:hAnsi="Calibri"/>
          <w:b/>
          <w:sz w:val="28"/>
          <w:szCs w:val="28"/>
        </w:rPr>
      </w:pP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34"/>
          <w:szCs w:val="34"/>
        </w:rPr>
      </w:pPr>
      <w:r w:rsidRPr="00E04F76">
        <w:rPr>
          <w:rFonts w:ascii="Calibri" w:hAnsi="Calibri"/>
          <w:b/>
          <w:sz w:val="34"/>
          <w:szCs w:val="34"/>
        </w:rPr>
        <w:t>The HALT-LTBI study: Phase IV, multi-site, unblinded, randomised trial of prophylactic daily rifampicin/isoniazid vs. weekly rifapentine/isoniazid for latent tuberculosis infection (LTBI)</w:t>
      </w: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34"/>
          <w:szCs w:val="34"/>
        </w:rPr>
      </w:pP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rPr>
      </w:pPr>
      <w:r w:rsidRPr="00E04F76">
        <w:rPr>
          <w:rFonts w:ascii="Calibri" w:hAnsi="Calibri"/>
          <w:sz w:val="28"/>
          <w:szCs w:val="28"/>
        </w:rPr>
        <w:t>REC Reference 13/LO/1666</w:t>
      </w: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rPr>
      </w:pPr>
      <w:r w:rsidRPr="00E04F76">
        <w:rPr>
          <w:rFonts w:ascii="Calibri" w:hAnsi="Calibri"/>
          <w:sz w:val="28"/>
          <w:szCs w:val="28"/>
        </w:rPr>
        <w:t>EudraCT Number 2013-000750-21</w:t>
      </w: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rPr>
      </w:pP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rPr>
      </w:pPr>
      <w:r w:rsidRPr="00E04F76">
        <w:rPr>
          <w:rFonts w:ascii="Calibri" w:hAnsi="Calibri"/>
          <w:sz w:val="28"/>
          <w:szCs w:val="28"/>
        </w:rPr>
        <w:t>Start date 10/10/2014 – End Date: 30/06/2017</w:t>
      </w: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28"/>
          <w:szCs w:val="28"/>
        </w:rPr>
      </w:pPr>
    </w:p>
    <w:p w:rsidR="00E04F76" w:rsidRP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28"/>
          <w:szCs w:val="28"/>
        </w:rPr>
      </w:pPr>
    </w:p>
    <w:p w:rsid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28"/>
          <w:szCs w:val="28"/>
        </w:rPr>
      </w:pPr>
      <w:r w:rsidRPr="00E04F76">
        <w:rPr>
          <w:rFonts w:ascii="Calibri" w:hAnsi="Calibri"/>
          <w:b/>
          <w:sz w:val="28"/>
          <w:szCs w:val="28"/>
        </w:rPr>
        <w:t>Chief Investigator: Professor Ibrahim Abubakar</w:t>
      </w:r>
    </w:p>
    <w:p w:rsidR="00DC1C4A" w:rsidRDefault="00DC1C4A">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pPr>
        <w:tabs>
          <w:tab w:val="left" w:pos="426"/>
          <w:tab w:val="left" w:pos="1418"/>
          <w:tab w:val="left" w:pos="1843"/>
          <w:tab w:val="left" w:pos="3544"/>
          <w:tab w:val="left" w:pos="3969"/>
          <w:tab w:val="left" w:pos="6237"/>
          <w:tab w:val="left" w:pos="6663"/>
        </w:tabs>
        <w:ind w:right="567"/>
        <w:rPr>
          <w:rFonts w:ascii="Calibri" w:hAnsi="Calibri"/>
          <w:sz w:val="28"/>
          <w:szCs w:val="28"/>
        </w:rPr>
      </w:pPr>
    </w:p>
    <w:p w:rsidR="00E04F76" w:rsidRDefault="00E04F76" w:rsidP="00E04F76">
      <w:pPr>
        <w:tabs>
          <w:tab w:val="left" w:pos="426"/>
          <w:tab w:val="left" w:pos="1418"/>
          <w:tab w:val="left" w:pos="1843"/>
          <w:tab w:val="left" w:pos="3544"/>
          <w:tab w:val="left" w:pos="3969"/>
          <w:tab w:val="left" w:pos="6237"/>
          <w:tab w:val="left" w:pos="6663"/>
        </w:tabs>
        <w:ind w:right="567"/>
        <w:jc w:val="center"/>
        <w:rPr>
          <w:rFonts w:ascii="Calibri" w:hAnsi="Calibri"/>
          <w:b/>
          <w:sz w:val="34"/>
          <w:szCs w:val="34"/>
        </w:rPr>
      </w:pPr>
      <w:r w:rsidRPr="00E04F76">
        <w:rPr>
          <w:rFonts w:ascii="Calibri" w:hAnsi="Calibri"/>
          <w:b/>
          <w:sz w:val="34"/>
          <w:szCs w:val="34"/>
        </w:rPr>
        <w:t xml:space="preserve">End of Study Summary for </w:t>
      </w:r>
      <w:r w:rsidR="000A230F">
        <w:rPr>
          <w:rFonts w:ascii="Calibri" w:hAnsi="Calibri"/>
          <w:b/>
          <w:sz w:val="34"/>
          <w:szCs w:val="34"/>
        </w:rPr>
        <w:t>MHRA</w:t>
      </w:r>
    </w:p>
    <w:p w:rsidR="009134A1" w:rsidRPr="00455BAD" w:rsidRDefault="009134A1"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rPr>
      </w:pPr>
      <w:r>
        <w:rPr>
          <w:rFonts w:ascii="Calibri" w:hAnsi="Calibri"/>
          <w:b/>
          <w:sz w:val="34"/>
          <w:szCs w:val="34"/>
        </w:rPr>
        <w:t>August 2018</w:t>
      </w:r>
      <w:bookmarkStart w:id="0" w:name="_GoBack"/>
      <w:bookmarkEnd w:id="0"/>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20527C" w:rsidRDefault="0020527C" w:rsidP="00E04F76">
      <w:pPr>
        <w:tabs>
          <w:tab w:val="left" w:pos="426"/>
          <w:tab w:val="left" w:pos="1418"/>
          <w:tab w:val="left" w:pos="1843"/>
          <w:tab w:val="left" w:pos="3544"/>
          <w:tab w:val="left" w:pos="3969"/>
          <w:tab w:val="left" w:pos="6237"/>
          <w:tab w:val="left" w:pos="6663"/>
        </w:tabs>
        <w:ind w:right="567"/>
        <w:jc w:val="center"/>
        <w:rPr>
          <w:rFonts w:ascii="Calibri" w:hAnsi="Calibri"/>
          <w:sz w:val="28"/>
          <w:szCs w:val="28"/>
          <w:u w:val="single"/>
        </w:rPr>
      </w:pPr>
    </w:p>
    <w:p w:rsidR="00FA1727" w:rsidRPr="00455BAD" w:rsidRDefault="00FA1727" w:rsidP="00FA1727">
      <w:pPr>
        <w:widowControl w:val="0"/>
        <w:outlineLvl w:val="0"/>
        <w:rPr>
          <w:rFonts w:asciiTheme="majorHAnsi" w:eastAsia="Calibri" w:hAnsiTheme="majorHAnsi" w:cstheme="majorHAnsi"/>
          <w:b/>
          <w:caps/>
          <w:sz w:val="28"/>
          <w:szCs w:val="28"/>
        </w:rPr>
      </w:pPr>
      <w:bookmarkStart w:id="1" w:name="_Toc518401616"/>
      <w:r w:rsidRPr="00455BAD">
        <w:rPr>
          <w:rFonts w:asciiTheme="majorHAnsi" w:eastAsia="Calibri" w:hAnsiTheme="majorHAnsi" w:cstheme="majorHAnsi"/>
          <w:b/>
          <w:caps/>
          <w:sz w:val="28"/>
          <w:szCs w:val="28"/>
        </w:rPr>
        <w:t>EXECUTIVE summary</w:t>
      </w:r>
      <w:bookmarkEnd w:id="1"/>
    </w:p>
    <w:p w:rsidR="00FA1727" w:rsidRPr="00455BAD" w:rsidRDefault="00FA1727" w:rsidP="00FA1727">
      <w:pPr>
        <w:widowControl w:val="0"/>
        <w:outlineLvl w:val="0"/>
        <w:rPr>
          <w:rFonts w:asciiTheme="majorHAnsi" w:eastAsia="Calibri" w:hAnsiTheme="majorHAnsi" w:cstheme="majorHAnsi"/>
          <w:b/>
          <w:caps/>
          <w:sz w:val="28"/>
          <w:szCs w:val="28"/>
        </w:rPr>
      </w:pPr>
    </w:p>
    <w:p w:rsidR="00FA1727" w:rsidRPr="00FA1727" w:rsidRDefault="00FA1727" w:rsidP="00FA1727">
      <w:pPr>
        <w:widowControl w:val="0"/>
        <w:jc w:val="both"/>
        <w:outlineLvl w:val="1"/>
        <w:rPr>
          <w:rFonts w:ascii="Calibri" w:eastAsia="Calibri" w:hAnsi="Calibri" w:cs="Arial"/>
          <w:b/>
          <w:sz w:val="24"/>
          <w:szCs w:val="24"/>
          <w:u w:val="single"/>
        </w:rPr>
      </w:pPr>
      <w:bookmarkStart w:id="2" w:name="_Toc518401617"/>
      <w:r w:rsidRPr="00FA1727">
        <w:rPr>
          <w:rFonts w:ascii="Calibri" w:eastAsia="Calibri" w:hAnsi="Calibri" w:cs="Arial"/>
          <w:b/>
          <w:sz w:val="24"/>
          <w:szCs w:val="24"/>
          <w:u w:val="single"/>
        </w:rPr>
        <w:t>Study aims</w:t>
      </w:r>
      <w:bookmarkEnd w:id="2"/>
    </w:p>
    <w:p w:rsidR="00FA1727" w:rsidRPr="00FA1727" w:rsidRDefault="00FA1727" w:rsidP="00FA1727">
      <w:pPr>
        <w:widowControl w:val="0"/>
        <w:jc w:val="both"/>
        <w:outlineLvl w:val="1"/>
        <w:rPr>
          <w:rFonts w:ascii="Calibri" w:eastAsia="Calibri" w:hAnsi="Calibri" w:cs="Arial"/>
          <w:sz w:val="24"/>
          <w:szCs w:val="24"/>
        </w:rPr>
      </w:pPr>
      <w:r w:rsidRPr="00FA1727">
        <w:rPr>
          <w:rFonts w:ascii="Calibri" w:eastAsia="Calibri" w:hAnsi="Calibri" w:cs="Arial"/>
          <w:sz w:val="24"/>
          <w:szCs w:val="24"/>
        </w:rPr>
        <w:t>The trial aimed to assess the feasibility of undertaking a trial to investigate whether a 12 dose rifapentine based treatment improved treatment completion for latent tuberculosis compared to the UK standard of care of a daily dose rifampicin and isoniazid regimen with both regimen given over 3 months.</w:t>
      </w:r>
    </w:p>
    <w:p w:rsidR="00FA1727" w:rsidRPr="00FA1727" w:rsidRDefault="00FA1727" w:rsidP="00FA1727">
      <w:pPr>
        <w:widowControl w:val="0"/>
        <w:jc w:val="both"/>
        <w:outlineLvl w:val="1"/>
        <w:rPr>
          <w:rFonts w:ascii="Calibri" w:eastAsia="Calibri" w:hAnsi="Calibri" w:cs="Arial"/>
          <w:sz w:val="24"/>
          <w:szCs w:val="24"/>
          <w:highlight w:val="yellow"/>
        </w:rPr>
      </w:pPr>
    </w:p>
    <w:p w:rsidR="00FA1727" w:rsidRPr="00FA1727" w:rsidRDefault="00FA1727" w:rsidP="00FA1727">
      <w:pPr>
        <w:jc w:val="both"/>
        <w:outlineLvl w:val="1"/>
        <w:rPr>
          <w:rFonts w:ascii="Calibri" w:eastAsia="Calibri" w:hAnsi="Calibri" w:cs="Arial"/>
          <w:b/>
          <w:sz w:val="24"/>
          <w:szCs w:val="24"/>
          <w:u w:val="single"/>
        </w:rPr>
      </w:pPr>
      <w:bookmarkStart w:id="3" w:name="_Toc518401621"/>
      <w:r w:rsidRPr="00FA1727">
        <w:rPr>
          <w:rFonts w:ascii="Calibri" w:eastAsia="Calibri" w:hAnsi="Calibri" w:cs="Arial"/>
          <w:b/>
          <w:sz w:val="24"/>
          <w:szCs w:val="24"/>
          <w:u w:val="single"/>
        </w:rPr>
        <w:t>Background</w:t>
      </w:r>
      <w:bookmarkEnd w:id="3"/>
    </w:p>
    <w:p w:rsidR="00FA1727" w:rsidRPr="00FA1727" w:rsidRDefault="00FA1727" w:rsidP="00FA1727">
      <w:pPr>
        <w:jc w:val="both"/>
        <w:outlineLvl w:val="1"/>
        <w:rPr>
          <w:rFonts w:ascii="Calibri" w:eastAsia="Calibri" w:hAnsi="Calibri" w:cs="Arial"/>
          <w:sz w:val="24"/>
          <w:szCs w:val="24"/>
        </w:rPr>
      </w:pPr>
      <w:r w:rsidRPr="00FA1727">
        <w:rPr>
          <w:rFonts w:ascii="Calibri" w:eastAsia="Calibri" w:hAnsi="Calibri" w:cs="Arial"/>
          <w:sz w:val="24"/>
          <w:szCs w:val="24"/>
        </w:rPr>
        <w:t xml:space="preserve">Despite the availability of effective treatment for drug susceptible </w:t>
      </w:r>
      <w:r w:rsidRPr="00FA1727">
        <w:rPr>
          <w:rFonts w:ascii="Calibri" w:eastAsia="Calibri" w:hAnsi="Calibri" w:cs="Arial"/>
          <w:i/>
          <w:sz w:val="24"/>
          <w:szCs w:val="24"/>
        </w:rPr>
        <w:t>Mycobacterium tuberculosis</w:t>
      </w:r>
      <w:r w:rsidRPr="00FA1727">
        <w:rPr>
          <w:rFonts w:ascii="Calibri" w:eastAsia="Calibri" w:hAnsi="Calibri" w:cs="Arial"/>
          <w:sz w:val="24"/>
          <w:szCs w:val="24"/>
        </w:rPr>
        <w:t>, TB continues to cause significant morbidity and mortality worldwide. In the UK, there has been a resurgence of TB over the last three decades with stabilisation of the rates of disease in the last five years at a level higher than most Western European countries. Elimination requires a focus on sterilising the pool of latently infected individuals from which future TB cases would be generated. A randomised pilot trial was designed to assess the safety and feasibility of treating adults between 16 and 65 years of age for LTBI in the UK context, with a relevant comparator regimen and a standardised treatment process and support in both arms without DOT.</w:t>
      </w:r>
    </w:p>
    <w:p w:rsidR="00FA1727" w:rsidRPr="00FA1727" w:rsidRDefault="00FA1727" w:rsidP="00FA1727">
      <w:pPr>
        <w:jc w:val="both"/>
        <w:outlineLvl w:val="1"/>
        <w:rPr>
          <w:rFonts w:ascii="Calibri" w:eastAsia="Calibri" w:hAnsi="Calibri" w:cs="Arial"/>
          <w:sz w:val="24"/>
          <w:szCs w:val="24"/>
        </w:rPr>
      </w:pPr>
    </w:p>
    <w:p w:rsidR="00FA1727" w:rsidRPr="00FA1727" w:rsidRDefault="00FA1727" w:rsidP="00FA1727">
      <w:pPr>
        <w:jc w:val="both"/>
        <w:outlineLvl w:val="1"/>
        <w:rPr>
          <w:rFonts w:ascii="Calibri" w:eastAsia="Calibri" w:hAnsi="Calibri" w:cs="Arial"/>
          <w:b/>
          <w:sz w:val="24"/>
          <w:szCs w:val="24"/>
          <w:u w:val="single"/>
        </w:rPr>
      </w:pPr>
      <w:bookmarkStart w:id="4" w:name="_Toc518401622"/>
      <w:r w:rsidRPr="00FA1727">
        <w:rPr>
          <w:rFonts w:ascii="Calibri" w:eastAsia="Calibri" w:hAnsi="Calibri" w:cs="Arial"/>
          <w:b/>
          <w:sz w:val="24"/>
          <w:szCs w:val="24"/>
          <w:u w:val="single"/>
        </w:rPr>
        <w:t>Methods</w:t>
      </w:r>
      <w:bookmarkEnd w:id="4"/>
    </w:p>
    <w:p w:rsidR="00FA1727" w:rsidRPr="00FA1727" w:rsidRDefault="00FA1727" w:rsidP="00FA1727">
      <w:pPr>
        <w:jc w:val="both"/>
        <w:outlineLvl w:val="1"/>
        <w:rPr>
          <w:rFonts w:ascii="Calibri" w:eastAsia="Calibri" w:hAnsi="Calibri" w:cs="Arial"/>
          <w:sz w:val="24"/>
          <w:szCs w:val="24"/>
        </w:rPr>
      </w:pPr>
      <w:r w:rsidRPr="00FA1727">
        <w:rPr>
          <w:rFonts w:ascii="Calibri" w:eastAsia="Calibri" w:hAnsi="Calibri" w:cs="Arial"/>
          <w:sz w:val="24"/>
          <w:szCs w:val="24"/>
        </w:rPr>
        <w:t xml:space="preserve">Phase IV, unblinded, randomised, multi-site UK trial. Individuals who present with LTBI at TB clinics, who meet the eligibility criteria and agree to preventative therapy and to give their written consent to take part will participate in the trial. Recruited individuals were randomised to receive either a daily combination of rifampicin/isoniazid (‘standard’ practice) for 90 days (three months) versus a weekly combination of rifapentine/isoniazid (‘experimental’ practice), for 12 weeks. Safety and feasibility was assessed with 52 patients. Multivariable logistic regression of the likelihood of completion of treatment and presence of adverse effects was undertaken. </w:t>
      </w:r>
    </w:p>
    <w:p w:rsidR="00FA1727" w:rsidRPr="00FA1727" w:rsidRDefault="00FA1727" w:rsidP="00FA1727">
      <w:pPr>
        <w:jc w:val="both"/>
        <w:outlineLvl w:val="1"/>
        <w:rPr>
          <w:rFonts w:ascii="Calibri" w:eastAsia="Calibri" w:hAnsi="Calibri" w:cs="Arial"/>
          <w:sz w:val="24"/>
          <w:szCs w:val="24"/>
        </w:rPr>
      </w:pPr>
    </w:p>
    <w:p w:rsidR="00FA1727" w:rsidRPr="00FA1727" w:rsidRDefault="00FA1727" w:rsidP="00FA1727">
      <w:pPr>
        <w:widowControl w:val="0"/>
        <w:jc w:val="both"/>
        <w:outlineLvl w:val="1"/>
        <w:rPr>
          <w:rFonts w:ascii="Calibri" w:eastAsia="Calibri" w:hAnsi="Calibri" w:cs="Arial"/>
          <w:b/>
          <w:sz w:val="24"/>
          <w:szCs w:val="24"/>
          <w:u w:val="single"/>
        </w:rPr>
      </w:pPr>
      <w:bookmarkStart w:id="5" w:name="_Toc518401623"/>
      <w:r w:rsidRPr="00FA1727">
        <w:rPr>
          <w:rFonts w:ascii="Calibri" w:eastAsia="Calibri" w:hAnsi="Calibri" w:cs="Arial"/>
          <w:b/>
          <w:sz w:val="24"/>
          <w:szCs w:val="24"/>
          <w:u w:val="single"/>
        </w:rPr>
        <w:t>Results</w:t>
      </w:r>
      <w:bookmarkEnd w:id="5"/>
    </w:p>
    <w:p w:rsidR="00FA1727" w:rsidRPr="00FA1727" w:rsidRDefault="00FA1727" w:rsidP="00FA1727">
      <w:pPr>
        <w:widowControl w:val="0"/>
        <w:jc w:val="both"/>
        <w:outlineLvl w:val="1"/>
        <w:rPr>
          <w:rFonts w:ascii="Calibri" w:eastAsia="Calibri" w:hAnsi="Calibri" w:cs="Arial"/>
          <w:sz w:val="24"/>
          <w:szCs w:val="24"/>
        </w:rPr>
      </w:pPr>
      <w:r w:rsidRPr="00FA1727">
        <w:rPr>
          <w:rFonts w:ascii="Calibri" w:eastAsia="Calibri" w:hAnsi="Calibri" w:cs="Arial"/>
          <w:sz w:val="24"/>
          <w:szCs w:val="24"/>
        </w:rPr>
        <w:t>HALT: LTBI successfully led to the recruitment of 52 participants to explore the feasibility of a full trial. Factors to improve study enrolment were identified including appropriate inclusion criteria. There was no difference in the adverse effect profile between the two arms. Economic modelling suggests that the 12 dose rifapentine based regimen may be cost-effective if it achieves the same level of effectiveness as observed in this pilot study.</w:t>
      </w:r>
    </w:p>
    <w:p w:rsidR="00FA1727" w:rsidRPr="00FA1727" w:rsidRDefault="00FA1727" w:rsidP="00FA1727">
      <w:pPr>
        <w:widowControl w:val="0"/>
        <w:jc w:val="both"/>
        <w:outlineLvl w:val="1"/>
        <w:rPr>
          <w:rFonts w:ascii="Calibri" w:eastAsia="Calibri" w:hAnsi="Calibri" w:cs="Arial"/>
          <w:sz w:val="24"/>
          <w:szCs w:val="24"/>
          <w:highlight w:val="yellow"/>
        </w:rPr>
      </w:pPr>
    </w:p>
    <w:p w:rsidR="00FA1727" w:rsidRPr="00FA1727" w:rsidRDefault="00FA1727" w:rsidP="00FA1727">
      <w:pPr>
        <w:widowControl w:val="0"/>
        <w:jc w:val="both"/>
        <w:outlineLvl w:val="1"/>
        <w:rPr>
          <w:rFonts w:ascii="Calibri" w:eastAsia="Calibri" w:hAnsi="Calibri" w:cs="Arial"/>
          <w:sz w:val="24"/>
          <w:szCs w:val="24"/>
          <w:highlight w:val="yellow"/>
        </w:rPr>
      </w:pPr>
    </w:p>
    <w:p w:rsidR="00FA1727" w:rsidRPr="00FA1727" w:rsidRDefault="00FA1727" w:rsidP="00FA1727">
      <w:pPr>
        <w:widowControl w:val="0"/>
        <w:jc w:val="both"/>
        <w:outlineLvl w:val="1"/>
        <w:rPr>
          <w:rFonts w:ascii="Calibri" w:eastAsia="Calibri" w:hAnsi="Calibri" w:cs="Arial"/>
          <w:b/>
          <w:sz w:val="24"/>
          <w:szCs w:val="24"/>
          <w:u w:val="single"/>
        </w:rPr>
      </w:pPr>
      <w:bookmarkStart w:id="6" w:name="_Toc518401626"/>
      <w:r w:rsidRPr="00FA1727">
        <w:rPr>
          <w:rFonts w:ascii="Calibri" w:eastAsia="Calibri" w:hAnsi="Calibri" w:cs="Arial"/>
          <w:b/>
          <w:sz w:val="24"/>
          <w:szCs w:val="24"/>
          <w:u w:val="single"/>
        </w:rPr>
        <w:t>Conclusions and further research</w:t>
      </w:r>
      <w:bookmarkEnd w:id="6"/>
      <w:r w:rsidRPr="00FA1727">
        <w:rPr>
          <w:rFonts w:ascii="Calibri" w:eastAsia="Calibri" w:hAnsi="Calibri" w:cs="Arial"/>
          <w:b/>
          <w:sz w:val="24"/>
          <w:szCs w:val="24"/>
          <w:u w:val="single"/>
        </w:rPr>
        <w:t xml:space="preserve"> </w:t>
      </w:r>
    </w:p>
    <w:p w:rsidR="00FA1727" w:rsidRDefault="00FA1727" w:rsidP="00FA1727">
      <w:pPr>
        <w:widowControl w:val="0"/>
        <w:jc w:val="both"/>
        <w:outlineLvl w:val="1"/>
        <w:rPr>
          <w:rFonts w:ascii="Calibri" w:eastAsia="Calibri" w:hAnsi="Calibri" w:cs="Arial"/>
          <w:sz w:val="24"/>
          <w:szCs w:val="24"/>
        </w:rPr>
      </w:pPr>
      <w:r w:rsidRPr="00FA1727">
        <w:rPr>
          <w:rFonts w:ascii="Calibri" w:eastAsia="Calibri" w:hAnsi="Calibri" w:cs="Arial"/>
          <w:sz w:val="24"/>
          <w:szCs w:val="24"/>
        </w:rPr>
        <w:t>HALT: LTBI: We have demonstrated the feasibility of undertaking a randomised controlled trial of the novel rifapentine and isoniazid weekly regimen, approaches to enhance recruitment and with the potential to roll this out into a full trial. Economic evaluation suggests that this approach could be cost-effective.</w:t>
      </w:r>
    </w:p>
    <w:p w:rsidR="00FA1727" w:rsidRDefault="00FA1727">
      <w:pPr>
        <w:rPr>
          <w:rFonts w:ascii="Calibri" w:eastAsia="Calibri" w:hAnsi="Calibri" w:cs="Arial"/>
          <w:sz w:val="24"/>
          <w:szCs w:val="24"/>
        </w:rPr>
      </w:pPr>
      <w:r>
        <w:rPr>
          <w:rFonts w:ascii="Calibri" w:eastAsia="Calibri" w:hAnsi="Calibri" w:cs="Arial"/>
          <w:sz w:val="24"/>
          <w:szCs w:val="24"/>
        </w:rPr>
        <w:br w:type="page"/>
      </w:r>
    </w:p>
    <w:p w:rsidR="00FA1727" w:rsidRDefault="00FA1727">
      <w:pPr>
        <w:rPr>
          <w:rFonts w:ascii="Calibri" w:eastAsia="Calibri" w:hAnsi="Calibri" w:cs="Arial"/>
          <w:sz w:val="24"/>
          <w:szCs w:val="24"/>
        </w:rPr>
      </w:pPr>
    </w:p>
    <w:p w:rsidR="00FA1727" w:rsidRDefault="00FA1727">
      <w:pPr>
        <w:rPr>
          <w:rFonts w:ascii="Calibri" w:eastAsia="Calibri" w:hAnsi="Calibri" w:cs="Arial"/>
          <w:sz w:val="24"/>
          <w:szCs w:val="24"/>
        </w:rPr>
      </w:pPr>
      <w:r>
        <w:rPr>
          <w:rFonts w:ascii="Calibri" w:eastAsia="Calibri" w:hAnsi="Calibri" w:cs="Arial"/>
          <w:sz w:val="24"/>
          <w:szCs w:val="24"/>
        </w:rPr>
        <w:t>PARTICIPANT FLOW</w:t>
      </w:r>
    </w:p>
    <w:p w:rsidR="00FA1727" w:rsidRDefault="00FA1727">
      <w:pPr>
        <w:rPr>
          <w:rFonts w:ascii="Calibri" w:eastAsia="Calibri" w:hAnsi="Calibri" w:cs="Arial"/>
          <w:sz w:val="24"/>
          <w:szCs w:val="24"/>
        </w:rPr>
      </w:pPr>
    </w:p>
    <w:p w:rsidR="00FA1727" w:rsidRPr="00FA1727" w:rsidRDefault="00FA1727" w:rsidP="00FA1727">
      <w:pPr>
        <w:widowControl w:val="0"/>
        <w:jc w:val="both"/>
        <w:outlineLvl w:val="1"/>
        <w:rPr>
          <w:rFonts w:ascii="Calibri" w:eastAsia="Calibri" w:hAnsi="Calibri" w:cs="Arial"/>
          <w:sz w:val="24"/>
          <w:szCs w:val="24"/>
        </w:rPr>
      </w:pPr>
      <w:r>
        <w:rPr>
          <w:rFonts w:ascii="Calibri" w:eastAsia="Calibri" w:hAnsi="Calibri" w:cs="Arial"/>
          <w:noProof/>
          <w:sz w:val="24"/>
          <w:szCs w:val="24"/>
          <w:lang w:eastAsia="en-GB"/>
        </w:rPr>
        <w:drawing>
          <wp:inline distT="0" distB="0" distL="0" distR="0" wp14:anchorId="14E88698">
            <wp:extent cx="5730875" cy="852297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8522970"/>
                    </a:xfrm>
                    <a:prstGeom prst="rect">
                      <a:avLst/>
                    </a:prstGeom>
                    <a:noFill/>
                  </pic:spPr>
                </pic:pic>
              </a:graphicData>
            </a:graphic>
          </wp:inline>
        </w:drawing>
      </w:r>
    </w:p>
    <w:p w:rsidR="00FA1727" w:rsidRDefault="00FA1727" w:rsidP="0020527C">
      <w:pPr>
        <w:widowControl w:val="0"/>
        <w:spacing w:line="360" w:lineRule="auto"/>
        <w:outlineLvl w:val="1"/>
        <w:rPr>
          <w:rFonts w:eastAsia="Calibri" w:cs="Arial"/>
        </w:rPr>
      </w:pPr>
    </w:p>
    <w:p w:rsidR="00707074" w:rsidRPr="0020527C" w:rsidRDefault="00707074" w:rsidP="0020527C">
      <w:pPr>
        <w:widowControl w:val="0"/>
        <w:spacing w:line="360" w:lineRule="auto"/>
        <w:outlineLvl w:val="1"/>
        <w:rPr>
          <w:rFonts w:eastAsia="Calibri" w:cs="Arial"/>
        </w:rPr>
      </w:pPr>
    </w:p>
    <w:p w:rsidR="0020527C" w:rsidRPr="00455BAD" w:rsidRDefault="00D30E34" w:rsidP="0020527C">
      <w:pPr>
        <w:tabs>
          <w:tab w:val="left" w:pos="426"/>
          <w:tab w:val="left" w:pos="1418"/>
          <w:tab w:val="left" w:pos="1843"/>
          <w:tab w:val="left" w:pos="3544"/>
          <w:tab w:val="left" w:pos="3969"/>
          <w:tab w:val="left" w:pos="6237"/>
          <w:tab w:val="left" w:pos="6663"/>
        </w:tabs>
        <w:ind w:right="567"/>
        <w:rPr>
          <w:rFonts w:asciiTheme="majorHAnsi" w:hAnsiTheme="majorHAnsi" w:cstheme="majorHAnsi"/>
          <w:b/>
          <w:sz w:val="28"/>
          <w:szCs w:val="28"/>
        </w:rPr>
      </w:pPr>
      <w:r w:rsidRPr="00455BAD">
        <w:rPr>
          <w:rFonts w:asciiTheme="majorHAnsi" w:hAnsiTheme="majorHAnsi" w:cstheme="majorHAnsi"/>
          <w:b/>
          <w:sz w:val="28"/>
          <w:szCs w:val="28"/>
        </w:rPr>
        <w:lastRenderedPageBreak/>
        <w:t>BACKGROUND</w:t>
      </w:r>
    </w:p>
    <w:p w:rsidR="00D30E34" w:rsidRDefault="00D30E34" w:rsidP="0020527C">
      <w:pPr>
        <w:tabs>
          <w:tab w:val="left" w:pos="426"/>
          <w:tab w:val="left" w:pos="1418"/>
          <w:tab w:val="left" w:pos="1843"/>
          <w:tab w:val="left" w:pos="3544"/>
          <w:tab w:val="left" w:pos="3969"/>
          <w:tab w:val="left" w:pos="6237"/>
          <w:tab w:val="left" w:pos="6663"/>
        </w:tabs>
        <w:ind w:right="567"/>
        <w:rPr>
          <w:rFonts w:ascii="Calibri" w:hAnsi="Calibri"/>
          <w:sz w:val="28"/>
          <w:szCs w:val="28"/>
          <w:u w:val="single"/>
        </w:rPr>
      </w:pPr>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Despite the availability of effective treatment for drug susceptible </w:t>
      </w:r>
      <w:r w:rsidRPr="00D30E34">
        <w:rPr>
          <w:rFonts w:eastAsia="Calibri" w:cs="Arial"/>
          <w:i/>
        </w:rPr>
        <w:t>Mycobacterium tuberculosis</w:t>
      </w:r>
      <w:r w:rsidRPr="00D30E34">
        <w:rPr>
          <w:rFonts w:eastAsia="Calibri" w:cs="Arial"/>
        </w:rPr>
        <w:t xml:space="preserve">, TB continues to cause significant morbidity and mortality worldwide. A major obstacle to the control of TB is poor adherence to treatment due to lengthy and complicated regimens for active TB (usually 6-9 months) and LTBI (3-6 months). The use of directly observed therapy (DOT: which means that a health care worker watches the patient swallow each dose of treatment) can improve patient adherence in both active and latent tuberculosis and reduce the emergence of resistant microorganisms in active TB, but is logistically difficult and expensive to implement. </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National Institute for Health and Care Excellence (NICE) guidelines at the time of this study, which form the basis of TB management in the UK, did not recommend LTBI treatment in people over 35 years of age due to the increased risk of adverse events with age, particularly hepatotoxicity except where in the opinion of the caring physician a special exception can be made. However, the pool of latently infected individuals from which future TB cases would be generated, includes adults aged over 35 years. US, Dutch and Spanish guidelines recommend LTBI treatment with careful monitoring for individuals at risk of developing TB, irrespective of age. A recent paper by Sterling </w:t>
      </w:r>
      <w:r w:rsidRPr="00D30E34">
        <w:rPr>
          <w:rFonts w:eastAsia="Calibri" w:cs="Arial"/>
          <w:i/>
        </w:rPr>
        <w:t>et al.</w:t>
      </w:r>
      <w:r w:rsidRPr="00D30E34">
        <w:rPr>
          <w:rFonts w:eastAsia="Calibri" w:cs="Arial"/>
        </w:rPr>
        <w:t xml:space="preserve"> described a 12-dose regimen of rifapentine/isoniazid with a low rate of drug-related hepatotoxicity (0.4%) in a group of 3,986 LTBI patients with a median age of 36 years (IQR 25-47).</w:t>
      </w:r>
      <w:r w:rsidRPr="00D30E34">
        <w:rPr>
          <w:rFonts w:eastAsia="Calibri" w:cs="Arial"/>
        </w:rPr>
        <w:fldChar w:fldCharType="begin">
          <w:fldData xml:space="preserve">PFJlZm1hbj48Q2l0ZT48QXV0aG9yPlN0ZXJsaW5nPC9BdXRob3I+PFllYXI+MjAxMTwvWWVhcj48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=
</w:fldData>
        </w:fldChar>
      </w:r>
      <w:r w:rsidRPr="00D30E34">
        <w:rPr>
          <w:rFonts w:eastAsia="Calibri" w:cs="Arial"/>
        </w:rPr>
        <w:instrText xml:space="preserve"> ADDIN REFMGR.CITE </w:instrText>
      </w:r>
      <w:r w:rsidRPr="00D30E34">
        <w:rPr>
          <w:rFonts w:eastAsia="Calibri" w:cs="Arial"/>
        </w:rPr>
        <w:fldChar w:fldCharType="begin">
          <w:fldData xml:space="preserve">PFJlZm1hbj48Q2l0ZT48QXV0aG9yPlN0ZXJsaW5nPC9BdXRob3I+PFllYXI+MjAxMTwvWWVhcj48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=
</w:fldData>
        </w:fldChar>
      </w:r>
      <w:r w:rsidRPr="00D30E34">
        <w:rPr>
          <w:rFonts w:eastAsia="Calibri" w:cs="Arial"/>
        </w:rPr>
        <w:instrText xml:space="preserve"> ADDIN EN.CITE.DATA </w:instrText>
      </w:r>
      <w:r w:rsidRPr="00D30E34">
        <w:rPr>
          <w:rFonts w:eastAsia="Calibri" w:cs="Arial"/>
        </w:rPr>
      </w:r>
      <w:r w:rsidRPr="00D30E34">
        <w:rPr>
          <w:rFonts w:eastAsia="Calibri" w:cs="Arial"/>
        </w:rPr>
        <w:fldChar w:fldCharType="end"/>
      </w:r>
      <w:r w:rsidRPr="00D30E34">
        <w:rPr>
          <w:rFonts w:eastAsia="Calibri" w:cs="Arial"/>
        </w:rPr>
      </w:r>
      <w:r w:rsidRPr="00D30E34">
        <w:rPr>
          <w:rFonts w:eastAsia="Calibri" w:cs="Arial"/>
        </w:rPr>
        <w:fldChar w:fldCharType="separate"/>
      </w:r>
      <w:r w:rsidRPr="00D30E34">
        <w:rPr>
          <w:rFonts w:eastAsia="Calibri" w:cs="Arial"/>
          <w:noProof/>
          <w:vertAlign w:val="superscript"/>
        </w:rPr>
        <w:t>14</w:t>
      </w:r>
      <w:r w:rsidRPr="00D30E34">
        <w:rPr>
          <w:rFonts w:eastAsia="Calibri" w:cs="Arial"/>
        </w:rPr>
        <w:fldChar w:fldCharType="end"/>
      </w:r>
      <w:r w:rsidRPr="00D30E34">
        <w:rPr>
          <w:rFonts w:eastAsia="Calibri" w:cs="Arial"/>
        </w:rPr>
        <w:t xml:space="preserve"> This regimen was shown to be non-inferior in a RCT (nearly double the efficacy of standard nine month treatment), but adherence could not be evaluated, as patients placed on the rifapentine/isoniazid arm had treatment under direct observation but the control arm did not.</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In the UK, there has been a resurgence of TB over the last three decades with stabilisation of the rates of disease in the last five years at a level higher than most Western European countries. Due to epidemiologic changes in the UK TB patients’ profile, the risk of developing active disease may have risen in the last decade (3). Elimination requires a focus on sterilising the pool of latently infected individuals from which future TB cases would be generated. Improving prophylactic treatment and it’s compliance in patients with LTBI may help to reduce the rate of future TB cases amongst this cohort. Far from being non-discriminatory, TB disproportionately affects specific groups such as migrants from high-TB burden countries and homeless people, with a geographical burden focussed in urban centres. As the majority of TB in migrants to the UK arises through the reactivation of infections acquired overseas and develop in the first few years post-entry, screening for clinically asymptomatic LTBI in this population is an essential element of any TB elimination strategy. The development of novel treatment strategies with more potent antimycobacterial activity could lead to shorter and simpler regimens that are easier for patients to adhere to and have a similar or reduced frequency of side effects. This is especially valuable for individuals with LTBI, who are healthy, and thus at a high risk of discontinuing preventive treatment early. These issues become more severe in hard-to-reach populations. Nevertheless, better adherence will improve control in all groups targeted for LTBI treatment. </w:t>
      </w:r>
    </w:p>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lastRenderedPageBreak/>
        <w:t xml:space="preserve">Building on the work of Sterling </w:t>
      </w:r>
      <w:r w:rsidRPr="00D30E34">
        <w:rPr>
          <w:rFonts w:eastAsia="Calibri" w:cs="Arial"/>
          <w:i/>
        </w:rPr>
        <w:t>et al.</w:t>
      </w:r>
      <w:r w:rsidRPr="00D30E34">
        <w:rPr>
          <w:rFonts w:eastAsia="Calibri" w:cs="Arial"/>
        </w:rPr>
        <w:t>, a new trial was felt to be required for the following reasons:</w:t>
      </w:r>
    </w:p>
    <w:p w:rsidR="00D30E34" w:rsidRPr="00D30E34" w:rsidRDefault="00D30E34" w:rsidP="00D30E34">
      <w:pPr>
        <w:spacing w:line="360" w:lineRule="auto"/>
        <w:outlineLvl w:val="1"/>
        <w:rPr>
          <w:rFonts w:eastAsia="Calibri" w:cs="Arial"/>
        </w:rPr>
      </w:pPr>
    </w:p>
    <w:p w:rsidR="00D30E34" w:rsidRPr="00D30E34" w:rsidRDefault="00D30E34" w:rsidP="00D30E34">
      <w:pPr>
        <w:numPr>
          <w:ilvl w:val="0"/>
          <w:numId w:val="4"/>
        </w:numPr>
        <w:spacing w:line="360" w:lineRule="auto"/>
        <w:outlineLvl w:val="1"/>
        <w:rPr>
          <w:rFonts w:eastAsia="Calibri" w:cs="Arial"/>
        </w:rPr>
      </w:pPr>
      <w:r w:rsidRPr="00D30E34">
        <w:rPr>
          <w:rFonts w:eastAsia="Calibri" w:cs="Arial"/>
        </w:rPr>
        <w:t xml:space="preserve">In the trial by Sterling </w:t>
      </w:r>
      <w:r w:rsidRPr="00D30E34">
        <w:rPr>
          <w:rFonts w:eastAsia="Calibri" w:cs="Arial"/>
          <w:i/>
        </w:rPr>
        <w:t>et al</w:t>
      </w:r>
      <w:r w:rsidRPr="00D30E34">
        <w:rPr>
          <w:rFonts w:eastAsia="Calibri" w:cs="Arial"/>
        </w:rPr>
        <w:t>, the arms differed both by treatment allocation and by treatment support. Those in receipt of the weekly 12 dose regimen had DOT for each dose taken, whereas those allocated to nine months of daily isoniazid took their tablets without such support. It is therefore difficult to assess whether the difference in treatment completion was as a result of differences in treatment allocation or in treatment support.</w:t>
      </w:r>
    </w:p>
    <w:p w:rsidR="00D30E34" w:rsidRPr="00D30E34" w:rsidRDefault="00D30E34" w:rsidP="00D30E34">
      <w:pPr>
        <w:numPr>
          <w:ilvl w:val="0"/>
          <w:numId w:val="4"/>
        </w:numPr>
        <w:spacing w:line="360" w:lineRule="auto"/>
        <w:outlineLvl w:val="1"/>
        <w:rPr>
          <w:rFonts w:eastAsia="Calibri" w:cs="Arial"/>
        </w:rPr>
      </w:pPr>
      <w:r w:rsidRPr="00D30E34">
        <w:rPr>
          <w:rFonts w:eastAsia="Calibri" w:cs="Arial"/>
        </w:rPr>
        <w:t xml:space="preserve">The comparator regimen in the Sterling </w:t>
      </w:r>
      <w:r w:rsidRPr="00D30E34">
        <w:rPr>
          <w:rFonts w:eastAsia="Calibri" w:cs="Arial"/>
          <w:i/>
        </w:rPr>
        <w:t xml:space="preserve">et al. </w:t>
      </w:r>
      <w:r w:rsidRPr="00D30E34">
        <w:rPr>
          <w:rFonts w:eastAsia="Calibri" w:cs="Arial"/>
        </w:rPr>
        <w:t xml:space="preserve">trial was nine months of daily isoniazid. The standard of care in the UK for people is usually three months of daily rifampicin/isoniazid or six months of isoniazid. There are good reasons to expect better rates of completion with the shorter 12 dose regimen of rifapentine/isoniazid and thus a head to head trial is needed against a three month daily dose rifampicin/isoniazid regimen. </w:t>
      </w:r>
    </w:p>
    <w:p w:rsidR="00D30E34" w:rsidRPr="00D30E34" w:rsidRDefault="00D30E34" w:rsidP="00D30E34">
      <w:pPr>
        <w:numPr>
          <w:ilvl w:val="0"/>
          <w:numId w:val="4"/>
        </w:numPr>
        <w:spacing w:line="360" w:lineRule="auto"/>
        <w:outlineLvl w:val="1"/>
        <w:rPr>
          <w:rFonts w:eastAsia="Calibri" w:cs="Arial"/>
        </w:rPr>
      </w:pPr>
      <w:r w:rsidRPr="00D30E34">
        <w:rPr>
          <w:rFonts w:eastAsia="Calibri" w:cs="Arial"/>
        </w:rPr>
        <w:t>Treatment completion is likely to be affected by context. A UK-based trial assessing rates of treatment completion using this new 12 dose regimen would be helpful in informing UK recommendations for the treatment of LTBI.</w:t>
      </w:r>
    </w:p>
    <w:p w:rsidR="00D30E34" w:rsidRPr="00D30E34" w:rsidRDefault="00D30E34" w:rsidP="00D30E34">
      <w:pPr>
        <w:numPr>
          <w:ilvl w:val="0"/>
          <w:numId w:val="4"/>
        </w:numPr>
        <w:spacing w:line="360" w:lineRule="auto"/>
        <w:outlineLvl w:val="1"/>
        <w:rPr>
          <w:rFonts w:eastAsia="Calibri" w:cs="Arial"/>
        </w:rPr>
      </w:pPr>
      <w:r w:rsidRPr="00D30E34">
        <w:rPr>
          <w:rFonts w:eastAsia="Calibri" w:cs="Arial"/>
        </w:rPr>
        <w:t>Cost-effectiveness of both strategies in terms of direct costs: at the moment, rifapentine costs are high. Only by demonstrating the superiority of the interventional arm (rifapentine/isoniazid) compared to the standard one in terms of adherence and efficacy, would this new strategy be implemented in the UK.</w:t>
      </w:r>
    </w:p>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t>A randomised pilot trial was therefore designed to assess the safety and feasibility of treating adults between 16 and 65 years of age for LTBI in the UK context, with a relevant comparator regimen and a standardised treatment process and support in both arms without DOT. The trial aimed to assess differences in levels of adverse events and treatment completion between two different treatments of approximately equal duration: the standard of care in the UK, consisting of daily rifampicin/isoniazid for three months versus a three month regimen consisting of weekly rifapentine/isoniazid.</w:t>
      </w:r>
    </w:p>
    <w:p w:rsidR="00707074" w:rsidRDefault="00707074" w:rsidP="00D30E34">
      <w:pPr>
        <w:spacing w:line="360" w:lineRule="auto"/>
        <w:outlineLvl w:val="1"/>
        <w:rPr>
          <w:rFonts w:eastAsia="Calibri" w:cs="Arial"/>
        </w:rPr>
      </w:pPr>
    </w:p>
    <w:p w:rsidR="00707074" w:rsidRDefault="00707074">
      <w:pPr>
        <w:rPr>
          <w:rFonts w:eastAsia="Calibri" w:cs="Arial"/>
        </w:rPr>
      </w:pPr>
    </w:p>
    <w:p w:rsidR="00D30E34" w:rsidRPr="00455BAD" w:rsidRDefault="00D30E34" w:rsidP="00D30E34">
      <w:pPr>
        <w:widowControl w:val="0"/>
        <w:spacing w:line="360" w:lineRule="auto"/>
        <w:outlineLvl w:val="0"/>
        <w:rPr>
          <w:rFonts w:asciiTheme="majorHAnsi" w:eastAsia="Calibri" w:hAnsiTheme="majorHAnsi" w:cstheme="majorHAnsi"/>
          <w:b/>
          <w:caps/>
          <w:sz w:val="28"/>
          <w:szCs w:val="28"/>
        </w:rPr>
      </w:pPr>
      <w:bookmarkStart w:id="7" w:name="_Toc518401697"/>
      <w:r w:rsidRPr="00455BAD">
        <w:rPr>
          <w:rFonts w:asciiTheme="majorHAnsi" w:eastAsia="Calibri" w:hAnsiTheme="majorHAnsi" w:cstheme="majorHAnsi"/>
          <w:b/>
          <w:caps/>
          <w:sz w:val="28"/>
          <w:szCs w:val="28"/>
        </w:rPr>
        <w:t>Aims and Objectives</w:t>
      </w:r>
      <w:bookmarkEnd w:id="7"/>
    </w:p>
    <w:p w:rsidR="00D30E34" w:rsidRPr="00D30E34" w:rsidRDefault="00D30E34" w:rsidP="00D30E34">
      <w:pPr>
        <w:spacing w:line="360" w:lineRule="auto"/>
        <w:outlineLvl w:val="1"/>
        <w:rPr>
          <w:rFonts w:eastAsia="Calibri" w:cs="Arial"/>
        </w:rPr>
      </w:pPr>
      <w:r w:rsidRPr="00D30E34">
        <w:rPr>
          <w:rFonts w:eastAsia="Calibri" w:cs="Arial"/>
        </w:rPr>
        <w:t>The aim of this study was to assess the safety and feasibility of treating adults between 16 and 65 years of age for LTBI in the UK context.</w:t>
      </w:r>
      <w:r w:rsidRPr="00D30E34">
        <w:rPr>
          <w:rFonts w:eastAsia="Calibri" w:cs="Arial"/>
          <w:vertAlign w:val="superscript"/>
        </w:rPr>
        <w:footnoteReference w:id="1"/>
      </w:r>
      <w:r w:rsidRPr="00D30E34">
        <w:rPr>
          <w:rFonts w:eastAsia="Calibri" w:cs="Arial"/>
        </w:rPr>
        <w:t xml:space="preserve">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PRIMARY OBJECTIVES</w:t>
      </w:r>
    </w:p>
    <w:p w:rsidR="00D30E34" w:rsidRPr="00D30E34" w:rsidRDefault="00D30E34" w:rsidP="00D30E34">
      <w:pPr>
        <w:numPr>
          <w:ilvl w:val="0"/>
          <w:numId w:val="40"/>
        </w:numPr>
        <w:spacing w:line="360" w:lineRule="auto"/>
        <w:contextualSpacing/>
        <w:jc w:val="both"/>
        <w:outlineLvl w:val="1"/>
        <w:rPr>
          <w:rFonts w:eastAsia="Calibri" w:cs="Arial"/>
          <w:color w:val="000000"/>
        </w:rPr>
      </w:pPr>
      <w:r w:rsidRPr="00D30E34">
        <w:rPr>
          <w:rFonts w:eastAsia="Calibri" w:cs="Arial"/>
          <w:color w:val="000000"/>
        </w:rPr>
        <w:t xml:space="preserve">To check safety of conducting a full RCT. </w:t>
      </w:r>
    </w:p>
    <w:p w:rsidR="00D30E34" w:rsidRPr="00D30E34" w:rsidRDefault="00D30E34" w:rsidP="00D30E34">
      <w:pPr>
        <w:numPr>
          <w:ilvl w:val="0"/>
          <w:numId w:val="40"/>
        </w:numPr>
        <w:spacing w:line="360" w:lineRule="auto"/>
        <w:contextualSpacing/>
        <w:jc w:val="both"/>
        <w:outlineLvl w:val="1"/>
        <w:rPr>
          <w:rFonts w:eastAsia="Calibri" w:cs="Arial"/>
          <w:color w:val="000000"/>
        </w:rPr>
      </w:pPr>
      <w:r w:rsidRPr="00D30E34">
        <w:rPr>
          <w:rFonts w:eastAsia="Calibri" w:cs="Arial"/>
          <w:color w:val="000000"/>
        </w:rPr>
        <w:t>To assess the feasibility of trial i.e. whether it would be possible to conduct a larger trial on completion rates of two different LTBI treatment regimens (daily rifampicin/isoniazid vs. weekly rifapentine/isoniazid).</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SECONDARY OBJECTIVES</w:t>
      </w:r>
    </w:p>
    <w:p w:rsidR="00D30E34" w:rsidRPr="00D30E34" w:rsidRDefault="00D30E34" w:rsidP="00D30E34">
      <w:pPr>
        <w:numPr>
          <w:ilvl w:val="0"/>
          <w:numId w:val="41"/>
        </w:numPr>
        <w:spacing w:line="360" w:lineRule="auto"/>
        <w:contextualSpacing/>
        <w:jc w:val="both"/>
        <w:outlineLvl w:val="1"/>
        <w:rPr>
          <w:rFonts w:eastAsia="Calibri" w:cs="Arial"/>
          <w:color w:val="000000"/>
        </w:rPr>
      </w:pPr>
      <w:r w:rsidRPr="00D30E34">
        <w:rPr>
          <w:rFonts w:eastAsia="Calibri" w:cs="Arial"/>
          <w:color w:val="000000"/>
        </w:rPr>
        <w:t>To assess treatment completion (using the MARS-5 scale).</w:t>
      </w:r>
    </w:p>
    <w:p w:rsidR="00D30E34" w:rsidRPr="00D30E34" w:rsidRDefault="00D30E34" w:rsidP="00D30E34">
      <w:pPr>
        <w:numPr>
          <w:ilvl w:val="0"/>
          <w:numId w:val="41"/>
        </w:numPr>
        <w:spacing w:line="360" w:lineRule="auto"/>
        <w:contextualSpacing/>
        <w:jc w:val="both"/>
        <w:outlineLvl w:val="1"/>
        <w:rPr>
          <w:rFonts w:eastAsia="Calibri" w:cs="Arial"/>
          <w:color w:val="000000"/>
        </w:rPr>
      </w:pPr>
      <w:r w:rsidRPr="00D30E34">
        <w:rPr>
          <w:rFonts w:eastAsia="Calibri" w:cs="Arial"/>
          <w:color w:val="000000"/>
        </w:rPr>
        <w:t xml:space="preserve">To assess frequency of adverse events (AE) when individuals are treated for LTBI. </w:t>
      </w:r>
    </w:p>
    <w:p w:rsidR="00D30E34" w:rsidRPr="00707074" w:rsidRDefault="00D30E34" w:rsidP="002B425C">
      <w:pPr>
        <w:numPr>
          <w:ilvl w:val="0"/>
          <w:numId w:val="41"/>
        </w:numPr>
        <w:spacing w:after="160" w:line="259" w:lineRule="auto"/>
        <w:contextualSpacing/>
        <w:jc w:val="both"/>
        <w:outlineLvl w:val="1"/>
        <w:rPr>
          <w:rFonts w:eastAsia="Calibri" w:cs="Arial"/>
          <w:b/>
          <w:caps/>
          <w:sz w:val="28"/>
          <w:szCs w:val="28"/>
        </w:rPr>
      </w:pPr>
      <w:r w:rsidRPr="00D30E34">
        <w:rPr>
          <w:rFonts w:eastAsia="Calibri" w:cs="Arial"/>
          <w:color w:val="000000"/>
        </w:rPr>
        <w:t>To build an integrated transmission-dynamic and health economic model to assess the cost-effectiveness of the interventions, as well as cost per quality adjusted life year.</w:t>
      </w:r>
    </w:p>
    <w:p w:rsidR="00707074" w:rsidRPr="00707074" w:rsidRDefault="00707074" w:rsidP="00707074">
      <w:pPr>
        <w:spacing w:after="160" w:line="259" w:lineRule="auto"/>
        <w:ind w:left="720"/>
        <w:contextualSpacing/>
        <w:jc w:val="both"/>
        <w:outlineLvl w:val="1"/>
        <w:rPr>
          <w:rFonts w:eastAsia="Calibri" w:cs="Arial"/>
          <w:b/>
          <w:caps/>
          <w:sz w:val="28"/>
          <w:szCs w:val="28"/>
        </w:rPr>
      </w:pPr>
    </w:p>
    <w:p w:rsidR="00707074" w:rsidRPr="00D30E34" w:rsidRDefault="00707074" w:rsidP="00707074">
      <w:pPr>
        <w:spacing w:after="160" w:line="259" w:lineRule="auto"/>
        <w:ind w:left="720"/>
        <w:contextualSpacing/>
        <w:jc w:val="both"/>
        <w:outlineLvl w:val="1"/>
        <w:rPr>
          <w:rFonts w:eastAsia="Calibri" w:cs="Arial"/>
          <w:b/>
          <w:caps/>
          <w:sz w:val="28"/>
          <w:szCs w:val="28"/>
        </w:rPr>
      </w:pPr>
    </w:p>
    <w:p w:rsidR="00D30E34" w:rsidRPr="00455BAD" w:rsidRDefault="00D30E34" w:rsidP="00D30E34">
      <w:pPr>
        <w:widowControl w:val="0"/>
        <w:spacing w:line="360" w:lineRule="auto"/>
        <w:outlineLvl w:val="0"/>
        <w:rPr>
          <w:rFonts w:asciiTheme="majorHAnsi" w:eastAsia="Calibri" w:hAnsiTheme="majorHAnsi" w:cstheme="majorHAnsi"/>
          <w:b/>
          <w:caps/>
          <w:sz w:val="28"/>
          <w:szCs w:val="28"/>
        </w:rPr>
      </w:pPr>
      <w:bookmarkStart w:id="8" w:name="_Toc518401698"/>
      <w:r w:rsidRPr="00455BAD">
        <w:rPr>
          <w:rFonts w:asciiTheme="majorHAnsi" w:eastAsia="Calibri" w:hAnsiTheme="majorHAnsi" w:cstheme="majorHAnsi"/>
          <w:b/>
          <w:caps/>
          <w:sz w:val="28"/>
          <w:szCs w:val="28"/>
        </w:rPr>
        <w:t>Methods</w:t>
      </w:r>
      <w:bookmarkEnd w:id="8"/>
    </w:p>
    <w:p w:rsidR="00D30E34" w:rsidRPr="00D30E34" w:rsidRDefault="00D30E34" w:rsidP="00D30E34">
      <w:pPr>
        <w:widowControl w:val="0"/>
        <w:spacing w:line="360" w:lineRule="auto"/>
        <w:outlineLvl w:val="1"/>
        <w:rPr>
          <w:rFonts w:eastAsia="Calibri" w:cs="Arial"/>
          <w:b/>
          <w:sz w:val="24"/>
          <w:szCs w:val="24"/>
        </w:rPr>
      </w:pPr>
      <w:bookmarkStart w:id="9" w:name="_Toc518401699"/>
      <w:r w:rsidRPr="00D30E34">
        <w:rPr>
          <w:rFonts w:eastAsia="Calibri" w:cs="Arial"/>
          <w:b/>
          <w:sz w:val="24"/>
          <w:szCs w:val="24"/>
        </w:rPr>
        <w:t>Trial design</w:t>
      </w:r>
      <w:bookmarkEnd w:id="9"/>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Phase IV, unblinded, randomised, multi-site UK trial. Individuals who present with LTBI at TB clinics, who meet the eligibility criteria and agree to preventative therapy and to give their written consent to take part will participate in the trial. </w:t>
      </w:r>
    </w:p>
    <w:p w:rsidR="00D30E34" w:rsidRPr="00D30E34" w:rsidRDefault="00D30E34" w:rsidP="00D30E34">
      <w:pPr>
        <w:widowControl w:val="0"/>
        <w:spacing w:line="360" w:lineRule="auto"/>
        <w:outlineLvl w:val="1"/>
        <w:rPr>
          <w:rFonts w:eastAsia="Calibri" w:cs="Arial"/>
          <w:b/>
          <w:sz w:val="24"/>
          <w:szCs w:val="24"/>
        </w:rPr>
      </w:pPr>
    </w:p>
    <w:p w:rsidR="00D30E34" w:rsidRPr="00D30E34" w:rsidRDefault="00D30E34" w:rsidP="00D30E34">
      <w:pPr>
        <w:spacing w:line="360" w:lineRule="auto"/>
        <w:outlineLvl w:val="1"/>
        <w:rPr>
          <w:rFonts w:eastAsia="Calibri" w:cs="Arial"/>
          <w:b/>
          <w:sz w:val="24"/>
          <w:szCs w:val="24"/>
        </w:rPr>
      </w:pPr>
      <w:bookmarkStart w:id="10" w:name="_Toc518401700"/>
      <w:r w:rsidRPr="00D30E34">
        <w:rPr>
          <w:rFonts w:eastAsia="Calibri" w:cs="Arial"/>
          <w:b/>
          <w:sz w:val="24"/>
          <w:szCs w:val="24"/>
        </w:rPr>
        <w:t>Inclusion criteria</w:t>
      </w:r>
      <w:bookmarkEnd w:id="10"/>
    </w:p>
    <w:p w:rsidR="00D30E34" w:rsidRPr="00D30E34" w:rsidRDefault="00D30E34" w:rsidP="00D30E34">
      <w:pPr>
        <w:widowControl w:val="0"/>
        <w:numPr>
          <w:ilvl w:val="0"/>
          <w:numId w:val="43"/>
        </w:numPr>
        <w:spacing w:line="360" w:lineRule="auto"/>
        <w:contextualSpacing/>
        <w:jc w:val="both"/>
        <w:outlineLvl w:val="1"/>
        <w:rPr>
          <w:rFonts w:eastAsia="Calibri" w:cs="Arial"/>
          <w:color w:val="000000"/>
        </w:rPr>
      </w:pPr>
      <w:r w:rsidRPr="00D30E34">
        <w:rPr>
          <w:rFonts w:eastAsia="Calibri" w:cs="Arial"/>
          <w:color w:val="000000"/>
        </w:rPr>
        <w:t>Adults between 16 and 65 years</w:t>
      </w:r>
    </w:p>
    <w:p w:rsidR="00D30E34" w:rsidRPr="00D30E34" w:rsidRDefault="00D30E34" w:rsidP="00D30E34">
      <w:pPr>
        <w:widowControl w:val="0"/>
        <w:numPr>
          <w:ilvl w:val="0"/>
          <w:numId w:val="43"/>
        </w:numPr>
        <w:spacing w:line="360" w:lineRule="auto"/>
        <w:contextualSpacing/>
        <w:jc w:val="both"/>
        <w:outlineLvl w:val="1"/>
        <w:rPr>
          <w:rFonts w:eastAsia="Calibri" w:cs="Arial"/>
          <w:color w:val="000000"/>
        </w:rPr>
      </w:pPr>
      <w:r w:rsidRPr="00D30E34">
        <w:rPr>
          <w:rFonts w:eastAsia="Calibri" w:cs="Arial"/>
          <w:color w:val="000000"/>
        </w:rPr>
        <w:t>Diagnosed with LTBI</w:t>
      </w:r>
    </w:p>
    <w:p w:rsidR="00D30E34" w:rsidRPr="00D30E34" w:rsidRDefault="00D30E34" w:rsidP="00D30E34">
      <w:pPr>
        <w:widowControl w:val="0"/>
        <w:numPr>
          <w:ilvl w:val="0"/>
          <w:numId w:val="43"/>
        </w:numPr>
        <w:spacing w:line="360" w:lineRule="auto"/>
        <w:contextualSpacing/>
        <w:jc w:val="both"/>
        <w:outlineLvl w:val="1"/>
        <w:rPr>
          <w:rFonts w:eastAsia="Calibri" w:cs="Arial"/>
          <w:color w:val="000000"/>
        </w:rPr>
      </w:pPr>
      <w:r w:rsidRPr="00D30E34">
        <w:rPr>
          <w:rFonts w:eastAsia="Calibri" w:cs="Arial"/>
          <w:color w:val="000000"/>
        </w:rPr>
        <w:t xml:space="preserve">Individuals accepted receiving preventive treatment and gave their informed consent. </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11" w:name="_Toc518401701"/>
      <w:r w:rsidRPr="00D30E34">
        <w:rPr>
          <w:rFonts w:eastAsia="Calibri" w:cs="Arial"/>
          <w:b/>
          <w:sz w:val="24"/>
          <w:szCs w:val="24"/>
        </w:rPr>
        <w:t>Exclusion criteria</w:t>
      </w:r>
      <w:bookmarkEnd w:id="11"/>
    </w:p>
    <w:p w:rsidR="00D30E34" w:rsidRPr="00D30E34" w:rsidRDefault="00D30E34" w:rsidP="00D30E34">
      <w:pPr>
        <w:widowControl w:val="0"/>
        <w:numPr>
          <w:ilvl w:val="0"/>
          <w:numId w:val="42"/>
        </w:numPr>
        <w:spacing w:line="360" w:lineRule="auto"/>
        <w:contextualSpacing/>
        <w:jc w:val="both"/>
        <w:outlineLvl w:val="1"/>
        <w:rPr>
          <w:rFonts w:eastAsia="Calibri" w:cs="Arial"/>
          <w:color w:val="000000"/>
        </w:rPr>
      </w:pPr>
      <w:r w:rsidRPr="00D30E34">
        <w:rPr>
          <w:rFonts w:eastAsia="Calibri" w:cs="Arial"/>
          <w:color w:val="000000"/>
        </w:rPr>
        <w:t>Pregnant and breast-feeding women</w:t>
      </w:r>
    </w:p>
    <w:p w:rsidR="00D30E34" w:rsidRPr="00D30E34" w:rsidRDefault="00D30E34" w:rsidP="00D30E34">
      <w:pPr>
        <w:widowControl w:val="0"/>
        <w:numPr>
          <w:ilvl w:val="0"/>
          <w:numId w:val="42"/>
        </w:numPr>
        <w:spacing w:line="360" w:lineRule="auto"/>
        <w:contextualSpacing/>
        <w:jc w:val="both"/>
        <w:outlineLvl w:val="1"/>
        <w:rPr>
          <w:rFonts w:eastAsia="Calibri" w:cs="Arial"/>
          <w:color w:val="000000"/>
        </w:rPr>
      </w:pPr>
      <w:r w:rsidRPr="00D30E34">
        <w:rPr>
          <w:rFonts w:eastAsia="Calibri" w:cs="Arial"/>
          <w:color w:val="000000"/>
        </w:rPr>
        <w:t>Weight under 45kg</w:t>
      </w:r>
    </w:p>
    <w:p w:rsidR="00D30E34" w:rsidRPr="00D30E34" w:rsidRDefault="00D30E34" w:rsidP="00D30E34">
      <w:pPr>
        <w:widowControl w:val="0"/>
        <w:numPr>
          <w:ilvl w:val="0"/>
          <w:numId w:val="42"/>
        </w:numPr>
        <w:spacing w:line="360" w:lineRule="auto"/>
        <w:contextualSpacing/>
        <w:jc w:val="both"/>
        <w:outlineLvl w:val="1"/>
        <w:rPr>
          <w:rFonts w:eastAsia="Calibri" w:cs="Arial"/>
          <w:color w:val="000000"/>
        </w:rPr>
      </w:pPr>
      <w:r w:rsidRPr="00D30E34">
        <w:rPr>
          <w:rFonts w:eastAsia="Calibri" w:cs="Arial"/>
          <w:color w:val="000000"/>
        </w:rPr>
        <w:t>HIV infected</w:t>
      </w:r>
    </w:p>
    <w:p w:rsidR="00D30E34" w:rsidRPr="00D30E34" w:rsidRDefault="00D30E34" w:rsidP="00D30E34">
      <w:pPr>
        <w:widowControl w:val="0"/>
        <w:numPr>
          <w:ilvl w:val="0"/>
          <w:numId w:val="42"/>
        </w:numPr>
        <w:spacing w:line="360" w:lineRule="auto"/>
        <w:contextualSpacing/>
        <w:jc w:val="both"/>
        <w:outlineLvl w:val="1"/>
        <w:rPr>
          <w:rFonts w:eastAsia="Calibri" w:cs="Arial"/>
          <w:color w:val="000000"/>
        </w:rPr>
      </w:pPr>
      <w:r w:rsidRPr="00D30E34">
        <w:rPr>
          <w:rFonts w:eastAsia="Calibri" w:cs="Arial"/>
          <w:color w:val="000000"/>
        </w:rPr>
        <w:t>Individuals unable to receive study drugs because of allergy, liver disease or any medical condition contraindicating the use of a rifamycin or isoniazid or need for concomitant medications which cannot be safely taken together</w:t>
      </w:r>
    </w:p>
    <w:p w:rsidR="00D30E34" w:rsidRPr="00D30E34" w:rsidRDefault="00D30E34" w:rsidP="00D30E34">
      <w:pPr>
        <w:widowControl w:val="0"/>
        <w:numPr>
          <w:ilvl w:val="0"/>
          <w:numId w:val="42"/>
        </w:numPr>
        <w:spacing w:line="360" w:lineRule="auto"/>
        <w:contextualSpacing/>
        <w:jc w:val="both"/>
        <w:outlineLvl w:val="1"/>
        <w:rPr>
          <w:rFonts w:eastAsia="Calibri" w:cs="Arial"/>
          <w:color w:val="000000"/>
        </w:rPr>
      </w:pPr>
      <w:r w:rsidRPr="00D30E34">
        <w:rPr>
          <w:rFonts w:eastAsia="Calibri" w:cs="Arial"/>
          <w:color w:val="000000"/>
        </w:rPr>
        <w:t>Individuals unable to give informed consent or whose lifestyles would usually lead to the need of DOT</w:t>
      </w:r>
    </w:p>
    <w:p w:rsidR="00D30E34" w:rsidRPr="00D30E34" w:rsidRDefault="00D30E34" w:rsidP="00D30E34">
      <w:pPr>
        <w:widowControl w:val="0"/>
        <w:spacing w:line="360" w:lineRule="auto"/>
        <w:outlineLvl w:val="1"/>
        <w:rPr>
          <w:rFonts w:eastAsia="Calibri" w:cs="Arial"/>
          <w:b/>
          <w:sz w:val="24"/>
          <w:szCs w:val="24"/>
        </w:rPr>
      </w:pPr>
    </w:p>
    <w:p w:rsidR="00D30E34" w:rsidRPr="00D30E34" w:rsidRDefault="00D30E34" w:rsidP="00D30E34">
      <w:pPr>
        <w:widowControl w:val="0"/>
        <w:spacing w:line="360" w:lineRule="auto"/>
        <w:outlineLvl w:val="1"/>
        <w:rPr>
          <w:rFonts w:eastAsia="Calibri" w:cs="Arial"/>
          <w:b/>
          <w:sz w:val="24"/>
          <w:szCs w:val="24"/>
        </w:rPr>
      </w:pPr>
      <w:bookmarkStart w:id="12" w:name="_Toc518401702"/>
      <w:r w:rsidRPr="00D30E34">
        <w:rPr>
          <w:rFonts w:eastAsia="Calibri" w:cs="Arial"/>
          <w:b/>
          <w:sz w:val="24"/>
          <w:szCs w:val="24"/>
        </w:rPr>
        <w:t>Randomisation</w:t>
      </w:r>
      <w:bookmarkEnd w:id="12"/>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Randomisation to the intervention or standard of care arms was undertaken centrally using </w:t>
      </w:r>
      <w:hyperlink r:id="rId8" w:history="1">
        <w:r w:rsidRPr="00D30E34">
          <w:rPr>
            <w:rFonts w:eastAsia="Calibri" w:cs="Arial"/>
            <w:b/>
            <w:color w:val="000000"/>
          </w:rPr>
          <w:t>Sealed Envelope’s</w:t>
        </w:r>
      </w:hyperlink>
      <w:r w:rsidRPr="00D30E34">
        <w:rPr>
          <w:rFonts w:eastAsia="Calibri" w:cs="Arial"/>
        </w:rPr>
        <w:t xml:space="preserve"> Simple Randomisation Service. There was no stratification. The ratio of individuals in the intervention to normal care arm was 1:1.</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13" w:name="_Intervention_and_Standard"/>
      <w:bookmarkStart w:id="14" w:name="_Toc518401703"/>
      <w:bookmarkEnd w:id="13"/>
      <w:r w:rsidRPr="00D30E34">
        <w:rPr>
          <w:rFonts w:eastAsia="Calibri" w:cs="Arial"/>
          <w:b/>
          <w:sz w:val="24"/>
          <w:szCs w:val="24"/>
        </w:rPr>
        <w:t>Intervention and Standard of Care</w:t>
      </w:r>
      <w:bookmarkEnd w:id="14"/>
    </w:p>
    <w:p w:rsidR="00D30E34" w:rsidRPr="00D30E34" w:rsidRDefault="00D30E34" w:rsidP="00D30E34">
      <w:pPr>
        <w:spacing w:line="360" w:lineRule="auto"/>
        <w:outlineLvl w:val="1"/>
        <w:rPr>
          <w:rFonts w:eastAsia="Calibri" w:cs="Arial"/>
        </w:rPr>
      </w:pPr>
      <w:r w:rsidRPr="00D30E34">
        <w:rPr>
          <w:rFonts w:eastAsia="Calibri" w:cs="Arial"/>
        </w:rPr>
        <w:t>Recruited individuals were randomised to receive either a daily combination of rifampicin/isoniazid (‘standard’ practice) for 90 days (three months) versus a weekly combination of rifapentine/isoniazid (‘experimental’ practice), for 12 weeks. Both arms were performed without Directly Observed Therapy (DOT).</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15" w:name="_Toc518401704"/>
      <w:r w:rsidRPr="00D30E34">
        <w:rPr>
          <w:rFonts w:eastAsia="Calibri" w:cs="Arial"/>
          <w:b/>
          <w:sz w:val="24"/>
          <w:szCs w:val="24"/>
        </w:rPr>
        <w:t>Sample size</w:t>
      </w:r>
      <w:bookmarkEnd w:id="15"/>
    </w:p>
    <w:p w:rsidR="00D30E34" w:rsidRPr="00D30E34" w:rsidRDefault="00D30E34" w:rsidP="00D30E34">
      <w:pPr>
        <w:widowControl w:val="0"/>
        <w:spacing w:line="360" w:lineRule="auto"/>
        <w:outlineLvl w:val="1"/>
        <w:rPr>
          <w:rFonts w:eastAsia="Calibri" w:cs="Arial"/>
        </w:rPr>
      </w:pPr>
      <w:r w:rsidRPr="00D30E34">
        <w:rPr>
          <w:rFonts w:eastAsia="Calibri" w:cs="Arial"/>
        </w:rPr>
        <w:t>52 participants were recruited for this pilot study to assess the feasibility of conducting a fully powered trial in the future. This is consistent with recommendations for the number of participants required for pilot/feasibility studies.</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16" w:name="_Toc518401705"/>
      <w:r w:rsidRPr="00D30E34">
        <w:rPr>
          <w:rFonts w:eastAsia="Calibri" w:cs="Arial"/>
          <w:b/>
          <w:sz w:val="24"/>
          <w:szCs w:val="24"/>
        </w:rPr>
        <w:t>Primary outcome</w:t>
      </w:r>
      <w:bookmarkEnd w:id="16"/>
    </w:p>
    <w:p w:rsidR="00D30E34" w:rsidRPr="00D30E34" w:rsidRDefault="00D30E34" w:rsidP="00D30E34">
      <w:pPr>
        <w:widowControl w:val="0"/>
        <w:spacing w:line="360" w:lineRule="auto"/>
        <w:outlineLvl w:val="1"/>
        <w:rPr>
          <w:rFonts w:eastAsia="Calibri" w:cs="Arial"/>
        </w:rPr>
      </w:pPr>
      <w:r w:rsidRPr="00D30E34">
        <w:rPr>
          <w:rFonts w:eastAsia="Calibri" w:cs="Arial"/>
        </w:rPr>
        <w:t>The primary outcome was treatment completion assessed using self-report, pill counts, and urine tests for isoniazid metabolites.</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17" w:name="_Toc518401706"/>
      <w:r w:rsidRPr="00D30E34">
        <w:rPr>
          <w:rFonts w:eastAsia="Calibri" w:cs="Arial"/>
          <w:b/>
          <w:sz w:val="24"/>
          <w:szCs w:val="24"/>
        </w:rPr>
        <w:t>Secondary outcomes</w:t>
      </w:r>
      <w:bookmarkEnd w:id="17"/>
    </w:p>
    <w:p w:rsidR="00D30E34" w:rsidRPr="00D30E34" w:rsidRDefault="00D30E34" w:rsidP="00D30E34">
      <w:pPr>
        <w:widowControl w:val="0"/>
        <w:spacing w:line="360" w:lineRule="auto"/>
        <w:outlineLvl w:val="1"/>
        <w:rPr>
          <w:rFonts w:eastAsia="Calibri" w:cs="Arial"/>
        </w:rPr>
      </w:pPr>
      <w:r w:rsidRPr="00D30E34">
        <w:rPr>
          <w:rFonts w:eastAsia="Calibri" w:cs="Arial"/>
        </w:rPr>
        <w:t>Secondary outcomes included: (1) treatment completion measured using the MARS-5 tool; (2) frequency of AE, which was assessed by a standardised interview procedure and blood tests, including liver function tests (LFT) at baseline and at each visit, utilising a validated grading procedure; (3) cost per QALY, using EQ-5D test at baseline and at each visit.</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18" w:name="_Toc518401707"/>
      <w:r w:rsidRPr="00D30E34">
        <w:rPr>
          <w:rFonts w:eastAsia="Calibri" w:cs="Arial"/>
          <w:b/>
          <w:sz w:val="24"/>
          <w:szCs w:val="24"/>
        </w:rPr>
        <w:t>Statistical analysis</w:t>
      </w:r>
      <w:bookmarkEnd w:id="18"/>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Safety and feasibility was assessed with 52 patients. Multivariable logistic regression of the likelihood of completion of treatment and presence of adverse effects was undertaken. Likert scale-derived data from MARS-5 on treatment completion was analysed. </w:t>
      </w:r>
    </w:p>
    <w:p w:rsidR="00D30E34" w:rsidRPr="00D30E34" w:rsidRDefault="00D30E34" w:rsidP="00D30E34">
      <w:pPr>
        <w:widowControl w:val="0"/>
        <w:spacing w:line="360" w:lineRule="auto"/>
        <w:outlineLvl w:val="1"/>
        <w:rPr>
          <w:rFonts w:eastAsia="Calibri" w:cs="Arial"/>
        </w:rPr>
      </w:pPr>
    </w:p>
    <w:p w:rsidR="00D30E34" w:rsidRPr="00D30E34" w:rsidRDefault="00D30E34" w:rsidP="00D30E34">
      <w:pPr>
        <w:spacing w:line="360" w:lineRule="auto"/>
        <w:jc w:val="both"/>
        <w:outlineLvl w:val="1"/>
        <w:rPr>
          <w:rFonts w:eastAsia="Calibri" w:cs="Arial"/>
          <w:b/>
          <w:sz w:val="24"/>
          <w:szCs w:val="24"/>
        </w:rPr>
      </w:pPr>
      <w:bookmarkStart w:id="19" w:name="_Toc518401708"/>
      <w:r w:rsidRPr="00D30E34">
        <w:rPr>
          <w:rFonts w:eastAsia="Calibri" w:cs="Arial"/>
          <w:b/>
          <w:sz w:val="24"/>
          <w:szCs w:val="24"/>
        </w:rPr>
        <w:t>Health economics analysis</w:t>
      </w:r>
      <w:bookmarkEnd w:id="19"/>
    </w:p>
    <w:p w:rsidR="00D30E34" w:rsidRPr="00D30E34" w:rsidRDefault="00D30E34" w:rsidP="00D30E34">
      <w:pPr>
        <w:spacing w:line="360" w:lineRule="auto"/>
        <w:jc w:val="both"/>
        <w:outlineLvl w:val="1"/>
        <w:rPr>
          <w:rFonts w:eastAsia="Calibri" w:cs="Arial"/>
        </w:rPr>
      </w:pPr>
      <w:r w:rsidRPr="00D30E34">
        <w:rPr>
          <w:rFonts w:eastAsia="Calibri" w:cs="Arial"/>
        </w:rPr>
        <w:t>We considered screening for LTBI of recent immigrants in England, Wales and Northern Ireland (EWNI). Firstly, individuals passed through a probabilistic decision tree representing the screening and treatment pathway. All individuals remaining with LTBI (i.e. excluding those cured by treatment) were then simulated in a competing risks-type multistate model to time of event for all-cause mortality, leaving EWNI or progression to active TB. Experimental and standard LTBI treatment regimens were directly compared within a cost-effectiveness sensitivity analysis.</w:t>
      </w:r>
    </w:p>
    <w:p w:rsidR="00D30E34" w:rsidRPr="00D30E34" w:rsidRDefault="00D30E34" w:rsidP="00D30E34">
      <w:pPr>
        <w:spacing w:line="360" w:lineRule="auto"/>
        <w:jc w:val="both"/>
        <w:outlineLvl w:val="1"/>
        <w:rPr>
          <w:rFonts w:eastAsia="Calibri" w:cs="Arial"/>
        </w:rPr>
      </w:pPr>
    </w:p>
    <w:p w:rsidR="00D30E34" w:rsidRPr="00D30E34" w:rsidRDefault="00D30E34" w:rsidP="00D30E34">
      <w:pPr>
        <w:spacing w:line="360" w:lineRule="auto"/>
        <w:jc w:val="both"/>
        <w:outlineLvl w:val="1"/>
        <w:rPr>
          <w:rFonts w:eastAsia="Calibri" w:cs="Arial"/>
          <w:shd w:val="clear" w:color="auto" w:fill="FFFFFF"/>
        </w:rPr>
      </w:pPr>
      <w:r w:rsidRPr="00D30E34">
        <w:rPr>
          <w:rFonts w:eastAsia="Calibri" w:cs="Arial"/>
        </w:rPr>
        <w:t>The following complies with the Consolidated Health Economic Evaluation Reporting Standards (CHEERS) checklist.</w:t>
      </w:r>
      <w:r w:rsidRPr="00D30E34">
        <w:rPr>
          <w:rFonts w:eastAsia="Calibri" w:cs="Arial"/>
        </w:rPr>
        <w:fldChar w:fldCharType="begin"/>
      </w:r>
      <w:r w:rsidRPr="00D30E34">
        <w:rPr>
          <w:rFonts w:eastAsia="Calibri" w:cs="Arial"/>
        </w:rPr>
        <w:instrText xml:space="preserve"> ADDIN REFMGR.CITE &lt;Refman&gt;&lt;Cite&gt;&lt;Author&gt;Husereau&lt;/Author&gt;&lt;Year&gt;2013&lt;/Year&gt;&lt;RecNum&gt;10&lt;/RecNum&gt;&lt;IDText&gt;Consolidated Health Economic Evaluation Reporting Standards (CHEERS) statement&lt;/IDText&gt;&lt;MDL Ref_Type="Journal"&gt;&lt;Ref_Type&gt;Journal&lt;/Ref_Type&gt;&lt;Ref_ID&gt;10&lt;/Ref_ID&gt;&lt;Title_Primary&gt;Consolidated Health Economic Evaluation Reporting Standards (CHEERS) statement&lt;/Title_Primary&gt;&lt;Authors_Primary&gt;Husereau,D.&lt;/Authors_Primary&gt;&lt;Authors_Primary&gt;Drummond,M.&lt;/Authors_Primary&gt;&lt;Authors_Primary&gt;Petrou,S.&lt;/Authors_Primary&gt;&lt;Authors_Primary&gt;Carswell,C.&lt;/Authors_Primary&gt;&lt;Authors_Primary&gt;Moher,D.&lt;/Authors_Primary&gt;&lt;Authors_Primary&gt;Greenberg,D.&lt;/Authors_Primary&gt;&lt;Authors_Primary&gt;Augustovski,F.&lt;/Authors_Primary&gt;&lt;Authors_Primary&gt;Briggs,A.H.&lt;/Authors_Primary&gt;&lt;Authors_Primary&gt;Mauskopf,J.&lt;/Authors_Primary&gt;&lt;Authors_Primary&gt;Loder,E.&lt;/Authors_Primary&gt;&lt;Date_Primary&gt;2013/6&lt;/Date_Primary&gt;&lt;Keywords&gt;article&lt;/Keywords&gt;&lt;Keywords&gt;economics&lt;/Keywords&gt;&lt;Keywords&gt;Economics,Medical&lt;/Keywords&gt;&lt;Keywords&gt;Guidelines as Topic&lt;/Keywords&gt;&lt;Keywords&gt;health&lt;/Keywords&gt;&lt;Keywords&gt;Humans&lt;/Keywords&gt;&lt;Keywords&gt;Peer Review&lt;/Keywords&gt;&lt;Keywords&gt;Publishing&lt;/Keywords&gt;&lt;Keywords&gt;review&lt;/Keywords&gt;&lt;Keywords&gt;standards&lt;/Keywords&gt;&lt;Reprint&gt;Not in File&lt;/Reprint&gt;&lt;Start_Page&gt;367&lt;/Start_Page&gt;&lt;End_Page&gt;372&lt;/End_Page&gt;&lt;Periodical&gt;Eur J Health Econ.&lt;/Periodical&gt;&lt;Volume&gt;14&lt;/Volume&gt;&lt;Issue&gt;3&lt;/Issue&gt;&lt;Misc_3&gt;10.1007/s10198-013-0471-6 [doi]&lt;/Misc_3&gt;&lt;Address&gt;Institute of Health Economics, Edmonton, Canada. donh@donhusereau.com&lt;/Address&gt;&lt;Web_URL&gt;PM:23526140&lt;/Web_URL&gt;&lt;ZZ_JournalStdAbbrev&gt;&lt;f name="System"&gt;Eur J Health Econ.&lt;/f&gt;&lt;/ZZ_JournalStdAbbrev&gt;&lt;ZZ_WorkformID&gt;1&lt;/ZZ_WorkformID&gt;&lt;/MDL&gt;&lt;/Cite&gt;&lt;/Refman&gt;</w:instrText>
      </w:r>
      <w:r w:rsidRPr="00D30E34">
        <w:rPr>
          <w:rFonts w:eastAsia="Calibri" w:cs="Arial"/>
        </w:rPr>
        <w:fldChar w:fldCharType="separate"/>
      </w:r>
      <w:r w:rsidRPr="00D30E34">
        <w:rPr>
          <w:rFonts w:eastAsia="Calibri" w:cs="Arial"/>
          <w:noProof/>
          <w:vertAlign w:val="superscript"/>
        </w:rPr>
        <w:t>46</w:t>
      </w:r>
      <w:r w:rsidRPr="00D30E34">
        <w:rPr>
          <w:rFonts w:eastAsia="Calibri" w:cs="Arial"/>
        </w:rPr>
        <w:fldChar w:fldCharType="end"/>
      </w:r>
      <w:r w:rsidRPr="00D30E34">
        <w:rPr>
          <w:rFonts w:eastAsia="Calibri" w:cs="Arial"/>
        </w:rPr>
        <w:t xml:space="preserve"> </w:t>
      </w:r>
      <w:r w:rsidRPr="00D30E34">
        <w:rPr>
          <w:rFonts w:eastAsia="Calibri" w:cs="Arial"/>
          <w:shd w:val="clear" w:color="auto" w:fill="FFFFFF"/>
        </w:rPr>
        <w:t>All analysis was carried-out in the statistical software programme R 3.3.3.</w:t>
      </w:r>
      <w:r w:rsidRPr="00D30E34">
        <w:rPr>
          <w:rFonts w:eastAsia="Calibri" w:cs="Arial"/>
        </w:rPr>
        <w:t xml:space="preserve"> </w:t>
      </w:r>
    </w:p>
    <w:p w:rsidR="00D30E34" w:rsidRPr="00D30E34" w:rsidRDefault="00D30E34" w:rsidP="00D30E34">
      <w:pPr>
        <w:spacing w:line="360" w:lineRule="auto"/>
        <w:jc w:val="both"/>
        <w:outlineLvl w:val="1"/>
        <w:rPr>
          <w:rFonts w:eastAsia="Calibri" w:cs="Arial"/>
        </w:rPr>
      </w:pPr>
    </w:p>
    <w:p w:rsidR="00D30E34" w:rsidRPr="00D30E34" w:rsidRDefault="00D30E34" w:rsidP="00D30E34">
      <w:pPr>
        <w:spacing w:line="360" w:lineRule="auto"/>
        <w:outlineLvl w:val="2"/>
        <w:rPr>
          <w:rFonts w:eastAsia="Calibri" w:cs="Arial"/>
          <w:b/>
        </w:rPr>
      </w:pPr>
      <w:bookmarkStart w:id="20" w:name="_Toc518401709"/>
      <w:r w:rsidRPr="00D30E34">
        <w:rPr>
          <w:rFonts w:eastAsia="Calibri" w:cs="Arial"/>
          <w:b/>
        </w:rPr>
        <w:t>Data</w:t>
      </w:r>
      <w:bookmarkEnd w:id="20"/>
    </w:p>
    <w:p w:rsidR="00D30E34" w:rsidRPr="00D30E34" w:rsidRDefault="00D30E34" w:rsidP="00D30E34">
      <w:pPr>
        <w:spacing w:line="360" w:lineRule="auto"/>
        <w:outlineLvl w:val="1"/>
        <w:rPr>
          <w:rFonts w:eastAsia="Calibri" w:cs="Arial"/>
        </w:rPr>
      </w:pPr>
      <w:r w:rsidRPr="00D30E34">
        <w:rPr>
          <w:rFonts w:eastAsia="Calibri" w:cs="Arial"/>
        </w:rPr>
        <w:t>The main data source has been used in a previous study and is described in full there.</w:t>
      </w:r>
      <w:r w:rsidRPr="00D30E34">
        <w:rPr>
          <w:rFonts w:eastAsia="Calibri" w:cs="Arial"/>
        </w:rPr>
        <w:fldChar w:fldCharType="begin">
          <w:fldData xml:space="preserve">PFJlZm1hbj48Q2l0ZT48QXV0aG9yPkFsZHJpZGdlPC9BdXRob3I+PFllYXI+MjAxNjwvWWVhcj48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</w:fldData>
        </w:fldChar>
      </w:r>
      <w:r w:rsidRPr="00D30E34">
        <w:rPr>
          <w:rFonts w:eastAsia="Calibri" w:cs="Arial"/>
        </w:rPr>
        <w:instrText xml:space="preserve"> ADDIN REFMGR.CITE </w:instrText>
      </w:r>
      <w:r w:rsidRPr="00D30E34">
        <w:rPr>
          <w:rFonts w:eastAsia="Calibri" w:cs="Arial"/>
        </w:rPr>
        <w:fldChar w:fldCharType="begin">
          <w:fldData xml:space="preserve">PFJlZm1hbj48Q2l0ZT48QXV0aG9yPkFsZHJpZGdlPC9BdXRob3I+PFllYXI+MjAxNjwvWWVhcj48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</w:fldData>
        </w:fldChar>
      </w:r>
      <w:r w:rsidRPr="00D30E34">
        <w:rPr>
          <w:rFonts w:eastAsia="Calibri" w:cs="Arial"/>
        </w:rPr>
        <w:instrText xml:space="preserve"> ADDIN EN.CITE.DATA </w:instrText>
      </w:r>
      <w:r w:rsidRPr="00D30E34">
        <w:rPr>
          <w:rFonts w:eastAsia="Calibri" w:cs="Arial"/>
        </w:rPr>
      </w:r>
      <w:r w:rsidRPr="00D30E34">
        <w:rPr>
          <w:rFonts w:eastAsia="Calibri" w:cs="Arial"/>
        </w:rPr>
        <w:fldChar w:fldCharType="end"/>
      </w:r>
      <w:r w:rsidRPr="00D30E34">
        <w:rPr>
          <w:rFonts w:eastAsia="Calibri" w:cs="Arial"/>
        </w:rPr>
      </w:r>
      <w:r w:rsidRPr="00D30E34">
        <w:rPr>
          <w:rFonts w:eastAsia="Calibri" w:cs="Arial"/>
        </w:rPr>
        <w:fldChar w:fldCharType="separate"/>
      </w:r>
      <w:r w:rsidRPr="00D30E34">
        <w:rPr>
          <w:rFonts w:eastAsia="Calibri" w:cs="Arial"/>
          <w:noProof/>
          <w:vertAlign w:val="superscript"/>
        </w:rPr>
        <w:t>47;48</w:t>
      </w:r>
      <w:r w:rsidRPr="00D30E34">
        <w:rPr>
          <w:rFonts w:eastAsia="Calibri" w:cs="Arial"/>
        </w:rPr>
        <w:fldChar w:fldCharType="end"/>
      </w:r>
      <w:r w:rsidRPr="00D30E34">
        <w:rPr>
          <w:rFonts w:eastAsia="Calibri" w:cs="Arial"/>
        </w:rPr>
        <w:t xml:space="preserve"> In brief, the data consisted of a linked dataset of PHE’s Enhanced TB Surveillance system (ETS) and pre-entry screening data for 15 countries with high incidence of active TB who intended to stay for 6 months or longer, aged 11 years or older and who tested negative for active TB before entry. Data were obtained for those screened before entry to the UK between 1</w:t>
      </w:r>
      <w:r w:rsidRPr="00D30E34">
        <w:rPr>
          <w:rFonts w:eastAsia="Calibri" w:cs="Arial"/>
          <w:vertAlign w:val="superscript"/>
        </w:rPr>
        <w:t>st</w:t>
      </w:r>
      <w:r w:rsidRPr="00D30E34">
        <w:rPr>
          <w:rFonts w:eastAsia="Calibri" w:cs="Arial"/>
        </w:rPr>
        <w:t xml:space="preserve"> January 2006 and 31</w:t>
      </w:r>
      <w:r w:rsidRPr="00D30E34">
        <w:rPr>
          <w:rFonts w:eastAsia="Calibri" w:cs="Arial"/>
          <w:vertAlign w:val="superscript"/>
        </w:rPr>
        <w:t>st</w:t>
      </w:r>
      <w:r w:rsidRPr="00D30E34">
        <w:rPr>
          <w:rFonts w:eastAsia="Calibri" w:cs="Arial"/>
        </w:rPr>
        <w:t xml:space="preserve"> December 2012. For a </w:t>
      </w:r>
      <w:r w:rsidRPr="00D30E34">
        <w:rPr>
          <w:rFonts w:eastAsia="Calibri" w:cs="Arial"/>
        </w:rPr>
        <w:lastRenderedPageBreak/>
        <w:t>single year of entry cohort we used 2009 because this had the best trade-off of sample size and follow up duration.</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21" w:name="_Toc518401710"/>
      <w:r w:rsidRPr="00D30E34">
        <w:rPr>
          <w:rFonts w:eastAsia="Calibri" w:cs="Arial"/>
          <w:b/>
        </w:rPr>
        <w:t>Model parameterisation</w:t>
      </w:r>
      <w:bookmarkEnd w:id="21"/>
    </w:p>
    <w:p w:rsidR="00D30E34" w:rsidRPr="00D30E34" w:rsidRDefault="00D30E34" w:rsidP="00D30E34">
      <w:pPr>
        <w:spacing w:line="360" w:lineRule="auto"/>
        <w:outlineLvl w:val="1"/>
        <w:rPr>
          <w:rFonts w:eastAsia="Calibri" w:cs="Arial"/>
        </w:rPr>
      </w:pPr>
      <w:r w:rsidRPr="00D30E34">
        <w:rPr>
          <w:rFonts w:eastAsia="Calibri" w:cs="Arial"/>
        </w:rPr>
        <w:t xml:space="preserve">Baseline model parameter values, uncertainties and references are given in </w:t>
      </w:r>
      <w:hyperlink w:anchor="_Table_17:_Epidemiological" w:history="1">
        <w:r w:rsidRPr="00D30E34">
          <w:rPr>
            <w:rFonts w:eastAsia="Calibri" w:cs="Arial"/>
            <w:b/>
            <w:color w:val="000000"/>
          </w:rPr>
          <w:t>Tables 15</w:t>
        </w:r>
      </w:hyperlink>
      <w:r w:rsidRPr="00D30E34">
        <w:rPr>
          <w:rFonts w:eastAsia="Calibri" w:cs="Arial"/>
        </w:rPr>
        <w:t xml:space="preserve"> and </w:t>
      </w:r>
      <w:hyperlink w:anchor="_Table_18:_Economic" w:history="1">
        <w:r w:rsidRPr="00D30E34">
          <w:rPr>
            <w:rFonts w:eastAsia="Calibri" w:cs="Arial"/>
            <w:b/>
            <w:color w:val="000000"/>
          </w:rPr>
          <w:t>16</w:t>
        </w:r>
      </w:hyperlink>
      <w:r w:rsidRPr="00D30E34">
        <w:rPr>
          <w:rFonts w:eastAsia="Calibri" w:cs="Arial"/>
        </w:rPr>
        <w:t>.</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22" w:name="_Table_17:_Epidemiological"/>
      <w:bookmarkStart w:id="23" w:name="_Toc518401711"/>
      <w:bookmarkEnd w:id="22"/>
      <w:r w:rsidRPr="00D30E34">
        <w:rPr>
          <w:rFonts w:eastAsia="Calibri" w:cs="Arial"/>
          <w:b/>
        </w:rPr>
        <w:t>Table 15: Epidemiological parameters</w:t>
      </w:r>
      <w:bookmarkEnd w:id="23"/>
    </w:p>
    <w:tbl>
      <w:tblPr>
        <w:tblW w:w="9243" w:type="dxa"/>
        <w:jc w:val="center"/>
        <w:tblLayout w:type="fixed"/>
        <w:tblLook w:val="04A0" w:firstRow="1" w:lastRow="0" w:firstColumn="1" w:lastColumn="0" w:noHBand="0" w:noVBand="1"/>
      </w:tblPr>
      <w:tblGrid>
        <w:gridCol w:w="2989"/>
        <w:gridCol w:w="3240"/>
        <w:gridCol w:w="3014"/>
      </w:tblGrid>
      <w:tr w:rsidR="00D30E34" w:rsidRPr="00D30E34" w:rsidTr="00D30E34">
        <w:trPr>
          <w:jc w:val="center"/>
        </w:trPr>
        <w:tc>
          <w:tcPr>
            <w:tcW w:w="2989" w:type="dxa"/>
            <w:tcBorders>
              <w:top w:val="single" w:sz="4" w:space="0" w:color="auto"/>
              <w:bottom w:val="single" w:sz="4" w:space="0" w:color="auto"/>
            </w:tcBorders>
            <w:shd w:val="clear" w:color="auto" w:fill="FFFFFF"/>
          </w:tcPr>
          <w:p w:rsidR="00D30E34" w:rsidRPr="00D30E34" w:rsidRDefault="00D30E34" w:rsidP="00D30E34">
            <w:pPr>
              <w:spacing w:line="360" w:lineRule="auto"/>
              <w:outlineLvl w:val="1"/>
              <w:rPr>
                <w:rFonts w:eastAsia="Calibri" w:cs="Arial"/>
                <w:b/>
                <w:sz w:val="20"/>
                <w:szCs w:val="20"/>
              </w:rPr>
            </w:pPr>
            <w:r w:rsidRPr="00D30E34">
              <w:rPr>
                <w:rFonts w:eastAsia="Calibri" w:cs="Arial"/>
                <w:b/>
                <w:sz w:val="20"/>
                <w:szCs w:val="20"/>
              </w:rPr>
              <w:t>Parameter</w:t>
            </w:r>
          </w:p>
        </w:tc>
        <w:tc>
          <w:tcPr>
            <w:tcW w:w="3240" w:type="dxa"/>
            <w:tcBorders>
              <w:top w:val="single" w:sz="4" w:space="0" w:color="auto"/>
              <w:bottom w:val="single" w:sz="4" w:space="0" w:color="auto"/>
            </w:tcBorders>
            <w:shd w:val="clear" w:color="auto" w:fill="FFFFFF"/>
          </w:tcPr>
          <w:p w:rsidR="00D30E34" w:rsidRPr="00D30E34" w:rsidRDefault="00D30E34" w:rsidP="00D30E34">
            <w:pPr>
              <w:spacing w:line="360" w:lineRule="auto"/>
              <w:jc w:val="center"/>
              <w:outlineLvl w:val="1"/>
              <w:rPr>
                <w:rFonts w:eastAsia="Calibri" w:cs="Arial"/>
                <w:b/>
                <w:sz w:val="20"/>
                <w:szCs w:val="20"/>
              </w:rPr>
            </w:pPr>
            <w:r w:rsidRPr="00D30E34">
              <w:rPr>
                <w:rFonts w:eastAsia="Calibri" w:cs="Arial"/>
                <w:b/>
                <w:sz w:val="20"/>
                <w:szCs w:val="20"/>
              </w:rPr>
              <w:t>Value (uncertainty)</w:t>
            </w:r>
          </w:p>
        </w:tc>
        <w:tc>
          <w:tcPr>
            <w:tcW w:w="3014" w:type="dxa"/>
            <w:tcBorders>
              <w:top w:val="single" w:sz="4" w:space="0" w:color="auto"/>
              <w:bottom w:val="single" w:sz="4" w:space="0" w:color="auto"/>
            </w:tcBorders>
            <w:shd w:val="clear" w:color="auto" w:fill="FFFFFF"/>
          </w:tcPr>
          <w:p w:rsidR="00D30E34" w:rsidRPr="00D30E34" w:rsidRDefault="00D30E34" w:rsidP="00D30E34">
            <w:pPr>
              <w:spacing w:line="360" w:lineRule="auto"/>
              <w:outlineLvl w:val="1"/>
              <w:rPr>
                <w:rFonts w:eastAsia="Calibri" w:cs="Arial"/>
                <w:b/>
                <w:sz w:val="20"/>
                <w:szCs w:val="20"/>
              </w:rPr>
            </w:pPr>
            <w:r w:rsidRPr="00D30E34">
              <w:rPr>
                <w:rFonts w:eastAsia="Calibri" w:cs="Arial"/>
                <w:b/>
                <w:sz w:val="20"/>
                <w:szCs w:val="20"/>
              </w:rPr>
              <w:t>Source/Reference</w:t>
            </w:r>
          </w:p>
        </w:tc>
      </w:tr>
      <w:tr w:rsidR="00D30E34" w:rsidRPr="00D30E34" w:rsidTr="002B425C">
        <w:trPr>
          <w:jc w:val="center"/>
        </w:trPr>
        <w:tc>
          <w:tcPr>
            <w:tcW w:w="2989" w:type="dxa"/>
            <w:tcBorders>
              <w:top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Time to all-cause death</w:t>
            </w:r>
          </w:p>
        </w:tc>
        <w:tc>
          <w:tcPr>
            <w:tcW w:w="3240" w:type="dxa"/>
            <w:tcBorders>
              <w:top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Imputed sample</w:t>
            </w:r>
          </w:p>
        </w:tc>
        <w:tc>
          <w:tcPr>
            <w:tcW w:w="3014" w:type="dxa"/>
            <w:tcBorders>
              <w:top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48</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Active TB progression rate from LTBI</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Observed data,</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Imputed sample</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a2Zvcm1JRD4xPC9aWl9Xb3JrZm9ybUlEPjwvTURMPjwvQ2l0ZT48Q2l0ZT48QXV0aG9yPlN1dGhl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a2Zvcm1JRD4xPC9aWl9Xb3JrZm9ybUlEPjwvTURMPjwvQ2l0ZT48Q2l0ZT48QXV0aG9yPlN1dGhl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48;49</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Time to exit country</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Imputed sample</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48</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Number of arrivals</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Helvetica"/>
                <w:color w:val="333333"/>
                <w:sz w:val="20"/>
                <w:szCs w:val="20"/>
                <w:shd w:val="clear" w:color="auto" w:fill="FFFFFF"/>
              </w:rPr>
              <w:t>Observed data</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PFJlZm1hbj48Q2l0ZT48QXV0aG9yPkFsZHJpZGdlPC9BdXRob3I+PFllYXI+MjAxNjwvWWVhcj48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48</w:t>
            </w:r>
            <w:r w:rsidRPr="00D30E34">
              <w:rPr>
                <w:rFonts w:eastAsia="Calibri" w:cs="Arial"/>
                <w:sz w:val="20"/>
                <w:szCs w:val="20"/>
              </w:rPr>
              <w:fldChar w:fldCharType="end"/>
            </w:r>
          </w:p>
        </w:tc>
      </w:tr>
      <w:tr w:rsidR="00D30E34" w:rsidRPr="00D30E34" w:rsidTr="002B425C">
        <w:trPr>
          <w:jc w:val="center"/>
        </w:trPr>
        <w:tc>
          <w:tcPr>
            <w:tcW w:w="2989" w:type="dxa"/>
            <w:tcBorders>
              <w:bottom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 xml:space="preserve">Average number of secondary active TB cases per primary case arising in the cohort </w:t>
            </w:r>
          </w:p>
        </w:tc>
        <w:tc>
          <w:tcPr>
            <w:tcW w:w="3240" w:type="dxa"/>
            <w:tcBorders>
              <w:bottom w:val="single" w:sz="4" w:space="0" w:color="auto"/>
            </w:tcBorders>
          </w:tcPr>
          <w:p w:rsidR="00D30E34" w:rsidRPr="00D30E34" w:rsidRDefault="00D30E34" w:rsidP="00D30E34">
            <w:pPr>
              <w:spacing w:line="360" w:lineRule="auto"/>
              <w:jc w:val="center"/>
              <w:outlineLvl w:val="1"/>
              <w:rPr>
                <w:rFonts w:eastAsia="Calibri" w:cs="Helvetica"/>
                <w:color w:val="333333"/>
                <w:sz w:val="20"/>
                <w:szCs w:val="20"/>
                <w:shd w:val="clear" w:color="auto" w:fill="FFFFFF"/>
              </w:rPr>
            </w:pPr>
            <w:r w:rsidRPr="00D30E34">
              <w:rPr>
                <w:rFonts w:eastAsia="Calibri" w:cs="Helvetica"/>
                <w:color w:val="333333"/>
                <w:sz w:val="20"/>
                <w:szCs w:val="20"/>
                <w:shd w:val="clear" w:color="auto" w:fill="FFFFFF"/>
              </w:rPr>
              <w:t>Pert(min=0.1, mode=0.2, max=0.3)</w:t>
            </w:r>
          </w:p>
        </w:tc>
        <w:tc>
          <w:tcPr>
            <w:tcW w:w="3014"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p w:rsidR="00D30E34" w:rsidRPr="00D30E34" w:rsidRDefault="00D30E34" w:rsidP="00D30E34">
            <w:pPr>
              <w:spacing w:line="360" w:lineRule="auto"/>
              <w:jc w:val="center"/>
              <w:outlineLvl w:val="1"/>
              <w:rPr>
                <w:rFonts w:eastAsia="Calibri" w:cs="Arial"/>
                <w:sz w:val="20"/>
                <w:szCs w:val="20"/>
              </w:rPr>
            </w:pPr>
          </w:p>
        </w:tc>
      </w:tr>
      <w:tr w:rsidR="00D30E34" w:rsidRPr="00D30E34" w:rsidTr="00D30E34">
        <w:trPr>
          <w:jc w:val="center"/>
        </w:trPr>
        <w:tc>
          <w:tcPr>
            <w:tcW w:w="2989" w:type="dxa"/>
            <w:shd w:val="clear" w:color="auto" w:fill="FFFFFF"/>
          </w:tcPr>
          <w:p w:rsidR="00D30E34" w:rsidRPr="00D30E34" w:rsidRDefault="00D30E34" w:rsidP="00D30E34">
            <w:pPr>
              <w:spacing w:line="360" w:lineRule="auto"/>
              <w:outlineLvl w:val="1"/>
              <w:rPr>
                <w:rFonts w:eastAsia="Calibri" w:cs="Arial"/>
                <w:i/>
                <w:sz w:val="20"/>
                <w:szCs w:val="20"/>
              </w:rPr>
            </w:pPr>
            <w:r w:rsidRPr="00D30E34">
              <w:rPr>
                <w:rFonts w:eastAsia="Calibri" w:cs="Arial"/>
                <w:i/>
                <w:sz w:val="20"/>
                <w:szCs w:val="20"/>
              </w:rPr>
              <w:t>Probabilities</w:t>
            </w:r>
          </w:p>
        </w:tc>
        <w:tc>
          <w:tcPr>
            <w:tcW w:w="3240" w:type="dxa"/>
            <w:shd w:val="clear" w:color="auto" w:fill="FFFFFF"/>
          </w:tcPr>
          <w:p w:rsidR="00D30E34" w:rsidRPr="00D30E34" w:rsidRDefault="00D30E34" w:rsidP="00D30E34">
            <w:pPr>
              <w:spacing w:line="360" w:lineRule="auto"/>
              <w:jc w:val="center"/>
              <w:outlineLvl w:val="1"/>
              <w:rPr>
                <w:rFonts w:eastAsia="Calibri" w:cs="Arial"/>
                <w:sz w:val="20"/>
                <w:szCs w:val="20"/>
              </w:rPr>
            </w:pPr>
          </w:p>
        </w:tc>
        <w:tc>
          <w:tcPr>
            <w:tcW w:w="3014" w:type="dxa"/>
            <w:shd w:val="clear" w:color="auto" w:fill="FFFFFF"/>
          </w:tcPr>
          <w:p w:rsidR="00D30E34" w:rsidRPr="00D30E34" w:rsidRDefault="00D30E34" w:rsidP="00D30E34">
            <w:pPr>
              <w:spacing w:line="360" w:lineRule="auto"/>
              <w:jc w:val="center"/>
              <w:outlineLvl w:val="1"/>
              <w:rPr>
                <w:rFonts w:eastAsia="Calibri" w:cs="Arial"/>
                <w:sz w:val="20"/>
                <w:szCs w:val="20"/>
              </w:rPr>
            </w:pP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Prevalence of LTBI (per 100,000)</w:t>
            </w:r>
          </w:p>
        </w:tc>
        <w:tc>
          <w:tcPr>
            <w:tcW w:w="3240" w:type="dxa"/>
          </w:tcPr>
          <w:p w:rsidR="00D30E34" w:rsidRPr="00D30E34" w:rsidRDefault="00D30E34" w:rsidP="00D30E34">
            <w:pPr>
              <w:spacing w:line="360" w:lineRule="auto"/>
              <w:jc w:val="center"/>
              <w:outlineLvl w:val="1"/>
              <w:rPr>
                <w:rFonts w:eastAsia="Calibri" w:cs="Arial"/>
                <w:sz w:val="20"/>
                <w:szCs w:val="20"/>
              </w:rPr>
            </w:pPr>
            <w:bookmarkStart w:id="24" w:name="OLE_LINK1"/>
            <w:r w:rsidRPr="00D30E34">
              <w:rPr>
                <w:rFonts w:eastAsia="Calibri" w:cs="Arial"/>
                <w:sz w:val="20"/>
                <w:szCs w:val="20"/>
              </w:rPr>
              <w:t>0-50: 0.03</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50-150: 0.13</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150-250: 0.2</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250-350: 0.3</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&gt;350: 0.3</w:t>
            </w:r>
            <w:bookmarkEnd w:id="24"/>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&lt;Refman&gt;&lt;Cite&gt;&lt;Author&gt;Pareek&lt;/Author&gt;&lt;Year&gt;2011&lt;/Year&gt;&lt;RecNum&gt;187&lt;/RecNum&gt;&lt;IDText&gt;Tuberculosis screening of migrants to low-burden nations: insights from evaluation of UK practice&lt;/IDText&gt;&lt;MDL Ref_Type="Journal"&gt;&lt;Ref_Type&gt;Journal&lt;/Ref_Type&gt;&lt;Ref_ID&gt;187&lt;/Ref_ID&gt;&lt;Title_Primary&gt;Tuberculosis screening of migrants to low-burden nations: insights from evaluation of UK practice&lt;/Title_Primary&gt;&lt;Authors_Primary&gt;Pareek,M.&lt;/Authors_Primary&gt;&lt;Authors_Primary&gt;Abubakar,I.&lt;/Authors_Primary&gt;&lt;Authors_Primary&gt;White,P.J.&lt;/Authors_Primary&gt;&lt;Authors_Primary&gt;Garnett,G.P.&lt;/Authors_Primary&gt;&lt;Authors_Primary&gt;Lalvani,A.&lt;/Authors_Primary&gt;&lt;Date_Primary&gt;2011/5&lt;/Date_Primary&gt;&lt;Keywords&gt;Adolescent&lt;/Keywords&gt;&lt;Keywords&gt;Adult&lt;/Keywords&gt;&lt;Keywords&gt;article&lt;/Keywords&gt;&lt;Keywords&gt;diagnosis&lt;/Keywords&gt;&lt;Keywords&gt;diagnostic imaging&lt;/Keywords&gt;&lt;Keywords&gt;Emigrants and Immigrants&lt;/Keywords&gt;&lt;Keywords&gt;epidemiology&lt;/Keywords&gt;&lt;Keywords&gt;Humans&lt;/Keywords&gt;&lt;Keywords&gt;Incidence&lt;/Keywords&gt;&lt;Keywords&gt;infection&lt;/Keywords&gt;&lt;Keywords&gt;Latent Tuberculosis&lt;/Keywords&gt;&lt;Keywords&gt;London&lt;/Keywords&gt;&lt;Keywords&gt;Lung&lt;/Keywords&gt;&lt;Keywords&gt;Mass Screening&lt;/Keywords&gt;&lt;Keywords&gt;methods&lt;/Keywords&gt;&lt;Keywords&gt;migrant&lt;/Keywords&gt;&lt;Keywords&gt;Primary Health Care&lt;/Keywords&gt;&lt;Keywords&gt;Radiography&lt;/Keywords&gt;&lt;Keywords&gt;screening&lt;/Keywords&gt;&lt;Keywords&gt;statistics &amp;amp; numerical data&lt;/Keywords&gt;&lt;Keywords&gt;Surveys and Questionnaires&lt;/Keywords&gt;&lt;Keywords&gt;Tuberculin Test&lt;/Keywords&gt;&lt;Keywords&gt;Tuberculosis&lt;/Keywords&gt;&lt;Keywords&gt;United Kingdom&lt;/Keywords&gt;&lt;Keywords&gt;Young Adult&lt;/Keywords&gt;&lt;Reprint&gt;Not in File&lt;/Reprint&gt;&lt;Start_Page&gt;1175&lt;/Start_Page&gt;&lt;End_Page&gt;1182&lt;/End_Page&gt;&lt;Periodical&gt;Eur Respir J&lt;/Periodical&gt;&lt;Volume&gt;37&lt;/Volume&gt;&lt;Issue&gt;5&lt;/Issue&gt;&lt;Misc_3&gt;09031936.00105810 [pii];10.1183/09031936.00105810 [doi]&lt;/Misc_3&gt;&lt;Address&gt;Tuberculosis Research Unit, Dept of Respiratory Medicine, National Heart and Lung Institute, Imperial College London, London, UK&lt;/Address&gt;&lt;Web_URL&gt;PM:21071474&lt;/Web_URL&gt;&lt;ZZ_JournalStdAbbrev&gt;&lt;f name="System"&gt;Eur Respir J&lt;/f&gt;&lt;/ZZ_JournalStdAbbrev&gt;&lt;ZZ_WorkformID&gt;1&lt;/ZZ_WorkformID&gt;&lt;/MDL&gt;&lt;/Cite&gt;&lt;/Refman&gt;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51</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Agree to LTBI screening</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0.325</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&lt;Refman&gt;&lt;Cite&gt;&lt;Author&gt;Stagg&lt;/Author&gt;&lt;Year&gt;2012&lt;/Year&gt;&lt;RecNum&gt;19&lt;/RecNum&gt;&lt;IDText&gt;Poor uptake of primary healthcare registration among recent entrants to the UK: a retrospective cohort study&lt;/IDText&gt;&lt;MDL Ref_Type="Journal"&gt;&lt;Ref_Type&gt;Journal&lt;/Ref_Type&gt;&lt;Ref_ID&gt;19&lt;/Ref_ID&gt;&lt;Title_Primary&gt;Poor uptake of primary healthcare registration among recent entrants to the UK: a retrospective cohort study&lt;/Title_Primary&gt;&lt;Authors_Primary&gt;Stagg,H.R.&lt;/Authors_Primary&gt;&lt;Authors_Primary&gt;Jones,J.&lt;/Authors_Primary&gt;&lt;Authors_Primary&gt;Bickler,G.&lt;/Authors_Primary&gt;&lt;Authors_Primary&gt;Abubakar,I.&lt;/Authors_Primary&gt;&lt;Date_Primary&gt;2012&lt;/Date_Primary&gt;&lt;Keywords&gt;article&lt;/Keywords&gt;&lt;Keywords&gt;asylum seeker&lt;/Keywords&gt;&lt;Keywords&gt;Cohort Studies&lt;/Keywords&gt;&lt;Keywords&gt;Europe&lt;/Keywords&gt;&lt;Keywords&gt;health&lt;/Keywords&gt;&lt;Keywords&gt;migrant&lt;/Keywords&gt;&lt;Keywords&gt;population&lt;/Keywords&gt;&lt;Keywords&gt;Public Health&lt;/Keywords&gt;&lt;Keywords&gt;risk&lt;/Keywords&gt;&lt;Keywords&gt;screening&lt;/Keywords&gt;&lt;Keywords&gt;Tuberculosis&lt;/Keywords&gt;&lt;Reprint&gt;Not in File&lt;/Reprint&gt;&lt;Periodical&gt;BMJ Open&lt;/Periodical&gt;&lt;Volume&gt;2&lt;/Volume&gt;&lt;Issue&gt;4&lt;/Issue&gt;&lt;User_Def_5&gt;PMC4400681&lt;/User_Def_5&gt;&lt;Misc_3&gt;bmjopen-2012-001453 [pii];10.1136/bmjopen-2012-001453 [doi]&lt;/Misc_3&gt;&lt;Address&gt;TB Section, Respiratory Diseases Department, Health Protection Services, Health Protection Agency, Colindale, UK&lt;/Address&gt;&lt;Web_URL&gt;PM:22869094&lt;/Web_URL&gt;&lt;ZZ_JournalStdAbbrev&gt;&lt;f name="System"&gt;BMJ Open&lt;/f&gt;&lt;/ZZ_JournalStdAbbrev&gt;&lt;ZZ_WorkformID&gt;1&lt;/ZZ_WorkformID&gt;&lt;/MDL&gt;&lt;/Cite&gt;&lt;/Refman&gt;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52</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IGRA (QFT-IT) sensitivity</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0.84</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Uniform(0.81, 0.87)</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&lt;Refman&gt;&lt;Cite&gt;&lt;Author&gt;Diel&lt;/Author&gt;&lt;Year&gt;2010&lt;/Year&gt;&lt;RecNum&gt;188&lt;/RecNum&gt;&lt;IDText&gt;Evidence-based comparison of commercial interferon-gamma release assays for detecting active TB: a metaanalysis&lt;/IDText&gt;&lt;MDL Ref_Type="Journal"&gt;&lt;Ref_Type&gt;Journal&lt;/Ref_Type&gt;&lt;Ref_ID&gt;188&lt;/Ref_ID&gt;&lt;Title_Primary&gt;Evidence-based comparison of commercial interferon-gamma release assays for detecting active TB: a metaanalysis&lt;/Title_Primary&gt;&lt;Authors_Primary&gt;Diel,R.&lt;/Authors_Primary&gt;&lt;Authors_Primary&gt;Loddenkemper,R.&lt;/Authors_Primary&gt;&lt;Authors_Primary&gt;Nienhaus,A.&lt;/Authors_Primary&gt;&lt;Date_Primary&gt;2010/4&lt;/Date_Primary&gt;&lt;Keywords&gt;article&lt;/Keywords&gt;&lt;Keywords&gt;blood&lt;/Keywords&gt;&lt;Keywords&gt;diagnosis&lt;/Keywords&gt;&lt;Keywords&gt;Diagnostic Tests,Routine&lt;/Keywords&gt;&lt;Keywords&gt;Evidence-Based Medicine&lt;/Keywords&gt;&lt;Keywords&gt;Germany&lt;/Keywords&gt;&lt;Keywords&gt;Humans&lt;/Keywords&gt;&lt;Keywords&gt;Interferon-gamma&lt;/Keywords&gt;&lt;Keywords&gt;methods&lt;/Keywords&gt;&lt;Keywords&gt;model&lt;/Keywords&gt;&lt;Keywords&gt;review&lt;/Keywords&gt;&lt;Keywords&gt;Sensitivity and Specificity&lt;/Keywords&gt;&lt;Keywords&gt;Tuberculin Test&lt;/Keywords&gt;&lt;Keywords&gt;Tuberculosis&lt;/Keywords&gt;&lt;Reprint&gt;Not in File&lt;/Reprint&gt;&lt;Start_Page&gt;952&lt;/Start_Page&gt;&lt;End_Page&gt;968&lt;/End_Page&gt;&lt;Periodical&gt;Chest&lt;/Periodical&gt;&lt;Volume&gt;137&lt;/Volume&gt;&lt;Issue&gt;4&lt;/Issue&gt;&lt;Misc_3&gt;10.1378/chest.09-2350 [pii];10.1378/chest.09-2350 [doi]&lt;/Misc_3&gt;&lt;Address&gt;Department of Pulmonary Medicine, Hannover Medical School (MHH), Carl-Neuberg-Strasse 1, 30625 Hannover, Germany. Diel.Roland@mh-hannover.de&lt;/Address&gt;&lt;Web_URL&gt;PM:20022968&lt;/Web_URL&gt;&lt;ZZ_JournalStdAbbrev&gt;&lt;f name="System"&gt;Chest&lt;/f&gt;&lt;/ZZ_JournalStdAbbrev&gt;&lt;ZZ_WorkformID&gt;1&lt;/ZZ_WorkformID&gt;&lt;/MDL&gt;&lt;/Cite&gt;&lt;/Refman&gt;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53</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IGRA (QFT-IT) specificity</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0.99 (0.98-1.00)</w:t>
            </w:r>
          </w:p>
          <w:p w:rsidR="00D30E34" w:rsidRPr="00D30E34" w:rsidRDefault="00D30E34" w:rsidP="00D30E34">
            <w:pPr>
              <w:spacing w:line="360" w:lineRule="auto"/>
              <w:jc w:val="center"/>
              <w:outlineLvl w:val="1"/>
              <w:rPr>
                <w:rFonts w:eastAsia="Calibri" w:cs="Arial"/>
                <w:sz w:val="20"/>
                <w:szCs w:val="20"/>
              </w:rPr>
            </w:pP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&lt;Refman&gt;&lt;Cite&gt;&lt;Author&gt;Diel&lt;/Author&gt;&lt;Year&gt;2010&lt;/Year&gt;&lt;RecNum&gt;188&lt;/RecNum&gt;&lt;IDText&gt;Evidence-based comparison of commercial interferon-gamma release assays for detecting active TB: a metaanalysis&lt;/IDText&gt;&lt;MDL Ref_Type="Journal"&gt;&lt;Ref_Type&gt;Journal&lt;/Ref_Type&gt;&lt;Ref_ID&gt;188&lt;/Ref_ID&gt;&lt;Title_Primary&gt;Evidence-based comparison of commercial interferon-gamma release assays for detecting active TB: a metaanalysis&lt;/Title_Primary&gt;&lt;Authors_Primary&gt;Diel,R.&lt;/Authors_Primary&gt;&lt;Authors_Primary&gt;Loddenkemper,R.&lt;/Authors_Primary&gt;&lt;Authors_Primary&gt;Nienhaus,A.&lt;/Authors_Primary&gt;&lt;Date_Primary&gt;2010/4&lt;/Date_Primary&gt;&lt;Keywords&gt;article&lt;/Keywords&gt;&lt;Keywords&gt;blood&lt;/Keywords&gt;&lt;Keywords&gt;diagnosis&lt;/Keywords&gt;&lt;Keywords&gt;Diagnostic Tests,Routine&lt;/Keywords&gt;&lt;Keywords&gt;Evidence-Based Medicine&lt;/Keywords&gt;&lt;Keywords&gt;Germany&lt;/Keywords&gt;&lt;Keywords&gt;Humans&lt;/Keywords&gt;&lt;Keywords&gt;Interferon-gamma&lt;/Keywords&gt;&lt;Keywords&gt;methods&lt;/Keywords&gt;&lt;Keywords&gt;model&lt;/Keywords&gt;&lt;Keywords&gt;review&lt;/Keywords&gt;&lt;Keywords&gt;Sensitivity and Specificity&lt;/Keywords&gt;&lt;Keywords&gt;Tuberculin Test&lt;/Keywords&gt;&lt;Keywords&gt;Tuberculosis&lt;/Keywords&gt;&lt;Reprint&gt;Not in File&lt;/Reprint&gt;&lt;Start_Page&gt;952&lt;/Start_Page&gt;&lt;End_Page&gt;968&lt;/End_Page&gt;&lt;Periodical&gt;Chest&lt;/Periodical&gt;&lt;Volume&gt;137&lt;/Volume&gt;&lt;Issue&gt;4&lt;/Issue&gt;&lt;Misc_3&gt;10.1378/chest.09-2350 [pii];10.1378/chest.09-2350 [doi]&lt;/Misc_3&gt;&lt;Address&gt;Department of Pulmonary Medicine, Hannover Medical School (MHH), Carl-Neuberg-Strasse 1, 30625 Hannover, Germany. Diel.Roland@mh-hannover.de&lt;/Address&gt;&lt;Web_URL&gt;PM:20022968&lt;/Web_URL&gt;&lt;ZZ_JournalStdAbbrev&gt;&lt;f name="System"&gt;Chest&lt;/f&gt;&lt;/ZZ_JournalStdAbbrev&gt;&lt;ZZ_WorkformID&gt;1&lt;/ZZ_WorkformID&gt;&lt;/MDL&gt;&lt;/Cite&gt;&lt;/Refman&gt;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53</w:t>
            </w:r>
            <w:r w:rsidRPr="00D30E34">
              <w:rPr>
                <w:rFonts w:eastAsia="Calibri" w:cs="Arial"/>
                <w:sz w:val="20"/>
                <w:szCs w:val="20"/>
              </w:rPr>
              <w:fldChar w:fldCharType="end"/>
            </w:r>
          </w:p>
        </w:tc>
      </w:tr>
      <w:tr w:rsidR="00D30E34" w:rsidRPr="00D30E34" w:rsidTr="002B425C">
        <w:trPr>
          <w:jc w:val="center"/>
        </w:trPr>
        <w:tc>
          <w:tcPr>
            <w:tcW w:w="2989"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Initiation rate for LTBI treatment</w:t>
            </w:r>
          </w:p>
        </w:tc>
        <w:tc>
          <w:tcPr>
            <w:tcW w:w="3240"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0.97</w:t>
            </w:r>
          </w:p>
        </w:tc>
        <w:tc>
          <w:tcPr>
            <w:tcW w:w="3014"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PFJlZm1hbj48Q2l0ZT48QXV0aG9yPlNhbmRncmVuPC9BdXRob3I+PFllYXI+MjAxNjwvWWVhcj48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=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PFJlZm1hbj48Q2l0ZT48QXV0aG9yPlNhbmRncmVuPC9BdXRob3I+PFllYXI+MjAxNjwvWWVhcj48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=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54</w:t>
            </w:r>
            <w:r w:rsidRPr="00D30E34">
              <w:rPr>
                <w:rFonts w:eastAsia="Calibri" w:cs="Arial"/>
                <w:sz w:val="20"/>
                <w:szCs w:val="20"/>
              </w:rPr>
              <w:fldChar w:fldCharType="end"/>
            </w:r>
          </w:p>
        </w:tc>
      </w:tr>
      <w:tr w:rsidR="00D30E34" w:rsidRPr="00D30E34" w:rsidTr="002B425C">
        <w:trPr>
          <w:jc w:val="center"/>
        </w:trPr>
        <w:tc>
          <w:tcPr>
            <w:tcW w:w="2989" w:type="dxa"/>
            <w:tcBorders>
              <w:bottom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Probability of hepatotoxic adverse reaction to isoniazid</w:t>
            </w:r>
          </w:p>
        </w:tc>
        <w:tc>
          <w:tcPr>
            <w:tcW w:w="3240"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0.00245 Uniform(0.0008, 0.00687)</w:t>
            </w:r>
          </w:p>
        </w:tc>
        <w:tc>
          <w:tcPr>
            <w:tcW w:w="3014"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PFJlZm1hbj48Q2l0ZT48QXV0aG9yPlNhZGF0c2FmYXZpPC9BdXRob3I+PFllYXI+MjAxMzwvWWVh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PFJlZm1hbj48Q2l0ZT48QXV0aG9yPlNhZGF0c2FmYXZpPC9BdXRob3I+PFllYXI+MjAxMzwvWWVh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55</w:t>
            </w:r>
            <w:r w:rsidRPr="00D30E34">
              <w:rPr>
                <w:rFonts w:eastAsia="Calibri" w:cs="Arial"/>
                <w:sz w:val="20"/>
                <w:szCs w:val="20"/>
              </w:rPr>
              <w:fldChar w:fldCharType="end"/>
            </w:r>
          </w:p>
        </w:tc>
      </w:tr>
      <w:tr w:rsidR="00D30E34" w:rsidRPr="00D30E34" w:rsidTr="002B425C">
        <w:trPr>
          <w:jc w:val="center"/>
        </w:trPr>
        <w:tc>
          <w:tcPr>
            <w:tcW w:w="2989" w:type="dxa"/>
            <w:tcBorders>
              <w:bottom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Probability of non-hepatic minor adverse events</w:t>
            </w:r>
          </w:p>
        </w:tc>
        <w:tc>
          <w:tcPr>
            <w:tcW w:w="3240"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0.143</w:t>
            </w:r>
          </w:p>
        </w:tc>
        <w:tc>
          <w:tcPr>
            <w:tcW w:w="3014"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PFJlZm1hbj48Q2l0ZT48QXV0aG9yPlNhZGF0c2FmYXZpPC9BdXRob3I+PFllYXI+MjAxMzwvWWVh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PFJlZm1hbj48Q2l0ZT48QXV0aG9yPlNhZGF0c2FmYXZpPC9BdXRob3I+PFllYXI+MjAxMzwvWWVh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55</w:t>
            </w:r>
            <w:r w:rsidRPr="00D30E34">
              <w:rPr>
                <w:rFonts w:eastAsia="Calibri" w:cs="Arial"/>
                <w:sz w:val="20"/>
                <w:szCs w:val="20"/>
              </w:rPr>
              <w:fldChar w:fldCharType="end"/>
            </w:r>
          </w:p>
        </w:tc>
      </w:tr>
      <w:tr w:rsidR="00D30E34" w:rsidRPr="00D30E34" w:rsidTr="002B425C">
        <w:trPr>
          <w:jc w:val="center"/>
        </w:trPr>
        <w:tc>
          <w:tcPr>
            <w:tcW w:w="2989" w:type="dxa"/>
            <w:tcBorders>
              <w:bottom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Active TB case fatality rate</w:t>
            </w:r>
          </w:p>
        </w:tc>
        <w:tc>
          <w:tcPr>
            <w:tcW w:w="3240"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15-44</w:t>
            </w:r>
            <w:r w:rsidRPr="00D30E34">
              <w:rPr>
                <w:rFonts w:eastAsia="Calibri" w:cs="Arial"/>
                <w:b/>
                <w:sz w:val="20"/>
                <w:szCs w:val="20"/>
              </w:rPr>
              <w:t>:</w:t>
            </w:r>
            <w:r w:rsidRPr="00D30E34">
              <w:rPr>
                <w:rFonts w:eastAsia="Calibri" w:cs="Arial"/>
                <w:sz w:val="20"/>
                <w:szCs w:val="20"/>
              </w:rPr>
              <w:t xml:space="preserve"> 0.0018 Beta(1,564)</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45-64: 0.0476 Beta(125,2500) &gt;64: 0.1755 Beta(413,1940)</w:t>
            </w:r>
          </w:p>
        </w:tc>
        <w:tc>
          <w:tcPr>
            <w:tcW w:w="3014" w:type="dxa"/>
            <w:tcBorders>
              <w:bottom w:val="single" w:sz="4" w:space="0" w:color="auto"/>
            </w:tcBorders>
          </w:tcPr>
          <w:p w:rsidR="00D30E34" w:rsidRPr="00D30E34" w:rsidRDefault="00D30E34" w:rsidP="00D30E34">
            <w:pPr>
              <w:spacing w:line="360" w:lineRule="auto"/>
              <w:jc w:val="center"/>
              <w:outlineLvl w:val="1"/>
              <w:rPr>
                <w:rFonts w:eastAsia="Calibri" w:cs="Arial"/>
                <w:noProof/>
                <w:sz w:val="20"/>
                <w:szCs w:val="20"/>
              </w:rPr>
            </w:pPr>
            <w:r w:rsidRPr="00D30E34">
              <w:rPr>
                <w:rFonts w:eastAsia="Calibri" w:cs="Arial"/>
                <w:noProof/>
                <w:sz w:val="20"/>
                <w:szCs w:val="20"/>
              </w:rPr>
              <w:fldChar w:fldCharType="begin"/>
            </w:r>
            <w:r w:rsidRPr="00D30E34">
              <w:rPr>
                <w:rFonts w:eastAsia="Calibri" w:cs="Arial"/>
                <w:noProof/>
                <w:sz w:val="20"/>
                <w:szCs w:val="20"/>
              </w:rPr>
              <w:instrText xml:space="preserve"> ADDIN REFMGR.CITE &lt;Refman&gt;&lt;Cite&gt;&lt;Author&gt;Crofts&lt;/Author&gt;&lt;Year&gt;2008&lt;/Year&gt;&lt;RecNum&gt;192&lt;/RecNum&gt;&lt;IDText&gt;Estimating tuberculosis case mortality in England and Wales, 2001-2002&lt;/IDText&gt;&lt;MDL Ref_Type="Journal"&gt;&lt;Ref_Type&gt;Journal&lt;/Ref_Type&gt;&lt;Ref_ID&gt;192&lt;/Ref_ID&gt;&lt;Title_Primary&gt;Estimating tuberculosis case mortality in England and Wales, 2001-2002&lt;/Title_Primary&gt;&lt;Authors_Primary&gt;Crofts,J.P.&lt;/Authors_Primary&gt;&lt;Authors_Primary&gt;Pebody,R.&lt;/Authors_Primary&gt;&lt;Authors_Primary&gt;Grant,A.&lt;/Authors_Primary&gt;&lt;Authors_Primary&gt;Watson,J.M.&lt;/Authors_Primary&gt;&lt;Authors_Primary&gt;Abubakar,I.&lt;/Authors_Primary&gt;&lt;Date_Primary&gt;2008/3&lt;/Date_Primary&gt;&lt;Keywords&gt;Adolescent&lt;/Keywords&gt;&lt;Keywords&gt;Adult&lt;/Keywords&gt;&lt;Keywords&gt;Aged&lt;/Keywords&gt;&lt;Keywords&gt;article&lt;/Keywords&gt;&lt;Keywords&gt;Child&lt;/Keywords&gt;&lt;Keywords&gt;Child,Preschool&lt;/Keywords&gt;&lt;Keywords&gt;England&lt;/Keywords&gt;&lt;Keywords&gt;epidemiology&lt;/Keywords&gt;&lt;Keywords&gt;Female&lt;/Keywords&gt;&lt;Keywords&gt;health&lt;/Keywords&gt;&lt;Keywords&gt;health service&lt;/Keywords&gt;&lt;Keywords&gt;Humans&lt;/Keywords&gt;&lt;Keywords&gt;Infant&lt;/Keywords&gt;&lt;Keywords&gt;infection&lt;/Keywords&gt;&lt;Keywords&gt;London&lt;/Keywords&gt;&lt;Keywords&gt;Male&lt;/Keywords&gt;&lt;Keywords&gt;methods&lt;/Keywords&gt;&lt;Keywords&gt;Middle Aged&lt;/Keywords&gt;&lt;Keywords&gt;Models,Statistical&lt;/Keywords&gt;&lt;Keywords&gt;mortality&lt;/Keywords&gt;&lt;Keywords&gt;Survival Analysis&lt;/Keywords&gt;&lt;Keywords&gt;Treatment Outcome&lt;/Keywords&gt;&lt;Keywords&gt;Tuberculosis&lt;/Keywords&gt;&lt;Keywords&gt;Wales&lt;/Keywords&gt;&lt;Reprint&gt;Not in File&lt;/Reprint&gt;&lt;Start_Page&gt;308&lt;/Start_Page&gt;&lt;End_Page&gt;313&lt;/End_Page&gt;&lt;Periodical&gt;Int J Tuberc Lung Dis&lt;/Periodical&gt;&lt;Volume&gt;12&lt;/Volume&gt;&lt;Issue&gt;3&lt;/Issue&gt;&lt;Address&gt;Department of Respiratory Diseases, Health Protection Agency Centre for Infections, London, UK&lt;/Address&gt;&lt;Web_URL&gt;PM:18284837&lt;/Web_URL&gt;&lt;ZZ_JournalStdAbbrev&gt;&lt;f name="System"&gt;Int J Tuberc Lung Dis&lt;/f&gt;&lt;/ZZ_JournalStdAbbrev&gt;&lt;ZZ_WorkformID&gt;1&lt;/ZZ_WorkformID&gt;&lt;/MDL&gt;&lt;/Cite&gt;&lt;/Refman&gt;</w:instrText>
            </w:r>
            <w:r w:rsidRPr="00D30E34">
              <w:rPr>
                <w:rFonts w:eastAsia="Calibri" w:cs="Arial"/>
                <w:noProof/>
                <w:sz w:val="20"/>
                <w:szCs w:val="20"/>
              </w:rPr>
              <w:fldChar w:fldCharType="separate"/>
            </w:r>
            <w:r w:rsidRPr="00D30E34">
              <w:rPr>
                <w:rFonts w:eastAsia="Calibri" w:cs="Arial"/>
                <w:noProof/>
                <w:sz w:val="20"/>
                <w:szCs w:val="20"/>
                <w:vertAlign w:val="superscript"/>
              </w:rPr>
              <w:t>56</w:t>
            </w:r>
            <w:r w:rsidRPr="00D30E34">
              <w:rPr>
                <w:rFonts w:eastAsia="Calibri" w:cs="Arial"/>
                <w:noProof/>
                <w:sz w:val="20"/>
                <w:szCs w:val="20"/>
              </w:rPr>
              <w:fldChar w:fldCharType="end"/>
            </w:r>
          </w:p>
        </w:tc>
      </w:tr>
    </w:tbl>
    <w:p w:rsidR="00D30E34" w:rsidRPr="00D30E34" w:rsidRDefault="00D30E34" w:rsidP="00D30E34">
      <w:pPr>
        <w:widowControl w:val="0"/>
        <w:autoSpaceDE w:val="0"/>
        <w:autoSpaceDN w:val="0"/>
        <w:adjustRightInd w:val="0"/>
        <w:ind w:left="480" w:hanging="480"/>
        <w:outlineLvl w:val="1"/>
        <w:rPr>
          <w:rFonts w:eastAsia="Calibri" w:cs="Arial"/>
        </w:rPr>
      </w:pPr>
    </w:p>
    <w:p w:rsidR="00D30E34" w:rsidRPr="00D30E34" w:rsidRDefault="00D30E34" w:rsidP="00D30E34">
      <w:pPr>
        <w:spacing w:after="160" w:line="259" w:lineRule="auto"/>
        <w:rPr>
          <w:rFonts w:eastAsia="Calibri" w:cs="Arial"/>
          <w:b/>
        </w:rPr>
      </w:pPr>
      <w:bookmarkStart w:id="25" w:name="_Table_18:_Economic"/>
      <w:bookmarkStart w:id="26" w:name="_Toc518401712"/>
      <w:bookmarkEnd w:id="25"/>
      <w:r w:rsidRPr="00D30E34">
        <w:rPr>
          <w:rFonts w:eastAsia="Calibri" w:cs="Arial"/>
        </w:rPr>
        <w:br w:type="page"/>
      </w:r>
    </w:p>
    <w:p w:rsidR="00D30E34" w:rsidRPr="00D30E34" w:rsidRDefault="00D30E34" w:rsidP="00D30E34">
      <w:pPr>
        <w:spacing w:line="360" w:lineRule="auto"/>
        <w:outlineLvl w:val="2"/>
        <w:rPr>
          <w:rFonts w:eastAsia="Calibri" w:cs="Arial"/>
          <w:b/>
        </w:rPr>
      </w:pPr>
      <w:r w:rsidRPr="00D30E34">
        <w:rPr>
          <w:rFonts w:eastAsia="Calibri" w:cs="Arial"/>
          <w:b/>
        </w:rPr>
        <w:lastRenderedPageBreak/>
        <w:t>Table 16: Economic parameters</w:t>
      </w:r>
      <w:bookmarkEnd w:id="26"/>
    </w:p>
    <w:tbl>
      <w:tblPr>
        <w:tblW w:w="0" w:type="auto"/>
        <w:tblLook w:val="04A0" w:firstRow="1" w:lastRow="0" w:firstColumn="1" w:lastColumn="0" w:noHBand="0" w:noVBand="1"/>
      </w:tblPr>
      <w:tblGrid>
        <w:gridCol w:w="3567"/>
        <w:gridCol w:w="3246"/>
        <w:gridCol w:w="2429"/>
      </w:tblGrid>
      <w:tr w:rsidR="00D30E34" w:rsidRPr="00D30E34" w:rsidTr="002B425C">
        <w:tc>
          <w:tcPr>
            <w:tcW w:w="3567" w:type="dxa"/>
            <w:tcBorders>
              <w:top w:val="single" w:sz="4" w:space="0" w:color="auto"/>
              <w:bottom w:val="single" w:sz="4" w:space="0" w:color="auto"/>
            </w:tcBorders>
          </w:tcPr>
          <w:p w:rsidR="00D30E34" w:rsidRPr="00D30E34" w:rsidRDefault="00D30E34" w:rsidP="00D30E34">
            <w:pPr>
              <w:spacing w:line="360" w:lineRule="auto"/>
              <w:outlineLvl w:val="1"/>
              <w:rPr>
                <w:rFonts w:eastAsia="Calibri" w:cs="Arial"/>
                <w:b/>
                <w:sz w:val="20"/>
                <w:szCs w:val="20"/>
              </w:rPr>
            </w:pPr>
            <w:r w:rsidRPr="00D30E34">
              <w:rPr>
                <w:rFonts w:eastAsia="Calibri" w:cs="Arial"/>
                <w:b/>
                <w:sz w:val="20"/>
                <w:szCs w:val="20"/>
              </w:rPr>
              <w:t>Parameter</w:t>
            </w:r>
          </w:p>
        </w:tc>
        <w:tc>
          <w:tcPr>
            <w:tcW w:w="3246" w:type="dxa"/>
            <w:tcBorders>
              <w:top w:val="single" w:sz="4" w:space="0" w:color="auto"/>
              <w:bottom w:val="single" w:sz="4" w:space="0" w:color="auto"/>
            </w:tcBorders>
          </w:tcPr>
          <w:p w:rsidR="00D30E34" w:rsidRPr="00D30E34" w:rsidRDefault="00D30E34" w:rsidP="00D30E34">
            <w:pPr>
              <w:spacing w:line="360" w:lineRule="auto"/>
              <w:outlineLvl w:val="1"/>
              <w:rPr>
                <w:rFonts w:eastAsia="Calibri" w:cs="Arial"/>
                <w:b/>
                <w:sz w:val="20"/>
                <w:szCs w:val="20"/>
              </w:rPr>
            </w:pPr>
            <w:r w:rsidRPr="00D30E34">
              <w:rPr>
                <w:rFonts w:eastAsia="Calibri" w:cs="Arial"/>
                <w:b/>
                <w:sz w:val="20"/>
                <w:szCs w:val="20"/>
              </w:rPr>
              <w:t>Value</w:t>
            </w:r>
          </w:p>
        </w:tc>
        <w:tc>
          <w:tcPr>
            <w:tcW w:w="2429" w:type="dxa"/>
            <w:tcBorders>
              <w:top w:val="single" w:sz="4" w:space="0" w:color="auto"/>
              <w:bottom w:val="single" w:sz="4" w:space="0" w:color="auto"/>
            </w:tcBorders>
          </w:tcPr>
          <w:p w:rsidR="00D30E34" w:rsidRPr="00D30E34" w:rsidRDefault="00D30E34" w:rsidP="00D30E34">
            <w:pPr>
              <w:spacing w:line="360" w:lineRule="auto"/>
              <w:outlineLvl w:val="1"/>
              <w:rPr>
                <w:rFonts w:eastAsia="Calibri" w:cs="Arial"/>
                <w:b/>
                <w:sz w:val="20"/>
                <w:szCs w:val="20"/>
              </w:rPr>
            </w:pPr>
            <w:r w:rsidRPr="00D30E34">
              <w:rPr>
                <w:rFonts w:eastAsia="Calibri" w:cs="Arial"/>
                <w:b/>
                <w:sz w:val="20"/>
                <w:szCs w:val="20"/>
              </w:rPr>
              <w:t>Source/Reference</w:t>
            </w:r>
          </w:p>
        </w:tc>
      </w:tr>
      <w:tr w:rsidR="00D30E34" w:rsidRPr="00D30E34" w:rsidTr="002B425C">
        <w:tc>
          <w:tcPr>
            <w:tcW w:w="3567" w:type="dxa"/>
            <w:tcBorders>
              <w:top w:val="single" w:sz="4" w:space="0" w:color="auto"/>
            </w:tcBorders>
          </w:tcPr>
          <w:p w:rsidR="00D30E34" w:rsidRPr="00D30E34" w:rsidRDefault="00D30E34" w:rsidP="00D30E34">
            <w:pPr>
              <w:spacing w:line="360" w:lineRule="auto"/>
              <w:jc w:val="both"/>
              <w:outlineLvl w:val="1"/>
              <w:rPr>
                <w:rFonts w:eastAsia="Calibri" w:cs="Arial"/>
                <w:sz w:val="20"/>
                <w:szCs w:val="20"/>
              </w:rPr>
            </w:pPr>
            <w:r w:rsidRPr="00D30E34">
              <w:rPr>
                <w:rFonts w:eastAsia="Calibri" w:cs="Arial"/>
                <w:sz w:val="20"/>
                <w:szCs w:val="20"/>
              </w:rPr>
              <w:t>Discount rate</w:t>
            </w:r>
          </w:p>
        </w:tc>
        <w:tc>
          <w:tcPr>
            <w:tcW w:w="3246" w:type="dxa"/>
            <w:tcBorders>
              <w:top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3.5% p.a.</w:t>
            </w:r>
          </w:p>
        </w:tc>
        <w:tc>
          <w:tcPr>
            <w:tcW w:w="2429" w:type="dxa"/>
            <w:tcBorders>
              <w:top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&lt;Refman&gt;&lt;Cite&gt;&lt;Author&gt;Raftery&lt;/Author&gt;&lt;Year&gt;2014&lt;/Year&gt;&lt;RecNum&gt;7&lt;/RecNum&gt;&lt;IDText&gt;Health economic evaluation in England&lt;/IDText&gt;&lt;MDL Ref_Type="Journal"&gt;&lt;Ref_Type&gt;Journal&lt;/Ref_Type&gt;&lt;Ref_ID&gt;7&lt;/Ref_ID&gt;&lt;Title_Primary&gt;Health economic evaluation in England&lt;/Title_Primary&gt;&lt;Authors_Primary&gt;Raftery,J.&lt;/Authors_Primary&gt;&lt;Date_Primary&gt;2014&lt;/Date_Primary&gt;&lt;Keywords&gt;article&lt;/Keywords&gt;&lt;Keywords&gt;Cost-Benefit Analysis&lt;/Keywords&gt;&lt;Keywords&gt;Cross-Cultural Comparison&lt;/Keywords&gt;&lt;Keywords&gt;Delivery of Health Care&lt;/Keywords&gt;&lt;Keywords&gt;economics&lt;/Keywords&gt;&lt;Keywords&gt;England&lt;/Keywords&gt;&lt;Keywords&gt;Forecasting&lt;/Keywords&gt;&lt;Keywords&gt;health&lt;/Keywords&gt;&lt;Keywords&gt;Health Expenditures&lt;/Keywords&gt;&lt;Keywords&gt;Health Policy&lt;/Keywords&gt;&lt;Keywords&gt;health service&lt;/Keywords&gt;&lt;Keywords&gt;Humans&lt;/Keywords&gt;&lt;Keywords&gt;methods&lt;/Keywords&gt;&lt;Keywords&gt;patient&lt;/Keywords&gt;&lt;Keywords&gt;risk&lt;/Keywords&gt;&lt;Keywords&gt;screening&lt;/Keywords&gt;&lt;Keywords&gt;State Medicine&lt;/Keywords&gt;&lt;Keywords&gt;trends&lt;/Keywords&gt;&lt;Keywords&gt;United Kingdom&lt;/Keywords&gt;&lt;Keywords&gt;university&lt;/Keywords&gt;&lt;Keywords&gt;vaccination&lt;/Keywords&gt;&lt;Reprint&gt;Not in File&lt;/Reprint&gt;&lt;Start_Page&gt;367&lt;/Start_Page&gt;&lt;End_Page&gt;374&lt;/End_Page&gt;&lt;Periodical&gt;Z Evid.Fortbild.Qual.Gesundhwes.&lt;/Periodical&gt;&lt;Volume&gt;108&lt;/Volume&gt;&lt;Issue&gt;7&lt;/Issue&gt;&lt;Misc_3&gt;S1865-9217(14)00175-5 [pii];10.1016/j.zefq.2014.08.019 [doi]&lt;/Misc_3&gt;&lt;Address&gt;University of Southampton, Southampton, United Kingdom. Electronic address: J.P.Raftery@soton.ac.uk&lt;/Address&gt;&lt;Web_URL&gt;PM:25444294&lt;/Web_URL&gt;&lt;ZZ_JournalStdAbbrev&gt;&lt;f name="System"&gt;Z Evid.Fortbild.Qual.Gesundhwes.&lt;/f&gt;&lt;/ZZ_JournalStdAbbrev&gt;&lt;ZZ_WorkformID&gt;1&lt;/ZZ_WorkformID&gt;&lt;/MDL&gt;&lt;/Cite&gt;&lt;/Refman&gt;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57</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i/>
                <w:sz w:val="20"/>
                <w:szCs w:val="20"/>
              </w:rPr>
            </w:pPr>
            <w:r w:rsidRPr="00D30E34">
              <w:rPr>
                <w:rFonts w:eastAsia="Calibri" w:cs="Arial"/>
                <w:i/>
                <w:sz w:val="20"/>
                <w:szCs w:val="20"/>
              </w:rPr>
              <w:t>Costs (£)</w:t>
            </w:r>
          </w:p>
        </w:tc>
        <w:tc>
          <w:tcPr>
            <w:tcW w:w="3246" w:type="dxa"/>
          </w:tcPr>
          <w:p w:rsidR="00D30E34" w:rsidRPr="00D30E34" w:rsidRDefault="00D30E34" w:rsidP="00D30E34">
            <w:pPr>
              <w:spacing w:line="360" w:lineRule="auto"/>
              <w:jc w:val="center"/>
              <w:outlineLvl w:val="1"/>
              <w:rPr>
                <w:rFonts w:eastAsia="Calibri" w:cs="Arial"/>
                <w:sz w:val="20"/>
                <w:szCs w:val="20"/>
                <w:highlight w:val="yellow"/>
              </w:rPr>
            </w:pPr>
          </w:p>
        </w:tc>
        <w:tc>
          <w:tcPr>
            <w:tcW w:w="2429" w:type="dxa"/>
          </w:tcPr>
          <w:p w:rsidR="00D30E34" w:rsidRPr="00D30E34" w:rsidRDefault="00D30E34" w:rsidP="00D30E34">
            <w:pPr>
              <w:spacing w:line="360" w:lineRule="auto"/>
              <w:jc w:val="center"/>
              <w:outlineLvl w:val="1"/>
              <w:rPr>
                <w:rFonts w:eastAsia="Calibri" w:cs="Arial"/>
                <w:sz w:val="20"/>
                <w:szCs w:val="20"/>
              </w:rPr>
            </w:pPr>
          </w:p>
        </w:tc>
      </w:tr>
      <w:tr w:rsidR="00D30E34" w:rsidRPr="00D30E34" w:rsidTr="002B425C">
        <w:trPr>
          <w:trHeight w:val="289"/>
        </w:trPr>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LTBI test: QFT-GIT</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48.73</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&lt;Refman&gt;&lt;Cite&gt;&lt;Author&gt;Auguste&lt;/Author&gt;&lt;Year&gt;2015&lt;/Year&gt;&lt;RecNum&gt;193&lt;/RecNum&gt;&lt;IDText&gt;Appendix H: Warwick Evidence Diagnosis of LTBI Report&lt;/IDText&gt;&lt;MDL Ref_Type="Report"&gt;&lt;Ref_Type&gt;Report&lt;/Ref_Type&gt;&lt;Ref_ID&gt;193&lt;/Ref_ID&gt;&lt;Title_Primary&gt;Appendix H: Warwick Evidence Diagnosis of LTBI Report&lt;/Title_Primary&gt;&lt;Authors_Primary&gt;Auguste,P.&lt;/Authors_Primary&gt;&lt;Authors_Primary&gt;Tsertsvadze,A.&lt;/Authors_Primary&gt;&lt;Authors_Primary&gt;Pink,J&lt;/Authors_Primary&gt;&lt;Authors_Primary&gt;Court,R.&lt;/Authors_Primary&gt;&lt;Authors_Primary&gt;Seedat,F.&lt;/Authors_Primary&gt;&lt;Authors_Primary&gt;Gurung,T.&lt;/Authors_Primary&gt;&lt;Authors_Primary&gt;Freeman,K.&lt;/Authors_Primary&gt;&lt;Authors_Primary&gt;Taylor-Phillips,S.&lt;/Authors_Primary&gt;&lt;Authors_Primary&gt;Walker,C.&lt;/Authors_Primary&gt;&lt;Authors_Primary&gt;Madan,J.&lt;/Authors_Primary&gt;&lt;Authors_Primary&gt;Kandala,N.B.&lt;/Authors_Primary&gt;&lt;Authors_Primary&gt;Clarke,A.&lt;/Authors_Primary&gt;&lt;Authors_Primary&gt;Sutcliffe,P.&lt;/Authors_Primary&gt;&lt;Date_Primary&gt;2015&lt;/Date_Primary&gt;&lt;Keywords&gt;diagnosis&lt;/Keywords&gt;&lt;Reprint&gt;Not in File&lt;/Reprint&gt;&lt;Publisher&gt;Health Technology Assessment&lt;/Publisher&gt;&lt;Web_URL&gt;&lt;u&gt;https://www.ncbi.nlm.nih.gov/books/NBK361222/&lt;/u&gt;&lt;/Web_URL&gt;&lt;ZZ_WorkformID&gt;24&lt;/ZZ_WorkformID&gt;&lt;/MDL&gt;&lt;/Cite&gt;&lt;/Refman&gt;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58</w:t>
            </w:r>
            <w:r w:rsidRPr="00D30E34">
              <w:rPr>
                <w:rFonts w:eastAsia="Calibri" w:cs="Arial"/>
                <w:sz w:val="20"/>
                <w:szCs w:val="20"/>
              </w:rPr>
              <w:fldChar w:fldCharType="end"/>
            </w:r>
          </w:p>
        </w:tc>
      </w:tr>
      <w:tr w:rsidR="00D30E34" w:rsidRPr="00D30E34" w:rsidTr="002B425C">
        <w:trPr>
          <w:trHeight w:val="414"/>
        </w:trPr>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Active TB test: QFT-GIT</w:t>
            </w:r>
          </w:p>
        </w:tc>
        <w:tc>
          <w:tcPr>
            <w:tcW w:w="3246" w:type="dxa"/>
          </w:tcPr>
          <w:p w:rsidR="00D30E34" w:rsidRPr="00D30E34" w:rsidRDefault="00D30E34" w:rsidP="00D30E34">
            <w:pPr>
              <w:spacing w:line="360" w:lineRule="auto"/>
              <w:jc w:val="center"/>
              <w:outlineLvl w:val="1"/>
              <w:rPr>
                <w:rFonts w:eastAsia="Calibri" w:cs="Arial"/>
                <w:sz w:val="20"/>
                <w:szCs w:val="20"/>
                <w:highlight w:val="yellow"/>
              </w:rPr>
            </w:pPr>
            <w:r w:rsidRPr="00D30E34">
              <w:rPr>
                <w:rFonts w:eastAsia="Calibri" w:cs="Arial"/>
                <w:sz w:val="20"/>
                <w:szCs w:val="20"/>
              </w:rPr>
              <w:t>48.73</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&lt;Refman&gt;&lt;Cite&gt;&lt;Author&gt;Auguste&lt;/Author&gt;&lt;Year&gt;2015&lt;/Year&gt;&lt;RecNum&gt;193&lt;/RecNum&gt;&lt;IDText&gt;Appendix H: Warwick Evidence Diagnosis of LTBI Report&lt;/IDText&gt;&lt;MDL Ref_Type="Report"&gt;&lt;Ref_Type&gt;Report&lt;/Ref_Type&gt;&lt;Ref_ID&gt;193&lt;/Ref_ID&gt;&lt;Title_Primary&gt;Appendix H: Warwick Evidence Diagnosis of LTBI Report&lt;/Title_Primary&gt;&lt;Authors_Primary&gt;Auguste,P.&lt;/Authors_Primary&gt;&lt;Authors_Primary&gt;Tsertsvadze,A.&lt;/Authors_Primary&gt;&lt;Authors_Primary&gt;Pink,J&lt;/Authors_Primary&gt;&lt;Authors_Primary&gt;Court,R.&lt;/Authors_Primary&gt;&lt;Authors_Primary&gt;Seedat,F.&lt;/Authors_Primary&gt;&lt;Authors_Primary&gt;Gurung,T.&lt;/Authors_Primary&gt;&lt;Authors_Primary&gt;Freeman,K.&lt;/Authors_Primary&gt;&lt;Authors_Primary&gt;Taylor-Phillips,S.&lt;/Authors_Primary&gt;&lt;Authors_Primary&gt;Walker,C.&lt;/Authors_Primary&gt;&lt;Authors_Primary&gt;Madan,J.&lt;/Authors_Primary&gt;&lt;Authors_Primary&gt;Kandala,N.B.&lt;/Authors_Primary&gt;&lt;Authors_Primary&gt;Clarke,A.&lt;/Authors_Primary&gt;&lt;Authors_Primary&gt;Sutcliffe,P.&lt;/Authors_Primary&gt;&lt;Date_Primary&gt;2015&lt;/Date_Primary&gt;&lt;Keywords&gt;diagnosis&lt;/Keywords&gt;&lt;Reprint&gt;Not in File&lt;/Reprint&gt;&lt;Publisher&gt;Health Technology Assessment&lt;/Publisher&gt;&lt;Web_URL&gt;&lt;u&gt;https://www.ncbi.nlm.nih.gov/books/NBK361222/&lt;/u&gt;&lt;/Web_URL&gt;&lt;ZZ_WorkformID&gt;24&lt;/ZZ_WorkformID&gt;&lt;/MDL&gt;&lt;/Cite&gt;&lt;/Refman&gt;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58</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i/>
                <w:sz w:val="20"/>
                <w:szCs w:val="20"/>
              </w:rPr>
              <w:t xml:space="preserve">Adverse events due to LTBI treatment: </w:t>
            </w:r>
            <w:r w:rsidRPr="00D30E34">
              <w:rPr>
                <w:rFonts w:eastAsia="Calibri" w:cs="Arial"/>
                <w:sz w:val="20"/>
                <w:szCs w:val="20"/>
              </w:rPr>
              <w:t>Hepatotoxicity</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587</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Gamma(6.679, 87.889)</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i/>
                <w:sz w:val="20"/>
                <w:szCs w:val="20"/>
              </w:rPr>
              <w:t xml:space="preserve">Adverse events due to LTBI treatment: </w:t>
            </w:r>
            <w:r w:rsidRPr="00D30E34">
              <w:rPr>
                <w:rFonts w:eastAsia="Calibri" w:cs="Arial"/>
                <w:sz w:val="20"/>
                <w:szCs w:val="20"/>
              </w:rPr>
              <w:t>Nausea/vomiting</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63</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Managing an active TB case</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5,329</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Gamma(8.333, 639.435)</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Culture</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22.29</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Gamma(100, 0.22)</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PFJlZm1hbj48Q2l0ZT48QXV0aG9yPkRyb2JuaWV3c2tpPC9BdXRob3I+PFllYXI+MjAxNTwvWWVh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==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PFJlZm1hbj48Q2l0ZT48QXV0aG9yPkRyb2JuaWV3c2tpPC9BdXRob3I+PFllYXI+MjAxNTwvWWVh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==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59</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X-ray</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35</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Uniform(23, 43)</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&lt;Refman&gt;&lt;Cite&gt;&lt;Author&gt;National Institute for Health and Care Excellence&lt;/Author&gt;&lt;Year&gt;2016&lt;/Year&gt;&lt;RecNum&gt;95&lt;/RecNum&gt;&lt;IDText&gt;NG33- Tuberculosis&lt;/IDText&gt;&lt;MDL Ref_Type="Report"&gt;&lt;Ref_Type&gt;Report&lt;/Ref_Type&gt;&lt;Ref_ID&gt;95&lt;/Ref_ID&gt;&lt;Title_Primary&gt;NG33- Tuberculosis&lt;/Title_Primary&gt;&lt;Authors_Primary&gt;National Institute for Health and Care Excellence&lt;/Authors_Primary&gt;&lt;Date_Primary&gt;2016/1/13&lt;/Date_Primary&gt;&lt;Keywords&gt;diagnosis&lt;/Keywords&gt;&lt;Keywords&gt;management&lt;/Keywords&gt;&lt;Keywords&gt;prevention&lt;/Keywords&gt;&lt;Keywords&gt;Tuberculosis&lt;/Keywords&gt;&lt;Reprint&gt;Not in File&lt;/Reprint&gt;&lt;Date_Secondary&gt;2016/1/14&lt;/Date_Secondary&gt;&lt;Web_URL&gt;&lt;u&gt;https://tinyurl.com/zkqd83v&lt;/u&gt;&lt;/Web_URL&gt;&lt;ZZ_WorkformID&gt;24&lt;/ZZ_WorkformID&gt;&lt;/MDL&gt;&lt;/Cite&gt;&lt;/Refman&gt;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60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Smear microscopy</w:t>
            </w:r>
            <w:r w:rsidRPr="00D30E34">
              <w:rPr>
                <w:rFonts w:eastAsia="Calibri" w:cs="Arial"/>
                <w:color w:val="212121"/>
                <w:sz w:val="20"/>
                <w:szCs w:val="20"/>
                <w:shd w:val="clear" w:color="auto" w:fill="FFFFFF"/>
              </w:rPr>
              <w:t> </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7</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Gamma(106, 0.07)</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&lt;Refman&gt;&lt;Cite&gt;&lt;Author&gt;National Institute for Health and Care Excellence&lt;/Author&gt;&lt;Year&gt;2016&lt;/Year&gt;&lt;RecNum&gt;95&lt;/RecNum&gt;&lt;IDText&gt;NG33- Tuberculosis&lt;/IDText&gt;&lt;MDL Ref_Type="Report"&gt;&lt;Ref_Type&gt;Report&lt;/Ref_Type&gt;&lt;Ref_ID&gt;95&lt;/Ref_ID&gt;&lt;Title_Primary&gt;NG33- Tuberculosis&lt;/Title_Primary&gt;&lt;Authors_Primary&gt;National Institute for Health and Care Excellence&lt;/Authors_Primary&gt;&lt;Date_Primary&gt;2016/1/13&lt;/Date_Primary&gt;&lt;Keywords&gt;diagnosis&lt;/Keywords&gt;&lt;Keywords&gt;management&lt;/Keywords&gt;&lt;Keywords&gt;prevention&lt;/Keywords&gt;&lt;Keywords&gt;Tuberculosis&lt;/Keywords&gt;&lt;Reprint&gt;Not in File&lt;/Reprint&gt;&lt;Date_Secondary&gt;2016/1/14&lt;/Date_Secondary&gt;&lt;Web_URL&gt;&lt;u&gt;https://tinyurl.com/zkqd83v&lt;/u&gt;&lt;/Web_URL&gt;&lt;ZZ_WorkformID&gt;24&lt;/ZZ_WorkformID&gt;&lt;/MDL&gt;&lt;/Cite&gt;&lt;/Refman&gt;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60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Liver Function Test</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2.69</w:t>
            </w:r>
          </w:p>
        </w:tc>
        <w:tc>
          <w:tcPr>
            <w:tcW w:w="2429" w:type="dxa"/>
          </w:tcPr>
          <w:p w:rsidR="00D30E34" w:rsidRPr="00D30E34" w:rsidRDefault="00D30E34" w:rsidP="00D30E34">
            <w:pPr>
              <w:spacing w:line="360" w:lineRule="auto"/>
              <w:jc w:val="center"/>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fldChar w:fldCharType="begin">
                <w:fldData xml:space="preserve">PFJlZm1hbj48Q2l0ZT48QXV0aG9yPkxpbGZvcmQ8L0F1dGhvcj48WWVhcj4yMDEzPC9ZZWFyPjxS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</w:fldData>
              </w:fldChar>
            </w:r>
            <w:r w:rsidRPr="00D30E34">
              <w:rPr>
                <w:rFonts w:eastAsia="Calibri" w:cs="Arial"/>
                <w:color w:val="212121"/>
                <w:sz w:val="20"/>
                <w:szCs w:val="20"/>
                <w:shd w:val="clear" w:color="auto" w:fill="FFFFFF"/>
              </w:rPr>
              <w:instrText xml:space="preserve"> ADDIN REFMGR.CITE </w:instrText>
            </w:r>
            <w:r w:rsidRPr="00D30E34">
              <w:rPr>
                <w:rFonts w:eastAsia="Calibri" w:cs="Arial"/>
                <w:color w:val="212121"/>
                <w:sz w:val="20"/>
                <w:szCs w:val="20"/>
                <w:shd w:val="clear" w:color="auto" w:fill="FFFFFF"/>
              </w:rPr>
              <w:fldChar w:fldCharType="begin">
                <w:fldData xml:space="preserve">PFJlZm1hbj48Q2l0ZT48QXV0aG9yPkxpbGZvcmQ8L0F1dGhvcj48WWVhcj4yMDEzPC9ZZWFyPjxS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</w:fldData>
              </w:fldChar>
            </w:r>
            <w:r w:rsidRPr="00D30E34">
              <w:rPr>
                <w:rFonts w:eastAsia="Calibri" w:cs="Arial"/>
                <w:color w:val="212121"/>
                <w:sz w:val="20"/>
                <w:szCs w:val="20"/>
                <w:shd w:val="clear" w:color="auto" w:fill="FFFFFF"/>
              </w:rPr>
              <w:instrText xml:space="preserve"> ADDIN EN.CITE.DATA </w:instrText>
            </w:r>
            <w:r w:rsidRPr="00D30E34">
              <w:rPr>
                <w:rFonts w:eastAsia="Calibri" w:cs="Arial"/>
                <w:color w:val="212121"/>
                <w:sz w:val="20"/>
                <w:szCs w:val="20"/>
                <w:shd w:val="clear" w:color="auto" w:fill="FFFFFF"/>
              </w:rPr>
            </w:r>
            <w:r w:rsidRPr="00D30E34">
              <w:rPr>
                <w:rFonts w:eastAsia="Calibri" w:cs="Arial"/>
                <w:color w:val="212121"/>
                <w:sz w:val="20"/>
                <w:szCs w:val="20"/>
                <w:shd w:val="clear" w:color="auto" w:fill="FFFFFF"/>
              </w:rPr>
              <w:fldChar w:fldCharType="end"/>
            </w:r>
            <w:r w:rsidRPr="00D30E34">
              <w:rPr>
                <w:rFonts w:eastAsia="Calibri" w:cs="Arial"/>
                <w:color w:val="212121"/>
                <w:sz w:val="20"/>
                <w:szCs w:val="20"/>
                <w:shd w:val="clear" w:color="auto" w:fill="FFFFFF"/>
              </w:rPr>
            </w:r>
            <w:r w:rsidRPr="00D30E34">
              <w:rPr>
                <w:rFonts w:eastAsia="Calibri" w:cs="Arial"/>
                <w:color w:val="212121"/>
                <w:sz w:val="20"/>
                <w:szCs w:val="20"/>
                <w:shd w:val="clear" w:color="auto" w:fill="FFFFFF"/>
              </w:rPr>
              <w:fldChar w:fldCharType="separate"/>
            </w:r>
            <w:r w:rsidRPr="00D30E34">
              <w:rPr>
                <w:rFonts w:eastAsia="Calibri" w:cs="Arial"/>
                <w:noProof/>
                <w:color w:val="212121"/>
                <w:sz w:val="20"/>
                <w:szCs w:val="20"/>
                <w:shd w:val="clear" w:color="auto" w:fill="FFFFFF"/>
                <w:vertAlign w:val="superscript"/>
              </w:rPr>
              <w:t>61</w:t>
            </w:r>
            <w:r w:rsidRPr="00D30E34">
              <w:rPr>
                <w:rFonts w:eastAsia="Calibri" w:cs="Arial"/>
                <w:color w:val="212121"/>
                <w:sz w:val="20"/>
                <w:szCs w:val="20"/>
                <w:shd w:val="clear" w:color="auto" w:fill="FFFFFF"/>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Hepatitis B surface Ag and</w:t>
            </w:r>
          </w:p>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hepatitis C</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25.42</w:t>
            </w:r>
          </w:p>
        </w:tc>
        <w:tc>
          <w:tcPr>
            <w:tcW w:w="2429" w:type="dxa"/>
          </w:tcPr>
          <w:p w:rsidR="00D30E34" w:rsidRPr="00D30E34" w:rsidRDefault="00D30E34" w:rsidP="00D30E34">
            <w:pPr>
              <w:spacing w:line="360" w:lineRule="auto"/>
              <w:jc w:val="center"/>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fldChar w:fldCharType="begin">
                <w:fldData xml:space="preserve">PFJlZm1hbj48Q2l0ZT48QXV0aG9yPkxpbGZvcmQ8L0F1dGhvcj48WWVhcj4yMDEzPC9ZZWFyPjxS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</w:fldData>
              </w:fldChar>
            </w:r>
            <w:r w:rsidRPr="00D30E34">
              <w:rPr>
                <w:rFonts w:eastAsia="Calibri" w:cs="Arial"/>
                <w:color w:val="212121"/>
                <w:sz w:val="20"/>
                <w:szCs w:val="20"/>
                <w:shd w:val="clear" w:color="auto" w:fill="FFFFFF"/>
              </w:rPr>
              <w:instrText xml:space="preserve"> ADDIN REFMGR.CITE </w:instrText>
            </w:r>
            <w:r w:rsidRPr="00D30E34">
              <w:rPr>
                <w:rFonts w:eastAsia="Calibri" w:cs="Arial"/>
                <w:color w:val="212121"/>
                <w:sz w:val="20"/>
                <w:szCs w:val="20"/>
                <w:shd w:val="clear" w:color="auto" w:fill="FFFFFF"/>
              </w:rPr>
              <w:fldChar w:fldCharType="begin">
                <w:fldData xml:space="preserve">PFJlZm1hbj48Q2l0ZT48QXV0aG9yPkxpbGZvcmQ8L0F1dGhvcj48WWVhcj4yMDEzPC9ZZWFyPjxS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</w:fldData>
              </w:fldChar>
            </w:r>
            <w:r w:rsidRPr="00D30E34">
              <w:rPr>
                <w:rFonts w:eastAsia="Calibri" w:cs="Arial"/>
                <w:color w:val="212121"/>
                <w:sz w:val="20"/>
                <w:szCs w:val="20"/>
                <w:shd w:val="clear" w:color="auto" w:fill="FFFFFF"/>
              </w:rPr>
              <w:instrText xml:space="preserve"> ADDIN EN.CITE.DATA </w:instrText>
            </w:r>
            <w:r w:rsidRPr="00D30E34">
              <w:rPr>
                <w:rFonts w:eastAsia="Calibri" w:cs="Arial"/>
                <w:color w:val="212121"/>
                <w:sz w:val="20"/>
                <w:szCs w:val="20"/>
                <w:shd w:val="clear" w:color="auto" w:fill="FFFFFF"/>
              </w:rPr>
            </w:r>
            <w:r w:rsidRPr="00D30E34">
              <w:rPr>
                <w:rFonts w:eastAsia="Calibri" w:cs="Arial"/>
                <w:color w:val="212121"/>
                <w:sz w:val="20"/>
                <w:szCs w:val="20"/>
                <w:shd w:val="clear" w:color="auto" w:fill="FFFFFF"/>
              </w:rPr>
              <w:fldChar w:fldCharType="end"/>
            </w:r>
            <w:r w:rsidRPr="00D30E34">
              <w:rPr>
                <w:rFonts w:eastAsia="Calibri" w:cs="Arial"/>
                <w:color w:val="212121"/>
                <w:sz w:val="20"/>
                <w:szCs w:val="20"/>
                <w:shd w:val="clear" w:color="auto" w:fill="FFFFFF"/>
              </w:rPr>
            </w:r>
            <w:r w:rsidRPr="00D30E34">
              <w:rPr>
                <w:rFonts w:eastAsia="Calibri" w:cs="Arial"/>
                <w:color w:val="212121"/>
                <w:sz w:val="20"/>
                <w:szCs w:val="20"/>
                <w:shd w:val="clear" w:color="auto" w:fill="FFFFFF"/>
              </w:rPr>
              <w:fldChar w:fldCharType="separate"/>
            </w:r>
            <w:r w:rsidRPr="00D30E34">
              <w:rPr>
                <w:rFonts w:eastAsia="Calibri" w:cs="Arial"/>
                <w:noProof/>
                <w:color w:val="212121"/>
                <w:sz w:val="20"/>
                <w:szCs w:val="20"/>
                <w:shd w:val="clear" w:color="auto" w:fill="FFFFFF"/>
                <w:vertAlign w:val="superscript"/>
              </w:rPr>
              <w:t>61</w:t>
            </w:r>
            <w:r w:rsidRPr="00D30E34">
              <w:rPr>
                <w:rFonts w:eastAsia="Calibri" w:cs="Arial"/>
                <w:color w:val="212121"/>
                <w:sz w:val="20"/>
                <w:szCs w:val="20"/>
                <w:shd w:val="clear" w:color="auto" w:fill="FFFFFF"/>
              </w:rPr>
              <w:fldChar w:fldCharType="end"/>
            </w:r>
          </w:p>
        </w:tc>
      </w:tr>
      <w:tr w:rsidR="00D30E34" w:rsidRPr="00D30E34" w:rsidTr="002B425C">
        <w:trPr>
          <w:trHeight w:val="792"/>
        </w:trPr>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HIV ELISA antibody test</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8</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Uniform(3,12)</w:t>
            </w:r>
          </w:p>
        </w:tc>
        <w:tc>
          <w:tcPr>
            <w:tcW w:w="2429" w:type="dxa"/>
          </w:tcPr>
          <w:p w:rsidR="00D30E34" w:rsidRPr="00D30E34" w:rsidRDefault="00D30E34" w:rsidP="00D30E34">
            <w:pPr>
              <w:spacing w:line="360" w:lineRule="auto"/>
              <w:jc w:val="center"/>
              <w:outlineLvl w:val="1"/>
              <w:rPr>
                <w:rFonts w:eastAsia="Calibri" w:cs="Arial"/>
                <w:color w:val="000000"/>
                <w:sz w:val="20"/>
                <w:szCs w:val="20"/>
              </w:rPr>
            </w:pPr>
            <w:r w:rsidRPr="00D30E34">
              <w:rPr>
                <w:rFonts w:eastAsia="Calibri" w:cs="Arial"/>
                <w:color w:val="000000"/>
                <w:sz w:val="20"/>
                <w:szCs w:val="20"/>
              </w:rPr>
              <w:fldChar w:fldCharType="begin"/>
            </w:r>
            <w:r w:rsidRPr="00D30E34">
              <w:rPr>
                <w:rFonts w:eastAsia="Calibri" w:cs="Arial"/>
                <w:color w:val="000000"/>
                <w:sz w:val="20"/>
                <w:szCs w:val="20"/>
              </w:rPr>
              <w:instrText xml:space="preserve"> ADDIN REFMGR.CITE &lt;Refman&gt;&lt;Cite&gt;&lt;Author&gt;Health Protection Agency&lt;/Author&gt;&lt;Year&gt;2011&lt;/Year&gt;&lt;RecNum&gt;197&lt;/RecNum&gt;&lt;IDText&gt;Time to test for HIV: Expanding HIV testing in healthcare and community services in England&lt;/IDText&gt;&lt;MDL Ref_Type="Report"&gt;&lt;Ref_Type&gt;Report&lt;/Ref_Type&gt;&lt;Ref_ID&gt;197&lt;/Ref_ID&gt;&lt;Title_Primary&gt;Time to test for HIV: Expanding HIV testing in healthcare and community services in England&lt;/Title_Primary&gt;&lt;Authors_Primary&gt;Health Protection Agency&lt;/Authors_Primary&gt;&lt;Date_Primary&gt;2011&lt;/Date_Primary&gt;&lt;Keywords&gt;England&lt;/Keywords&gt;&lt;Reprint&gt;Not in File&lt;/Reprint&gt;&lt;Web_URL&gt;&lt;u&gt;http://www.medfash.org.uk/uploads/images/file/Time&lt;/u&gt; to test for HIV.pdf&lt;/Web_URL&gt;&lt;ZZ_WorkformID&gt;24&lt;/ZZ_WorkformID&gt;&lt;/MDL&gt;&lt;/Cite&gt;&lt;/Refman&gt;</w:instrText>
            </w:r>
            <w:r w:rsidRPr="00D30E34">
              <w:rPr>
                <w:rFonts w:eastAsia="Calibri" w:cs="Arial"/>
                <w:color w:val="000000"/>
                <w:sz w:val="20"/>
                <w:szCs w:val="20"/>
              </w:rPr>
              <w:fldChar w:fldCharType="separate"/>
            </w:r>
            <w:r w:rsidRPr="00D30E34">
              <w:rPr>
                <w:rFonts w:eastAsia="Calibri" w:cs="Arial"/>
                <w:noProof/>
                <w:color w:val="000000"/>
                <w:sz w:val="20"/>
                <w:szCs w:val="20"/>
                <w:vertAlign w:val="superscript"/>
              </w:rPr>
              <w:t>62</w:t>
            </w:r>
            <w:r w:rsidRPr="00D30E34">
              <w:rPr>
                <w:rFonts w:eastAsia="Calibri" w:cs="Arial"/>
                <w:color w:val="000000"/>
                <w:sz w:val="20"/>
                <w:szCs w:val="20"/>
              </w:rPr>
              <w:fldChar w:fldCharType="end"/>
            </w:r>
          </w:p>
        </w:tc>
      </w:tr>
      <w:tr w:rsidR="00D30E34" w:rsidRPr="00D30E34" w:rsidTr="002B425C">
        <w:trPr>
          <w:trHeight w:val="774"/>
        </w:trPr>
        <w:tc>
          <w:tcPr>
            <w:tcW w:w="3567" w:type="dxa"/>
          </w:tcPr>
          <w:p w:rsidR="00D30E34" w:rsidRPr="00D30E34" w:rsidRDefault="00D30E34" w:rsidP="00D30E34">
            <w:pPr>
              <w:spacing w:line="360" w:lineRule="auto"/>
              <w:outlineLvl w:val="1"/>
              <w:rPr>
                <w:rFonts w:eastAsia="Calibri" w:cs="Arial"/>
                <w:color w:val="212121"/>
                <w:sz w:val="20"/>
                <w:szCs w:val="20"/>
                <w:highlight w:val="yellow"/>
                <w:shd w:val="clear" w:color="auto" w:fill="FFFFFF"/>
              </w:rPr>
            </w:pPr>
            <w:r w:rsidRPr="00D30E34">
              <w:rPr>
                <w:rFonts w:eastAsia="Calibri" w:cs="Arial"/>
                <w:color w:val="212121"/>
                <w:sz w:val="20"/>
                <w:szCs w:val="20"/>
                <w:shd w:val="clear" w:color="auto" w:fill="FFFFFF"/>
              </w:rPr>
              <w:t>First visit: respiratory medicine, multi-professional</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241</w:t>
            </w:r>
          </w:p>
          <w:p w:rsidR="00D30E34" w:rsidRPr="00D30E34" w:rsidRDefault="00D30E34" w:rsidP="00D30E34">
            <w:pPr>
              <w:spacing w:line="360" w:lineRule="auto"/>
              <w:jc w:val="center"/>
              <w:outlineLvl w:val="1"/>
              <w:rPr>
                <w:rFonts w:eastAsia="Calibri" w:cs="Arial"/>
                <w:sz w:val="20"/>
                <w:szCs w:val="20"/>
                <w:highlight w:val="yellow"/>
              </w:rPr>
            </w:pPr>
            <w:r w:rsidRPr="00D30E34">
              <w:rPr>
                <w:rFonts w:eastAsia="Calibri" w:cs="Arial"/>
                <w:sz w:val="20"/>
                <w:szCs w:val="20"/>
              </w:rPr>
              <w:t>Gamma(53.3, 4.52)</w:t>
            </w:r>
          </w:p>
        </w:tc>
        <w:tc>
          <w:tcPr>
            <w:tcW w:w="2429" w:type="dxa"/>
          </w:tcPr>
          <w:p w:rsidR="00D30E34" w:rsidRPr="00D30E34" w:rsidRDefault="00D30E34" w:rsidP="00D30E34">
            <w:pPr>
              <w:spacing w:line="360" w:lineRule="auto"/>
              <w:jc w:val="center"/>
              <w:outlineLvl w:val="1"/>
              <w:rPr>
                <w:rFonts w:eastAsia="Calibri" w:cs="Arial"/>
                <w:color w:val="000000"/>
                <w:sz w:val="20"/>
                <w:szCs w:val="20"/>
              </w:rPr>
            </w:pPr>
            <w:r w:rsidRPr="00D30E34">
              <w:rPr>
                <w:rFonts w:eastAsia="Calibri" w:cs="Arial"/>
                <w:color w:val="000000"/>
                <w:sz w:val="20"/>
                <w:szCs w:val="20"/>
              </w:rPr>
              <w:fldChar w:fldCharType="begin"/>
            </w:r>
            <w:r w:rsidRPr="00D30E34">
              <w:rPr>
                <w:rFonts w:eastAsia="Calibri" w:cs="Arial"/>
                <w:color w:val="000000"/>
                <w:sz w:val="20"/>
                <w:szCs w:val="20"/>
              </w:rPr>
              <w:instrText xml:space="preserve"> ADDIN REFMGR.CITE &lt;Refman&gt;&lt;Cite&gt;&lt;Author&gt;NHS England&lt;/Author&gt;&lt;Year&gt;2013&lt;/Year&gt;&lt;RecNum&gt;196&lt;/RecNum&gt;&lt;IDText&gt;2014/15 National  Tariff Payment  System&lt;/IDText&gt;&lt;MDL Ref_Type="Report"&gt;&lt;Ref_Type&gt;Report&lt;/Ref_Type&gt;&lt;Ref_ID&gt;196&lt;/Ref_ID&gt;&lt;Title_Primary&gt;2014/15 National  Tariff Payment  System&lt;/Title_Primary&gt;&lt;Authors_Primary&gt;NHS England&lt;/Authors_Primary&gt;&lt;Date_Primary&gt;2013&lt;/Date_Primary&gt;&lt;Reprint&gt;Not in File&lt;/Reprint&gt;&lt;Web_URL&gt;&lt;u&gt;https://www.gov.uk/government/uploads/system/uploads/attachment_data/file/300547/2014-15_National_Tariff_Payment_System_-Revised_26_Feb_14.pdf&lt;/u&gt;&lt;/Web_URL&gt;&lt;ZZ_WorkformID&gt;24&lt;/ZZ_WorkformID&gt;&lt;/MDL&gt;&lt;/Cite&gt;&lt;/Refman&gt;</w:instrText>
            </w:r>
            <w:r w:rsidRPr="00D30E34">
              <w:rPr>
                <w:rFonts w:eastAsia="Calibri" w:cs="Arial"/>
                <w:color w:val="000000"/>
                <w:sz w:val="20"/>
                <w:szCs w:val="20"/>
              </w:rPr>
              <w:fldChar w:fldCharType="separate"/>
            </w:r>
            <w:r w:rsidRPr="00D30E34">
              <w:rPr>
                <w:rFonts w:eastAsia="Calibri" w:cs="Arial"/>
                <w:noProof/>
                <w:color w:val="000000"/>
                <w:sz w:val="20"/>
                <w:szCs w:val="20"/>
                <w:vertAlign w:val="superscript"/>
              </w:rPr>
              <w:t>63</w:t>
            </w:r>
            <w:r w:rsidRPr="00D30E34">
              <w:rPr>
                <w:rFonts w:eastAsia="Calibri" w:cs="Arial"/>
                <w:color w:val="000000"/>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Initial consultation with doctor</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126</w:t>
            </w:r>
          </w:p>
        </w:tc>
        <w:tc>
          <w:tcPr>
            <w:tcW w:w="2429" w:type="dxa"/>
          </w:tcPr>
          <w:p w:rsidR="00D30E34" w:rsidRPr="00D30E34" w:rsidRDefault="00D30E34" w:rsidP="00D30E34">
            <w:pPr>
              <w:spacing w:line="360" w:lineRule="auto"/>
              <w:jc w:val="center"/>
              <w:outlineLvl w:val="1"/>
              <w:rPr>
                <w:rFonts w:eastAsia="Calibri" w:cs="Arial"/>
                <w:color w:val="000000"/>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color w:val="212121"/>
                <w:sz w:val="20"/>
                <w:szCs w:val="20"/>
                <w:shd w:val="clear" w:color="auto" w:fill="FFFFFF"/>
              </w:rPr>
              <w:t>Nurse follow up</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64</w:t>
            </w:r>
          </w:p>
        </w:tc>
        <w:tc>
          <w:tcPr>
            <w:tcW w:w="2429" w:type="dxa"/>
          </w:tcPr>
          <w:p w:rsidR="00D30E34" w:rsidRPr="00D30E34" w:rsidRDefault="00D30E34" w:rsidP="00D30E34">
            <w:pPr>
              <w:spacing w:line="360" w:lineRule="auto"/>
              <w:jc w:val="center"/>
              <w:outlineLvl w:val="1"/>
              <w:rPr>
                <w:rFonts w:eastAsia="Calibri" w:cs="Arial"/>
                <w:color w:val="000000"/>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color w:val="212121"/>
                <w:sz w:val="20"/>
                <w:szCs w:val="20"/>
                <w:shd w:val="clear" w:color="auto" w:fill="FFFFFF"/>
              </w:rPr>
            </w:pPr>
            <w:r w:rsidRPr="00D30E34">
              <w:rPr>
                <w:rFonts w:eastAsia="Calibri" w:cs="Arial"/>
                <w:i/>
                <w:sz w:val="20"/>
                <w:szCs w:val="20"/>
              </w:rPr>
              <w:t>Health impact</w:t>
            </w:r>
          </w:p>
        </w:tc>
        <w:tc>
          <w:tcPr>
            <w:tcW w:w="3246" w:type="dxa"/>
          </w:tcPr>
          <w:p w:rsidR="00D30E34" w:rsidRPr="00D30E34" w:rsidRDefault="00D30E34" w:rsidP="00D30E34">
            <w:pPr>
              <w:spacing w:line="360" w:lineRule="auto"/>
              <w:jc w:val="center"/>
              <w:outlineLvl w:val="1"/>
              <w:rPr>
                <w:rFonts w:eastAsia="Calibri" w:cs="Arial"/>
                <w:sz w:val="20"/>
                <w:szCs w:val="20"/>
              </w:rPr>
            </w:pPr>
          </w:p>
        </w:tc>
        <w:tc>
          <w:tcPr>
            <w:tcW w:w="2429" w:type="dxa"/>
          </w:tcPr>
          <w:p w:rsidR="00D30E34" w:rsidRPr="00D30E34" w:rsidRDefault="00D30E34" w:rsidP="00D30E34">
            <w:pPr>
              <w:spacing w:line="360" w:lineRule="auto"/>
              <w:jc w:val="center"/>
              <w:outlineLvl w:val="1"/>
              <w:rPr>
                <w:rFonts w:eastAsia="Calibri" w:cs="Arial"/>
                <w:color w:val="000000"/>
                <w:sz w:val="20"/>
                <w:szCs w:val="20"/>
              </w:rPr>
            </w:pPr>
          </w:p>
        </w:tc>
      </w:tr>
      <w:tr w:rsidR="00D30E34" w:rsidRPr="00D30E34" w:rsidTr="002B425C">
        <w:tc>
          <w:tcPr>
            <w:tcW w:w="3567" w:type="dxa"/>
          </w:tcPr>
          <w:p w:rsidR="00D30E34" w:rsidRPr="00D30E34" w:rsidRDefault="00D30E34" w:rsidP="00D30E34">
            <w:pPr>
              <w:spacing w:line="360" w:lineRule="auto"/>
              <w:outlineLvl w:val="1"/>
              <w:rPr>
                <w:rFonts w:eastAsia="Calibri" w:cs="Arial"/>
                <w:b/>
                <w:i/>
                <w:sz w:val="20"/>
                <w:szCs w:val="20"/>
              </w:rPr>
            </w:pPr>
            <w:r w:rsidRPr="00D30E34">
              <w:rPr>
                <w:rFonts w:eastAsia="Calibri" w:cs="Arial"/>
                <w:i/>
                <w:sz w:val="20"/>
                <w:szCs w:val="20"/>
              </w:rPr>
              <w:t>QALY losses due to LTBI treatment:</w:t>
            </w:r>
            <w:r w:rsidRPr="00D30E34">
              <w:rPr>
                <w:rFonts w:eastAsia="Calibri" w:cs="Arial"/>
                <w:sz w:val="20"/>
                <w:szCs w:val="20"/>
              </w:rPr>
              <w:t xml:space="preserve"> Hepatotoxicity</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0.00033</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Gamma(65.753, 7x10-5)</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Pr>
          <w:p w:rsidR="00D30E34" w:rsidRPr="00D30E34" w:rsidRDefault="00D30E34" w:rsidP="00D30E34">
            <w:pPr>
              <w:spacing w:line="360" w:lineRule="auto"/>
              <w:outlineLvl w:val="1"/>
              <w:rPr>
                <w:rFonts w:eastAsia="Calibri" w:cs="Arial"/>
                <w:i/>
                <w:sz w:val="20"/>
                <w:szCs w:val="20"/>
              </w:rPr>
            </w:pPr>
            <w:r w:rsidRPr="00D30E34">
              <w:rPr>
                <w:rFonts w:eastAsia="Calibri" w:cs="Arial"/>
                <w:i/>
                <w:sz w:val="20"/>
                <w:szCs w:val="20"/>
              </w:rPr>
              <w:t>QALY losses due to LTBI treatment:</w:t>
            </w:r>
            <w:r w:rsidRPr="00D30E34">
              <w:rPr>
                <w:rFonts w:eastAsia="Calibri" w:cs="Arial"/>
                <w:sz w:val="20"/>
                <w:szCs w:val="20"/>
              </w:rPr>
              <w:t xml:space="preserve"> Nausea/vomiting</w:t>
            </w:r>
          </w:p>
        </w:tc>
        <w:tc>
          <w:tcPr>
            <w:tcW w:w="3246"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0.0046</w:t>
            </w:r>
          </w:p>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Gamma(109.67, 3x10-6)</w:t>
            </w:r>
          </w:p>
        </w:tc>
        <w:tc>
          <w:tcPr>
            <w:tcW w:w="2429" w:type="dxa"/>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r>
            <w:r w:rsidRPr="00D30E34">
              <w:rPr>
                <w:rFonts w:eastAsia="Calibri" w:cs="Arial"/>
                <w:sz w:val="20"/>
                <w:szCs w:val="20"/>
              </w:rPr>
              <w:instrText xml:space="preserve"> ADDIN REFMGR.CITE &lt;Refman&gt;&lt;Cite&gt;&lt;Author&gt;White&lt;/Author&gt;&lt;Year&gt;2015&lt;/Year&gt;&lt;RecNum&gt;186&lt;/RecNum&gt;&lt;IDText&gt;Appendix I: Imperial College- LTBI treatment report&lt;/IDText&gt;&lt;MDL Ref_Type="Report"&gt;&lt;Ref_Type&gt;Report&lt;/Ref_Type&gt;&lt;Ref_ID&gt;186&lt;/Ref_ID&gt;&lt;Title_Primary&gt;Appendix I: Imperial College- LTBI treatment report&lt;/Title_Primary&gt;&lt;Authors_Primary&gt;White,P.J.&lt;/Authors_Primary&gt;&lt;Authors_Primary&gt;Jit,M.&lt;/Authors_Primary&gt;&lt;Date_Primary&gt;2015&lt;/Date_Primary&gt;&lt;Reprint&gt;Not in File&lt;/Reprint&gt;&lt;Start_Page&gt;1&lt;/Start_Page&gt;&lt;End_Page&gt;44&lt;/End_Page&gt;&lt;Publisher&gt;National Institute for Health and Care Excellence&lt;/Publisher&gt;&lt;Web_URL&gt;&lt;u&gt;https://www.nice.org.uk/guidance/NG33/documents/tuberculosis-update-appendix-i2&lt;/u&gt;&lt;/Web_URL&gt;&lt;ZZ_WorkformID&gt;24&lt;/ZZ_WorkformID&gt;&lt;/MDL&gt;&lt;/Cite&gt;&lt;/Refman&gt;</w:instrText>
            </w:r>
            <w:r w:rsidRPr="00D30E34">
              <w:rPr>
                <w:rFonts w:eastAsia="Calibri" w:cs="Arial"/>
                <w:sz w:val="20"/>
                <w:szCs w:val="20"/>
              </w:rPr>
              <w:fldChar w:fldCharType="separate"/>
            </w:r>
            <w:r w:rsidRPr="00D30E34">
              <w:rPr>
                <w:rFonts w:eastAsia="Calibri" w:cs="Arial"/>
                <w:noProof/>
                <w:sz w:val="20"/>
                <w:szCs w:val="20"/>
                <w:vertAlign w:val="superscript"/>
              </w:rPr>
              <w:t>50</w:t>
            </w:r>
            <w:r w:rsidRPr="00D30E34">
              <w:rPr>
                <w:rFonts w:eastAsia="Calibri" w:cs="Arial"/>
                <w:sz w:val="20"/>
                <w:szCs w:val="20"/>
              </w:rPr>
              <w:fldChar w:fldCharType="end"/>
            </w:r>
          </w:p>
        </w:tc>
      </w:tr>
      <w:tr w:rsidR="00D30E34" w:rsidRPr="00D30E34" w:rsidTr="002B425C">
        <w:tc>
          <w:tcPr>
            <w:tcW w:w="3567" w:type="dxa"/>
            <w:tcBorders>
              <w:bottom w:val="single" w:sz="4" w:space="0" w:color="auto"/>
            </w:tcBorders>
          </w:tcPr>
          <w:p w:rsidR="00D30E34" w:rsidRPr="00D30E34" w:rsidRDefault="00D30E34" w:rsidP="00D30E34">
            <w:pPr>
              <w:spacing w:line="360" w:lineRule="auto"/>
              <w:outlineLvl w:val="1"/>
              <w:rPr>
                <w:rFonts w:eastAsia="Calibri" w:cs="Arial"/>
                <w:sz w:val="20"/>
                <w:szCs w:val="20"/>
              </w:rPr>
            </w:pPr>
            <w:r w:rsidRPr="00D30E34">
              <w:rPr>
                <w:rFonts w:eastAsia="Calibri" w:cs="Arial"/>
                <w:sz w:val="20"/>
                <w:szCs w:val="20"/>
              </w:rPr>
              <w:t>Active TB utility loss</w:t>
            </w:r>
          </w:p>
        </w:tc>
        <w:tc>
          <w:tcPr>
            <w:tcW w:w="3246"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t>0.067 (0.038)</w:t>
            </w:r>
          </w:p>
        </w:tc>
        <w:tc>
          <w:tcPr>
            <w:tcW w:w="2429" w:type="dxa"/>
            <w:tcBorders>
              <w:bottom w:val="single" w:sz="4" w:space="0" w:color="auto"/>
            </w:tcBorders>
          </w:tcPr>
          <w:p w:rsidR="00D30E34" w:rsidRPr="00D30E34" w:rsidRDefault="00D30E34" w:rsidP="00D30E34">
            <w:pPr>
              <w:spacing w:line="360" w:lineRule="auto"/>
              <w:jc w:val="center"/>
              <w:outlineLvl w:val="1"/>
              <w:rPr>
                <w:rFonts w:eastAsia="Calibri" w:cs="Arial"/>
                <w:sz w:val="20"/>
                <w:szCs w:val="20"/>
              </w:rPr>
            </w:pPr>
            <w:r w:rsidRPr="00D30E34">
              <w:rPr>
                <w:rFonts w:eastAsia="Calibri" w:cs="Arial"/>
                <w:sz w:val="20"/>
                <w:szCs w:val="20"/>
              </w:rPr>
              <w:fldChar w:fldCharType="begin">
                <w:fldData xml:space="preserve">PFJlZm1hbj48Q2l0ZT48QXV0aG9yPkRyb2JuaWV3c2tpPC9BdXRob3I+PFllYXI+MjAxNTwvWWVh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==
</w:fldData>
              </w:fldChar>
            </w:r>
            <w:r w:rsidRPr="00D30E34">
              <w:rPr>
                <w:rFonts w:eastAsia="Calibri" w:cs="Arial"/>
                <w:sz w:val="20"/>
                <w:szCs w:val="20"/>
              </w:rPr>
              <w:instrText xml:space="preserve"> ADDIN REFMGR.CITE </w:instrText>
            </w:r>
            <w:r w:rsidRPr="00D30E34">
              <w:rPr>
                <w:rFonts w:eastAsia="Calibri" w:cs="Arial"/>
                <w:sz w:val="20"/>
                <w:szCs w:val="20"/>
              </w:rPr>
              <w:fldChar w:fldCharType="begin">
                <w:fldData xml:space="preserve">PFJlZm1hbj48Q2l0ZT48QXV0aG9yPkRyb2JuaWV3c2tpPC9BdXRob3I+PFllYXI+MjAxNTwvWWVh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==
</w:fldData>
              </w:fldChar>
            </w:r>
            <w:r w:rsidRPr="00D30E34">
              <w:rPr>
                <w:rFonts w:eastAsia="Calibri" w:cs="Arial"/>
                <w:sz w:val="20"/>
                <w:szCs w:val="20"/>
              </w:rPr>
              <w:instrText xml:space="preserve"> ADDIN EN.CITE.DATA </w:instrText>
            </w:r>
            <w:r w:rsidRPr="00D30E34">
              <w:rPr>
                <w:rFonts w:eastAsia="Calibri" w:cs="Arial"/>
                <w:sz w:val="20"/>
                <w:szCs w:val="20"/>
              </w:rPr>
            </w:r>
            <w:r w:rsidRPr="00D30E34">
              <w:rPr>
                <w:rFonts w:eastAsia="Calibri" w:cs="Arial"/>
                <w:sz w:val="20"/>
                <w:szCs w:val="20"/>
              </w:rPr>
              <w:fldChar w:fldCharType="end"/>
            </w:r>
            <w:r w:rsidRPr="00D30E34">
              <w:rPr>
                <w:rFonts w:eastAsia="Calibri" w:cs="Arial"/>
                <w:sz w:val="20"/>
                <w:szCs w:val="20"/>
              </w:rPr>
            </w:r>
            <w:r w:rsidRPr="00D30E34">
              <w:rPr>
                <w:rFonts w:eastAsia="Calibri" w:cs="Arial"/>
                <w:sz w:val="20"/>
                <w:szCs w:val="20"/>
              </w:rPr>
              <w:fldChar w:fldCharType="separate"/>
            </w:r>
            <w:r w:rsidRPr="00D30E34">
              <w:rPr>
                <w:rFonts w:eastAsia="Calibri" w:cs="Arial"/>
                <w:noProof/>
                <w:sz w:val="20"/>
                <w:szCs w:val="20"/>
                <w:vertAlign w:val="superscript"/>
              </w:rPr>
              <w:t>59</w:t>
            </w:r>
            <w:r w:rsidRPr="00D30E34">
              <w:rPr>
                <w:rFonts w:eastAsia="Calibri" w:cs="Arial"/>
                <w:sz w:val="20"/>
                <w:szCs w:val="20"/>
              </w:rPr>
              <w:fldChar w:fldCharType="end"/>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The effect on health was measured in utilities and associated QALY loss. The cost-effectiveness willingness-to-pay threshold (WTP) was assumed to be either £20,000 or £30,000 per QALY, in line with common practice. The active TB case fatality rate (CFR) assumed that all deaths due to active TB occur within 12 months of progression.</w:t>
      </w:r>
      <w:r w:rsidRPr="00D30E34">
        <w:rPr>
          <w:rFonts w:eastAsia="Calibri" w:cs="Arial"/>
        </w:rPr>
        <w:fldChar w:fldCharType="begin"/>
      </w:r>
      <w:r w:rsidRPr="00D30E34">
        <w:rPr>
          <w:rFonts w:eastAsia="Calibri" w:cs="Arial"/>
        </w:rPr>
        <w:instrText xml:space="preserve"> ADDIN REFMGR.CITE &lt;Refman&gt;&lt;Cite&gt;&lt;Author&gt;Crofts&lt;/Author&gt;&lt;Year&gt;2008&lt;/Year&gt;&lt;RecNum&gt;192&lt;/RecNum&gt;&lt;IDText&gt;Estimating tuberculosis case mortality in England and Wales, 2001-2002&lt;/IDText&gt;&lt;MDL Ref_Type="Journal"&gt;&lt;Ref_Type&gt;Journal&lt;/Ref_Type&gt;&lt;Ref_ID&gt;192&lt;/Ref_ID&gt;&lt;Title_Primary&gt;Estimating tuberculosis case mortality in England and Wales, 2001-2002&lt;/Title_Primary&gt;&lt;Authors_Primary&gt;Crofts,J.P.&lt;/Authors_Primary&gt;&lt;Authors_Primary&gt;Pebody,R.&lt;/Authors_Primary&gt;&lt;Authors_Primary&gt;Grant,A.&lt;/Authors_Primary&gt;&lt;Authors_Primary&gt;Watson,J.M.&lt;/Authors_Primary&gt;&lt;Authors_Primary&gt;Abubakar,I.&lt;/Authors_Primary&gt;&lt;Date_Primary&gt;2008/3&lt;/Date_Primary&gt;&lt;Keywords&gt;Adolescent&lt;/Keywords&gt;&lt;Keywords&gt;Adult&lt;/Keywords&gt;&lt;Keywords&gt;Aged&lt;/Keywords&gt;&lt;Keywords&gt;article&lt;/Keywords&gt;&lt;Keywords&gt;Child&lt;/Keywords&gt;&lt;Keywords&gt;Child,Preschool&lt;/Keywords&gt;&lt;Keywords&gt;England&lt;/Keywords&gt;&lt;Keywords&gt;epidemiology&lt;/Keywords&gt;&lt;Keywords&gt;Female&lt;/Keywords&gt;&lt;Keywords&gt;health&lt;/Keywords&gt;&lt;Keywords&gt;health service&lt;/Keywords&gt;&lt;Keywords&gt;Humans&lt;/Keywords&gt;&lt;Keywords&gt;Infant&lt;/Keywords&gt;&lt;Keywords&gt;infection&lt;/Keywords&gt;&lt;Keywords&gt;London&lt;/Keywords&gt;&lt;Keywords&gt;Male&lt;/Keywords&gt;&lt;Keywords&gt;methods&lt;/Keywords&gt;&lt;Keywords&gt;Middle Aged&lt;/Keywords&gt;&lt;Keywords&gt;Models,Statistical&lt;/Keywords&gt;&lt;Keywords&gt;mortality&lt;/Keywords&gt;&lt;Keywords&gt;Survival Analysis&lt;/Keywords&gt;&lt;Keywords&gt;Treatment Outcome&lt;/Keywords&gt;&lt;Keywords&gt;Tuberculosis&lt;/Keywords&gt;&lt;Keywords&gt;Wales&lt;/Keywords&gt;&lt;Reprint&gt;Not in File&lt;/Reprint&gt;&lt;Start_Page&gt;308&lt;/Start_Page&gt;&lt;End_Page&gt;313&lt;/End_Page&gt;&lt;Periodical&gt;Int J Tuberc Lung Dis&lt;/Periodical&gt;&lt;Volume&gt;12&lt;/Volume&gt;&lt;Issue&gt;3&lt;/Issue&gt;&lt;Address&gt;Department of Respiratory Diseases, Health Protection Agency Centre for Infections, London, UK&lt;/Address&gt;&lt;Web_URL&gt;PM:18284837&lt;/Web_URL&gt;&lt;ZZ_JournalStdAbbrev&gt;&lt;f name="System"&gt;Int J Tuberc Lung Dis&lt;/f&gt;&lt;/ZZ_JournalStdAbbrev&gt;&lt;ZZ_WorkformID&gt;1&lt;/ZZ_WorkformID&gt;&lt;/MDL&gt;&lt;/Cite&gt;&lt;/Refman&gt;</w:instrText>
      </w:r>
      <w:r w:rsidRPr="00D30E34">
        <w:rPr>
          <w:rFonts w:eastAsia="Calibri" w:cs="Arial"/>
        </w:rPr>
        <w:fldChar w:fldCharType="separate"/>
      </w:r>
      <w:r w:rsidRPr="00D30E34">
        <w:rPr>
          <w:rFonts w:eastAsia="Calibri" w:cs="Arial"/>
          <w:noProof/>
          <w:vertAlign w:val="superscript"/>
        </w:rPr>
        <w:t>56</w:t>
      </w:r>
      <w:r w:rsidRPr="00D30E34">
        <w:rPr>
          <w:rFonts w:eastAsia="Calibri" w:cs="Arial"/>
        </w:rPr>
        <w:fldChar w:fldCharType="end"/>
      </w:r>
      <w:r w:rsidRPr="00D30E34">
        <w:rPr>
          <w:rFonts w:eastAsia="Calibri" w:cs="Arial"/>
        </w:rPr>
        <w:t xml:space="preserve"> We assumed that patients not completing treatment dropped out on average after six weeks. The analysis uses the NHS perspective and the time horizon was the lifetime of the patient cohort, but cost savings from averted cases of active TB were only accrued for individuals who remained in EWNI. All costs were inflated to 2016 equivalent prices, if necessary, and cost and QALYs were discounted in to the future at 3.5% p. a.</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The modelled screening age range was from 18 to 45 years old. Immigrants from relevant countries are eligible to be screened up to five years after entry to EWNI, and the model allows for competing events (e.g. leaving EWNI or progression to active TB) occurring prior to screening. Onwards transmission is accounted for in the model as the average number of secondary active TB cases due to each primary case. The utility detriment was assumed to be the same between treatments. The lower limit for LTBI treatment staff costs was used, assuming an efficient use of resources. That is, an initial doctor consultation and one month follow up with a nurse: £126 + £64 = £190.</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jc w:val="both"/>
        <w:outlineLvl w:val="1"/>
        <w:rPr>
          <w:rFonts w:eastAsia="Calibri" w:cs="Arial"/>
        </w:rPr>
      </w:pPr>
      <w:r w:rsidRPr="00D30E34">
        <w:rPr>
          <w:rFonts w:eastAsia="Calibri" w:cs="Arial"/>
        </w:rPr>
        <w:t xml:space="preserve">Using </w:t>
      </w:r>
      <w:hyperlink w:anchor="_Table_19:_LTBI" w:history="1">
        <w:r w:rsidRPr="00D30E34">
          <w:rPr>
            <w:rFonts w:eastAsia="Calibri" w:cs="Arial"/>
            <w:b/>
            <w:color w:val="000000"/>
          </w:rPr>
          <w:t>Table 17</w:t>
        </w:r>
      </w:hyperlink>
      <w:r w:rsidRPr="00D30E34">
        <w:rPr>
          <w:rFonts w:eastAsia="Calibri" w:cs="Arial"/>
        </w:rPr>
        <w:t xml:space="preserve">, from the HALT: LTBI study </w:t>
      </w:r>
      <w:hyperlink w:anchor="_Intervention_and_Standard" w:history="1">
        <w:r w:rsidRPr="00D30E34">
          <w:rPr>
            <w:rFonts w:eastAsia="Calibri" w:cs="Arial"/>
            <w:b/>
            <w:color w:val="000000"/>
          </w:rPr>
          <w:t>protocol</w:t>
        </w:r>
      </w:hyperlink>
      <w:r w:rsidRPr="00D30E34">
        <w:rPr>
          <w:rFonts w:eastAsia="Calibri" w:cs="Arial"/>
        </w:rPr>
        <w:t>, the total cost of three months of standard treatment was 90 × (£0.9 + £0.039) = £84.51. The total cost of 12 weeks of experimental treatment was 12 × (£6.18 + £0.43 + £4.64) = £135.</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27" w:name="_Table_19:_LTBI"/>
      <w:bookmarkStart w:id="28" w:name="_Toc518401713"/>
      <w:bookmarkEnd w:id="27"/>
      <w:r w:rsidRPr="00D30E34">
        <w:rPr>
          <w:rFonts w:eastAsia="Calibri" w:cs="Arial"/>
          <w:b/>
        </w:rPr>
        <w:t>Table 17: LTBI treatment drugs, doses and costs</w:t>
      </w:r>
      <w:bookmarkEnd w:id="28"/>
    </w:p>
    <w:p w:rsidR="00D30E34" w:rsidRPr="00D30E34" w:rsidRDefault="00D30E34" w:rsidP="00D30E34">
      <w:pPr>
        <w:widowControl w:val="0"/>
        <w:tabs>
          <w:tab w:val="left" w:pos="2595"/>
        </w:tabs>
        <w:outlineLvl w:val="1"/>
        <w:rPr>
          <w:rFonts w:eastAsia="Calibri" w:cs="Arial"/>
        </w:rPr>
      </w:pPr>
      <w:r w:rsidRPr="00D30E34">
        <w:rPr>
          <w:rFonts w:eastAsia="Calibri" w:cs="Arial"/>
        </w:rPr>
        <w:t>*</w:t>
      </w:r>
      <w:r w:rsidRPr="00D30E34">
        <w:rPr>
          <w:rFonts w:eastAsia="Calibri" w:cs="Arial"/>
        </w:rPr>
        <w:fldChar w:fldCharType="begin"/>
      </w:r>
      <w:r w:rsidRPr="00D30E34">
        <w:rPr>
          <w:rFonts w:eastAsia="Calibri" w:cs="Arial"/>
        </w:rPr>
        <w:instrText xml:space="preserve"> ADDIN REFMGR.CITE &lt;Refman&gt;&lt;Cite&gt;&lt;Author&gt;Joint Formulary Committee&lt;/Author&gt;&lt;Year&gt;2015&lt;/Year&gt;&lt;RecNum&gt;198&lt;/RecNum&gt;&lt;IDText&gt;British National Formulary (69th edition)&lt;/IDText&gt;&lt;MDL Ref_Type="Report"&gt;&lt;Ref_Type&gt;Report&lt;/Ref_Type&gt;&lt;Ref_ID&gt;198&lt;/Ref_ID&gt;&lt;Title_Primary&gt;British National Formulary (69th edition)&lt;/Title_Primary&gt;&lt;Authors_Primary&gt;Joint Formulary Committee&lt;/Authors_Primary&gt;&lt;Date_Primary&gt;2015&lt;/Date_Primary&gt;&lt;Reprint&gt;Not in File&lt;/Reprint&gt;&lt;Publisher&gt;London: BMJ Group and Pharmaceutical Press&lt;/Publisher&gt;&lt;Web_URL&gt;&lt;u&gt;https://bnf.nice.org.uk/&lt;/u&gt;&lt;/Web_URL&gt;&lt;ZZ_WorkformID&gt;24&lt;/ZZ_WorkformID&gt;&lt;/MDL&gt;&lt;/Cite&gt;&lt;/Refman&gt;</w:instrText>
      </w:r>
      <w:r w:rsidRPr="00D30E34">
        <w:rPr>
          <w:rFonts w:eastAsia="Calibri" w:cs="Arial"/>
        </w:rPr>
        <w:fldChar w:fldCharType="separate"/>
      </w:r>
      <w:r w:rsidRPr="00D30E34">
        <w:rPr>
          <w:rFonts w:eastAsia="Calibri" w:cs="Arial"/>
          <w:noProof/>
          <w:vertAlign w:val="superscript"/>
        </w:rPr>
        <w:t>64</w:t>
      </w:r>
      <w:r w:rsidRPr="00D30E34">
        <w:rPr>
          <w:rFonts w:eastAsia="Calibri" w:cs="Arial"/>
        </w:rPr>
        <w:fldChar w:fldCharType="end"/>
      </w:r>
      <w:r w:rsidRPr="00D30E34">
        <w:rPr>
          <w:rFonts w:eastAsia="Calibri" w:cs="Arial"/>
        </w:rPr>
        <w:t xml:space="preserve"> †Inflated from 2013 to 2017 and converted from dollars to pounds at 1 to 0.77</w:t>
      </w:r>
      <w:r w:rsidRPr="00D30E34">
        <w:rPr>
          <w:rFonts w:eastAsia="Calibri" w:cs="Arial"/>
        </w:rPr>
        <w:fldChar w:fldCharType="begin"/>
      </w:r>
      <w:r w:rsidRPr="00D30E34">
        <w:rPr>
          <w:rFonts w:eastAsia="Calibri" w:cs="Arial"/>
        </w:rPr>
        <w:instrText xml:space="preserve"> ADDIN REFMGR.CITE &lt;Refman&gt;&lt;Cite&gt;&lt;Author&gt;DeLuca&lt;/Author&gt;&lt;Year&gt;2014&lt;/Year&gt;&lt;RecNum&gt;199&lt;/RecNum&gt;&lt;IDText&gt;Activism on rifapentine pricing: removing cost barriers to improve the uptake of tuberculosis research innovations&lt;/IDText&gt;&lt;MDL Ref_Type="Journal"&gt;&lt;Ref_Type&gt;Journal&lt;/Ref_Type&gt;&lt;Ref_ID&gt;199&lt;/Ref_ID&gt;&lt;Title_Primary&gt;Activism on rifapentine pricing: removing cost barriers to improve the uptake of tuberculosis research innovations&lt;/Title_Primary&gt;&lt;Authors_Primary&gt;DeLuca,A.&lt;/Authors_Primary&gt;&lt;Authors_Primary&gt;Frick,M.&lt;/Authors_Primary&gt;&lt;Authors_Primary&gt;Lessem,E.&lt;/Authors_Primary&gt;&lt;Authors_Primary&gt;Kanouse,J.&lt;/Authors_Primary&gt;&lt;Authors_Primary&gt;Wegener,D.&lt;/Authors_Primary&gt;&lt;Authors_Primary&gt;Mingote,L.R.&lt;/Authors_Primary&gt;&lt;Date_Primary&gt;2014/12/21&lt;/Date_Primary&gt;&lt;Keywords&gt;article&lt;/Keywords&gt;&lt;Keywords&gt;health&lt;/Keywords&gt;&lt;Keywords&gt;health program&lt;/Keywords&gt;&lt;Keywords&gt;Public Health&lt;/Keywords&gt;&lt;Keywords&gt;Spain&lt;/Keywords&gt;&lt;Keywords&gt;Tuberculosis&lt;/Keywords&gt;&lt;Keywords&gt;United States&lt;/Keywords&gt;&lt;Keywords&gt;university&lt;/Keywords&gt;&lt;Reprint&gt;Not in File&lt;/Reprint&gt;&lt;Start_Page&gt;238&lt;/Start_Page&gt;&lt;End_Page&gt;242&lt;/End_Page&gt;&lt;Periodical&gt;Public Health Action&lt;/Periodical&gt;&lt;Volume&gt;4&lt;/Volume&gt;&lt;Issue&gt;4&lt;/Issue&gt;&lt;User_Def_5&gt;PMC4533504&lt;/User_Def_5&gt;&lt;Misc_3&gt;10.5588/pha.14.0089 [doi]&lt;/Misc_3&gt;&lt;Address&gt;Center for Tuberculosis Research, Johns Hopkins University, Baltimore, Maryland, USA&amp;#xA;Treatment Action Group, New York, New York, USA&amp;#xA;Treatment Action Group, New York, New York, USA&amp;#xA;National Tuberculosis Controllers Association, Smyrna, Georgia, USA&amp;#xA;National Tuberculosis Controllers Association, Smyrna, Georgia, USA&amp;#xA;Planeta Salud, Barcelona, Spain&lt;/Address&gt;&lt;Web_URL&gt;PM:26400702&lt;/Web_URL&gt;&lt;ZZ_JournalStdAbbrev&gt;&lt;f name="System"&gt;Public Health Action&lt;/f&gt;&lt;/ZZ_JournalStdAbbrev&gt;&lt;ZZ_WorkformID&gt;1&lt;/ZZ_WorkformID&gt;&lt;/MDL&gt;&lt;/Cite&gt;&lt;/Refman&gt;</w:instrText>
      </w:r>
      <w:r w:rsidRPr="00D30E34">
        <w:rPr>
          <w:rFonts w:eastAsia="Calibri" w:cs="Arial"/>
        </w:rPr>
        <w:fldChar w:fldCharType="separate"/>
      </w:r>
      <w:r w:rsidRPr="00D30E34">
        <w:rPr>
          <w:rFonts w:eastAsia="Calibri" w:cs="Arial"/>
          <w:noProof/>
          <w:vertAlign w:val="superscript"/>
        </w:rPr>
        <w:t>65</w:t>
      </w:r>
      <w:r w:rsidRPr="00D30E34">
        <w:rPr>
          <w:rFonts w:eastAsia="Calibri" w:cs="Arial"/>
        </w:rPr>
        <w:fldChar w:fldCharType="end"/>
      </w:r>
      <w:r w:rsidRPr="00D30E34">
        <w:rPr>
          <w:rFonts w:eastAsia="Calibri" w:cs="Arial"/>
        </w:rPr>
        <w:t>.</w:t>
      </w:r>
    </w:p>
    <w:p w:rsidR="00D30E34" w:rsidRPr="00D30E34" w:rsidRDefault="00D30E34" w:rsidP="00D30E34">
      <w:pPr>
        <w:spacing w:line="360" w:lineRule="auto"/>
        <w:outlineLvl w:val="1"/>
        <w:rPr>
          <w:rFonts w:eastAsia="Calibri" w:cs="Arial"/>
        </w:rPr>
      </w:pPr>
    </w:p>
    <w:tbl>
      <w:tblPr>
        <w:tblW w:w="0" w:type="auto"/>
        <w:tblLook w:val="04A0" w:firstRow="1" w:lastRow="0" w:firstColumn="1" w:lastColumn="0" w:noHBand="0" w:noVBand="1"/>
      </w:tblPr>
      <w:tblGrid>
        <w:gridCol w:w="3579"/>
        <w:gridCol w:w="2655"/>
        <w:gridCol w:w="1766"/>
        <w:gridCol w:w="2198"/>
      </w:tblGrid>
      <w:tr w:rsidR="00D30E34" w:rsidRPr="00D30E34" w:rsidTr="002B425C">
        <w:trPr>
          <w:trHeight w:val="431"/>
        </w:trPr>
        <w:tc>
          <w:tcPr>
            <w:tcW w:w="0" w:type="auto"/>
            <w:tcBorders>
              <w:top w:val="single" w:sz="4" w:space="0" w:color="auto"/>
              <w:bottom w:val="single" w:sz="4" w:space="0" w:color="auto"/>
            </w:tcBorders>
          </w:tcPr>
          <w:p w:rsidR="00D30E34" w:rsidRPr="00D30E34" w:rsidRDefault="00D30E34" w:rsidP="00D30E34">
            <w:pPr>
              <w:spacing w:line="360" w:lineRule="auto"/>
              <w:outlineLvl w:val="1"/>
              <w:rPr>
                <w:rFonts w:eastAsia="Calibri" w:cs="Arial"/>
                <w:b/>
              </w:rPr>
            </w:pPr>
            <w:r w:rsidRPr="00D30E34">
              <w:rPr>
                <w:rFonts w:eastAsia="Calibri" w:cs="Arial"/>
                <w:b/>
              </w:rPr>
              <w:t>Drug Name</w:t>
            </w:r>
          </w:p>
        </w:tc>
        <w:tc>
          <w:tcPr>
            <w:tcW w:w="0" w:type="auto"/>
            <w:tcBorders>
              <w:top w:val="single" w:sz="4" w:space="0" w:color="auto"/>
              <w:bottom w:val="single" w:sz="4" w:space="0" w:color="auto"/>
            </w:tcBorders>
          </w:tcPr>
          <w:p w:rsidR="00D30E34" w:rsidRPr="00D30E34" w:rsidRDefault="00D30E34" w:rsidP="00D30E34">
            <w:pPr>
              <w:spacing w:line="360" w:lineRule="auto"/>
              <w:jc w:val="center"/>
              <w:outlineLvl w:val="1"/>
              <w:rPr>
                <w:rFonts w:eastAsia="Calibri" w:cs="Arial"/>
                <w:b/>
              </w:rPr>
            </w:pPr>
            <w:r w:rsidRPr="00D30E34">
              <w:rPr>
                <w:rFonts w:eastAsia="Calibri" w:cs="Arial"/>
                <w:b/>
              </w:rPr>
              <w:t>Cost per tablet (£)</w:t>
            </w:r>
          </w:p>
        </w:tc>
        <w:tc>
          <w:tcPr>
            <w:tcW w:w="0" w:type="auto"/>
            <w:tcBorders>
              <w:top w:val="single" w:sz="4" w:space="0" w:color="auto"/>
              <w:bottom w:val="single" w:sz="4" w:space="0" w:color="auto"/>
            </w:tcBorders>
          </w:tcPr>
          <w:p w:rsidR="00D30E34" w:rsidRPr="00D30E34" w:rsidRDefault="00D30E34" w:rsidP="00D30E34">
            <w:pPr>
              <w:spacing w:line="360" w:lineRule="auto"/>
              <w:jc w:val="center"/>
              <w:outlineLvl w:val="1"/>
              <w:rPr>
                <w:rFonts w:eastAsia="Calibri" w:cs="Arial"/>
                <w:b/>
              </w:rPr>
            </w:pPr>
            <w:r w:rsidRPr="00D30E34">
              <w:rPr>
                <w:rFonts w:eastAsia="Calibri" w:cs="Arial"/>
                <w:b/>
              </w:rPr>
              <w:t>Tablets per dose</w:t>
            </w:r>
          </w:p>
        </w:tc>
        <w:tc>
          <w:tcPr>
            <w:tcW w:w="0" w:type="auto"/>
            <w:tcBorders>
              <w:top w:val="single" w:sz="4" w:space="0" w:color="auto"/>
              <w:bottom w:val="single" w:sz="4" w:space="0" w:color="auto"/>
            </w:tcBorders>
          </w:tcPr>
          <w:p w:rsidR="00D30E34" w:rsidRPr="00D30E34" w:rsidRDefault="00D30E34" w:rsidP="00D30E34">
            <w:pPr>
              <w:spacing w:line="360" w:lineRule="auto"/>
              <w:jc w:val="center"/>
              <w:outlineLvl w:val="1"/>
              <w:rPr>
                <w:rFonts w:eastAsia="Calibri" w:cs="Arial"/>
                <w:b/>
              </w:rPr>
            </w:pPr>
            <w:r w:rsidRPr="00D30E34">
              <w:rPr>
                <w:rFonts w:eastAsia="Calibri" w:cs="Arial"/>
                <w:b/>
              </w:rPr>
              <w:t>Total cost per dose (£)</w:t>
            </w:r>
          </w:p>
        </w:tc>
      </w:tr>
      <w:tr w:rsidR="00D30E34" w:rsidRPr="00D30E34" w:rsidTr="002B425C">
        <w:trPr>
          <w:trHeight w:val="792"/>
        </w:trPr>
        <w:tc>
          <w:tcPr>
            <w:tcW w:w="0" w:type="auto"/>
            <w:tcBorders>
              <w:top w:val="single" w:sz="4" w:space="0" w:color="auto"/>
            </w:tcBorders>
          </w:tcPr>
          <w:p w:rsidR="00D30E34" w:rsidRPr="00D30E34" w:rsidRDefault="00D30E34" w:rsidP="00D30E34">
            <w:pPr>
              <w:spacing w:line="360" w:lineRule="auto"/>
              <w:outlineLvl w:val="1"/>
              <w:rPr>
                <w:rFonts w:eastAsia="Calibri" w:cs="Arial"/>
              </w:rPr>
            </w:pPr>
            <w:r w:rsidRPr="00D30E34">
              <w:rPr>
                <w:rFonts w:eastAsia="Calibri" w:cs="Arial"/>
              </w:rPr>
              <w:t>Rifinah©300/150 (rifampicin/isoniazid)</w:t>
            </w:r>
          </w:p>
        </w:tc>
        <w:tc>
          <w:tcPr>
            <w:tcW w:w="0" w:type="auto"/>
            <w:tcBorders>
              <w:top w:val="single" w:sz="4" w:space="0" w:color="auto"/>
            </w:tcBorders>
          </w:tcPr>
          <w:p w:rsidR="00D30E34" w:rsidRPr="00D30E34" w:rsidRDefault="00D30E34" w:rsidP="00D30E34">
            <w:pPr>
              <w:spacing w:line="360" w:lineRule="auto"/>
              <w:jc w:val="center"/>
              <w:outlineLvl w:val="1"/>
              <w:rPr>
                <w:rFonts w:eastAsia="Calibri" w:cs="Arial"/>
              </w:rPr>
            </w:pPr>
            <w:r w:rsidRPr="00D30E34">
              <w:rPr>
                <w:rFonts w:eastAsia="Calibri" w:cs="Arial"/>
              </w:rPr>
              <w:t>0.45 (£25.22/56)*</w:t>
            </w:r>
          </w:p>
        </w:tc>
        <w:tc>
          <w:tcPr>
            <w:tcW w:w="0" w:type="auto"/>
            <w:tcBorders>
              <w:top w:val="single" w:sz="4" w:space="0" w:color="auto"/>
            </w:tcBorders>
          </w:tcPr>
          <w:p w:rsidR="00D30E34" w:rsidRPr="00D30E34" w:rsidRDefault="00D30E34" w:rsidP="00D30E34">
            <w:pPr>
              <w:spacing w:line="360" w:lineRule="auto"/>
              <w:jc w:val="center"/>
              <w:outlineLvl w:val="1"/>
              <w:rPr>
                <w:rFonts w:eastAsia="Calibri" w:cs="Arial"/>
              </w:rPr>
            </w:pPr>
            <w:r w:rsidRPr="00D30E34">
              <w:rPr>
                <w:rFonts w:eastAsia="Calibri" w:cs="Arial"/>
              </w:rPr>
              <w:t>2</w:t>
            </w:r>
          </w:p>
        </w:tc>
        <w:tc>
          <w:tcPr>
            <w:tcW w:w="0" w:type="auto"/>
            <w:tcBorders>
              <w:top w:val="single" w:sz="4" w:space="0" w:color="auto"/>
            </w:tcBorders>
          </w:tcPr>
          <w:p w:rsidR="00D30E34" w:rsidRPr="00D30E34" w:rsidRDefault="00D30E34" w:rsidP="00D30E34">
            <w:pPr>
              <w:spacing w:line="360" w:lineRule="auto"/>
              <w:jc w:val="center"/>
              <w:outlineLvl w:val="1"/>
              <w:rPr>
                <w:rFonts w:eastAsia="Calibri" w:cs="Arial"/>
              </w:rPr>
            </w:pPr>
            <w:r w:rsidRPr="00D30E34">
              <w:rPr>
                <w:rFonts w:eastAsia="Calibri" w:cs="Arial"/>
              </w:rPr>
              <w:t>0.9</w:t>
            </w:r>
          </w:p>
        </w:tc>
      </w:tr>
      <w:tr w:rsidR="00D30E34" w:rsidRPr="00D30E34" w:rsidTr="002B425C">
        <w:tc>
          <w:tcPr>
            <w:tcW w:w="0" w:type="auto"/>
          </w:tcPr>
          <w:p w:rsidR="00D30E34" w:rsidRPr="00D30E34" w:rsidRDefault="00D30E34" w:rsidP="00D30E34">
            <w:pPr>
              <w:spacing w:line="360" w:lineRule="auto"/>
              <w:outlineLvl w:val="1"/>
              <w:rPr>
                <w:rFonts w:eastAsia="Calibri" w:cs="Arial"/>
              </w:rPr>
            </w:pPr>
            <w:r w:rsidRPr="00D30E34">
              <w:rPr>
                <w:rFonts w:eastAsia="Calibri" w:cs="Arial"/>
              </w:rPr>
              <w:t>Pyridoxine 10 mg</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0.039 (£3.90/100)*</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1</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0.039</w:t>
            </w:r>
          </w:p>
        </w:tc>
      </w:tr>
      <w:tr w:rsidR="00D30E34" w:rsidRPr="00D30E34" w:rsidTr="002B425C">
        <w:tc>
          <w:tcPr>
            <w:tcW w:w="0" w:type="auto"/>
          </w:tcPr>
          <w:p w:rsidR="00D30E34" w:rsidRPr="00D30E34" w:rsidRDefault="00D30E34" w:rsidP="00D30E34">
            <w:pPr>
              <w:spacing w:line="360" w:lineRule="auto"/>
              <w:outlineLvl w:val="1"/>
              <w:rPr>
                <w:rFonts w:eastAsia="Calibri" w:cs="Arial"/>
              </w:rPr>
            </w:pPr>
            <w:r w:rsidRPr="00D30E34">
              <w:rPr>
                <w:rFonts w:eastAsia="Calibri" w:cs="Arial"/>
              </w:rPr>
              <w:t>Priftin® 150 mg (rifapentine)</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0.77 ($32/32=£24.74/32)†</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6</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4.64</w:t>
            </w:r>
          </w:p>
        </w:tc>
      </w:tr>
      <w:tr w:rsidR="00D30E34" w:rsidRPr="00D30E34" w:rsidTr="002B425C">
        <w:tc>
          <w:tcPr>
            <w:tcW w:w="0" w:type="auto"/>
          </w:tcPr>
          <w:p w:rsidR="00D30E34" w:rsidRPr="00D30E34" w:rsidRDefault="00D30E34" w:rsidP="00D30E34">
            <w:pPr>
              <w:spacing w:line="360" w:lineRule="auto"/>
              <w:outlineLvl w:val="1"/>
              <w:rPr>
                <w:rFonts w:eastAsia="Calibri" w:cs="Arial"/>
              </w:rPr>
            </w:pPr>
            <w:r w:rsidRPr="00D30E34">
              <w:rPr>
                <w:rFonts w:eastAsia="Calibri" w:cs="Arial"/>
              </w:rPr>
              <w:t>Isoniazid 100mg</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0.69 (£19.24/28)*</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9</w:t>
            </w:r>
          </w:p>
        </w:tc>
        <w:tc>
          <w:tcPr>
            <w:tcW w:w="0" w:type="auto"/>
          </w:tcPr>
          <w:p w:rsidR="00D30E34" w:rsidRPr="00D30E34" w:rsidRDefault="00D30E34" w:rsidP="00D30E34">
            <w:pPr>
              <w:spacing w:line="360" w:lineRule="auto"/>
              <w:jc w:val="center"/>
              <w:outlineLvl w:val="1"/>
              <w:rPr>
                <w:rFonts w:eastAsia="Calibri" w:cs="Arial"/>
              </w:rPr>
            </w:pPr>
            <w:r w:rsidRPr="00D30E34">
              <w:rPr>
                <w:rFonts w:eastAsia="Calibri" w:cs="Arial"/>
              </w:rPr>
              <w:t>6.18</w:t>
            </w:r>
          </w:p>
        </w:tc>
      </w:tr>
      <w:tr w:rsidR="00D30E34" w:rsidRPr="00D30E34" w:rsidTr="002B425C">
        <w:tc>
          <w:tcPr>
            <w:tcW w:w="0" w:type="auto"/>
            <w:tcBorders>
              <w:bottom w:val="single" w:sz="4" w:space="0" w:color="auto"/>
            </w:tcBorders>
          </w:tcPr>
          <w:p w:rsidR="00D30E34" w:rsidRPr="00D30E34" w:rsidRDefault="00D30E34" w:rsidP="00D30E34">
            <w:pPr>
              <w:spacing w:line="360" w:lineRule="auto"/>
              <w:outlineLvl w:val="1"/>
              <w:rPr>
                <w:rFonts w:eastAsia="Calibri" w:cs="Arial"/>
              </w:rPr>
            </w:pPr>
            <w:r w:rsidRPr="00D30E34">
              <w:rPr>
                <w:rFonts w:eastAsia="Calibri" w:cs="Arial"/>
              </w:rPr>
              <w:t>Pyridoxine 10 mg</w:t>
            </w:r>
          </w:p>
        </w:tc>
        <w:tc>
          <w:tcPr>
            <w:tcW w:w="0" w:type="auto"/>
            <w:tcBorders>
              <w:bottom w:val="single" w:sz="4" w:space="0" w:color="auto"/>
            </w:tcBorders>
          </w:tcPr>
          <w:p w:rsidR="00D30E34" w:rsidRPr="00D30E34" w:rsidRDefault="00D30E34" w:rsidP="00D30E34">
            <w:pPr>
              <w:spacing w:line="360" w:lineRule="auto"/>
              <w:jc w:val="center"/>
              <w:outlineLvl w:val="1"/>
              <w:rPr>
                <w:rFonts w:eastAsia="Calibri" w:cs="Arial"/>
              </w:rPr>
            </w:pPr>
            <w:r w:rsidRPr="00D30E34">
              <w:rPr>
                <w:rFonts w:eastAsia="Calibri" w:cs="Arial"/>
              </w:rPr>
              <w:t>0.43 (£12.95/30)*</w:t>
            </w:r>
          </w:p>
        </w:tc>
        <w:tc>
          <w:tcPr>
            <w:tcW w:w="0" w:type="auto"/>
            <w:tcBorders>
              <w:bottom w:val="single" w:sz="4" w:space="0" w:color="auto"/>
            </w:tcBorders>
          </w:tcPr>
          <w:p w:rsidR="00D30E34" w:rsidRPr="00D30E34" w:rsidRDefault="00D30E34" w:rsidP="00D30E34">
            <w:pPr>
              <w:spacing w:line="360" w:lineRule="auto"/>
              <w:jc w:val="center"/>
              <w:outlineLvl w:val="1"/>
              <w:rPr>
                <w:rFonts w:eastAsia="Calibri" w:cs="Arial"/>
              </w:rPr>
            </w:pPr>
            <w:r w:rsidRPr="00D30E34">
              <w:rPr>
                <w:rFonts w:eastAsia="Calibri" w:cs="Arial"/>
              </w:rPr>
              <w:t>1</w:t>
            </w:r>
          </w:p>
        </w:tc>
        <w:tc>
          <w:tcPr>
            <w:tcW w:w="0" w:type="auto"/>
            <w:tcBorders>
              <w:bottom w:val="single" w:sz="4" w:space="0" w:color="auto"/>
            </w:tcBorders>
          </w:tcPr>
          <w:p w:rsidR="00D30E34" w:rsidRPr="00D30E34" w:rsidRDefault="00D30E34" w:rsidP="00D30E34">
            <w:pPr>
              <w:keepNext/>
              <w:spacing w:line="360" w:lineRule="auto"/>
              <w:jc w:val="center"/>
              <w:outlineLvl w:val="1"/>
              <w:rPr>
                <w:rFonts w:eastAsia="Calibri" w:cs="Arial"/>
              </w:rPr>
            </w:pPr>
            <w:r w:rsidRPr="00D30E34">
              <w:rPr>
                <w:rFonts w:eastAsia="Calibri" w:cs="Arial"/>
              </w:rPr>
              <w:t>0.43</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29" w:name="_Toc518401714"/>
      <w:r w:rsidRPr="00D30E34">
        <w:rPr>
          <w:rFonts w:eastAsia="Calibri" w:cs="Arial"/>
          <w:b/>
        </w:rPr>
        <w:t>Estimating time taken to progress to active TB</w:t>
      </w:r>
      <w:bookmarkEnd w:id="29"/>
    </w:p>
    <w:p w:rsidR="00D30E34" w:rsidRPr="00D30E34" w:rsidRDefault="00D30E34" w:rsidP="00D30E34">
      <w:pPr>
        <w:spacing w:line="360" w:lineRule="auto"/>
        <w:outlineLvl w:val="1"/>
        <w:rPr>
          <w:rFonts w:eastAsia="Calibri" w:cs="Arial"/>
        </w:rPr>
      </w:pPr>
      <w:r w:rsidRPr="00D30E34">
        <w:rPr>
          <w:rFonts w:eastAsia="Calibri" w:cs="Arial"/>
        </w:rPr>
        <w:t>Active TB progression is a competing risk with all-cause death and is left-censored in the data when an individual leaves EWNI. The time of death and EWNI exit is also unobserved.</w:t>
      </w:r>
    </w:p>
    <w:p w:rsidR="00D30E34" w:rsidRDefault="00D30E34" w:rsidP="00D30E34">
      <w:pPr>
        <w:spacing w:line="360" w:lineRule="auto"/>
        <w:outlineLvl w:val="1"/>
        <w:rPr>
          <w:rFonts w:eastAsia="Calibri" w:cs="Arial"/>
        </w:rPr>
      </w:pPr>
      <w:r w:rsidRPr="00D30E34">
        <w:rPr>
          <w:rFonts w:eastAsia="Calibri" w:cs="Arial"/>
        </w:rPr>
        <w:t xml:space="preserve">The (unobserved) times for leaving EWNI and all-cause death were imputed in Aldridge </w:t>
      </w:r>
      <w:r w:rsidRPr="00D30E34">
        <w:rPr>
          <w:rFonts w:eastAsia="Calibri" w:cs="Arial"/>
          <w:i/>
        </w:rPr>
        <w:t>et al.</w:t>
      </w:r>
      <w:r w:rsidRPr="00D30E34">
        <w:rPr>
          <w:rFonts w:eastAsia="Calibri" w:cs="Arial"/>
        </w:rPr>
        <w:fldChar w:fldCharType="begin">
          <w:fldData xml:space="preserve">PFJlZm1hbj48Q2l0ZT48QXV0aG9yPkFsZHJpZGdlPC9BdXRob3I+PFllYXI+MjAxNjwvWWVhcj48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</w:fldData>
        </w:fldChar>
      </w:r>
      <w:r w:rsidRPr="00D30E34">
        <w:rPr>
          <w:rFonts w:eastAsia="Calibri" w:cs="Arial"/>
        </w:rPr>
        <w:instrText xml:space="preserve"> ADDIN REFMGR.CITE </w:instrText>
      </w:r>
      <w:r w:rsidRPr="00D30E34">
        <w:rPr>
          <w:rFonts w:eastAsia="Calibri" w:cs="Arial"/>
        </w:rPr>
        <w:fldChar w:fldCharType="begin">
          <w:fldData xml:space="preserve">PFJlZm1hbj48Q2l0ZT48QXV0aG9yPkFsZHJpZGdlPC9BdXRob3I+PFllYXI+MjAxNjwvWWVhcj48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</w:fldData>
        </w:fldChar>
      </w:r>
      <w:r w:rsidRPr="00D30E34">
        <w:rPr>
          <w:rFonts w:eastAsia="Calibri" w:cs="Arial"/>
        </w:rPr>
        <w:instrText xml:space="preserve"> ADDIN EN.CITE.DATA </w:instrText>
      </w:r>
      <w:r w:rsidRPr="00D30E34">
        <w:rPr>
          <w:rFonts w:eastAsia="Calibri" w:cs="Arial"/>
        </w:rPr>
      </w:r>
      <w:r w:rsidRPr="00D30E34">
        <w:rPr>
          <w:rFonts w:eastAsia="Calibri" w:cs="Arial"/>
        </w:rPr>
        <w:fldChar w:fldCharType="end"/>
      </w:r>
      <w:r w:rsidRPr="00D30E34">
        <w:rPr>
          <w:rFonts w:eastAsia="Calibri" w:cs="Arial"/>
        </w:rPr>
      </w:r>
      <w:r w:rsidRPr="00D30E34">
        <w:rPr>
          <w:rFonts w:eastAsia="Calibri" w:cs="Arial"/>
        </w:rPr>
        <w:fldChar w:fldCharType="separate"/>
      </w:r>
      <w:r w:rsidRPr="00D30E34">
        <w:rPr>
          <w:rFonts w:eastAsia="Calibri" w:cs="Arial"/>
          <w:noProof/>
          <w:vertAlign w:val="superscript"/>
        </w:rPr>
        <w:t>47</w:t>
      </w:r>
      <w:r w:rsidRPr="00D30E34">
        <w:rPr>
          <w:rFonts w:eastAsia="Calibri" w:cs="Arial"/>
        </w:rPr>
        <w:fldChar w:fldCharType="end"/>
      </w:r>
      <w:r w:rsidRPr="00D30E34">
        <w:rPr>
          <w:rFonts w:eastAsia="Calibri" w:cs="Arial"/>
        </w:rPr>
        <w:t xml:space="preserve"> for the defined cohort. We randomly sampled LTBI status for those individuals that did not have observed active TB progression in accordance with their risk of infection due to country of origin.</w:t>
      </w:r>
      <w:r w:rsidRPr="00D30E34">
        <w:rPr>
          <w:rFonts w:eastAsia="Calibri" w:cs="Arial"/>
        </w:rPr>
        <w:fldChar w:fldCharType="begin"/>
      </w:r>
      <w:r w:rsidRPr="00D30E34">
        <w:rPr>
          <w:rFonts w:eastAsia="Calibri" w:cs="Arial"/>
        </w:rPr>
        <w:instrText xml:space="preserve"> ADDIN REFMGR.CITE &lt;Refman&gt;&lt;Cite&gt;&lt;Author&gt;Pareek&lt;/Author&gt;&lt;Year&gt;2011&lt;/Year&gt;&lt;RecNum&gt;187&lt;/RecNum&gt;&lt;IDText&gt;Tuberculosis screening of migrants to low-burden nations: insights from evaluation of UK practice&lt;/IDText&gt;&lt;MDL Ref_Type="Journal"&gt;&lt;Ref_Type&gt;Journal&lt;/Ref_Type&gt;&lt;Ref_ID&gt;187&lt;/Ref_ID&gt;&lt;Title_Primary&gt;Tuberculosis screening of migrants to low-burden nations: insights from evaluation of UK practice&lt;/Title_Primary&gt;&lt;Authors_Primary&gt;Pareek,M.&lt;/Authors_Primary&gt;&lt;Authors_Primary&gt;Abubakar,I.&lt;/Authors_Primary&gt;&lt;Authors_Primary&gt;White,P.J.&lt;/Authors_Primary&gt;&lt;Authors_Primary&gt;Garnett,G.P.&lt;/Authors_Primary&gt;&lt;Authors_Primary&gt;Lalvani,A.&lt;/Authors_Primary&gt;&lt;Date_Primary&gt;2011/5&lt;/Date_Primary&gt;&lt;Keywords&gt;Adolescent&lt;/Keywords&gt;&lt;Keywords&gt;Adult&lt;/Keywords&gt;&lt;Keywords&gt;article&lt;/Keywords&gt;&lt;Keywords&gt;diagnosis&lt;/Keywords&gt;&lt;Keywords&gt;diagnostic imaging&lt;/Keywords&gt;&lt;Keywords&gt;Emigrants and Immigrants&lt;/Keywords&gt;&lt;Keywords&gt;epidemiology&lt;/Keywords&gt;&lt;Keywords&gt;Humans&lt;/Keywords&gt;&lt;Keywords&gt;Incidence&lt;/Keywords&gt;&lt;Keywords&gt;infection&lt;/Keywords&gt;&lt;Keywords&gt;Latent Tuberculosis&lt;/Keywords&gt;&lt;Keywords&gt;London&lt;/Keywords&gt;&lt;Keywords&gt;Lung&lt;/Keywords&gt;&lt;Keywords&gt;Mass Screening&lt;/Keywords&gt;&lt;Keywords&gt;methods&lt;/Keywords&gt;&lt;Keywords&gt;migrant&lt;/Keywords&gt;&lt;Keywords&gt;Primary Health Care&lt;/Keywords&gt;&lt;Keywords&gt;Radiography&lt;/Keywords&gt;&lt;Keywords&gt;screening&lt;/Keywords&gt;&lt;Keywords&gt;statistics &amp;amp; numerical data&lt;/Keywords&gt;&lt;Keywords&gt;Surveys and Questionnaires&lt;/Keywords&gt;&lt;Keywords&gt;Tuberculin Test&lt;/Keywords&gt;&lt;Keywords&gt;Tuberculosis&lt;/Keywords&gt;&lt;Keywords&gt;United Kingdom&lt;/Keywords&gt;&lt;Keywords&gt;Young Adult&lt;/Keywords&gt;&lt;Reprint&gt;Not in File&lt;/Reprint&gt;&lt;Start_Page&gt;1175&lt;/Start_Page&gt;&lt;End_Page&gt;1182&lt;/End_Page&gt;&lt;Periodical&gt;Eur Respir J&lt;/Periodical&gt;&lt;Volume&gt;37&lt;/Volume&gt;&lt;Issue&gt;5&lt;/Issue&gt;&lt;Misc_3&gt;09031936.00105810 [pii];10.1183/09031936.00105810 [doi]&lt;/Misc_3&gt;&lt;Address&gt;Tuberculosis Research Unit, Dept of Respiratory Medicine, National Heart and Lung Institute, Imperial College London, London, UK&lt;/Address&gt;&lt;Web_URL&gt;PM:21071474&lt;/Web_URL&gt;&lt;ZZ_JournalStdAbbrev&gt;&lt;f name="System"&gt;Eur Respir J&lt;/f&gt;&lt;/ZZ_JournalStdAbbrev&gt;&lt;ZZ_WorkformID&gt;1&lt;/ZZ_WorkformID&gt;&lt;/MDL&gt;&lt;/Cite&gt;&lt;/Refman&gt;</w:instrText>
      </w:r>
      <w:r w:rsidRPr="00D30E34">
        <w:rPr>
          <w:rFonts w:eastAsia="Calibri" w:cs="Arial"/>
        </w:rPr>
        <w:fldChar w:fldCharType="separate"/>
      </w:r>
      <w:r w:rsidRPr="00D30E34">
        <w:rPr>
          <w:rFonts w:eastAsia="Calibri" w:cs="Arial"/>
          <w:noProof/>
          <w:vertAlign w:val="superscript"/>
        </w:rPr>
        <w:t>51</w:t>
      </w:r>
      <w:r w:rsidRPr="00D30E34">
        <w:rPr>
          <w:rFonts w:eastAsia="Calibri" w:cs="Arial"/>
        </w:rPr>
        <w:fldChar w:fldCharType="end"/>
      </w:r>
      <w:r w:rsidRPr="00D30E34">
        <w:rPr>
          <w:rFonts w:eastAsia="Calibri" w:cs="Arial"/>
        </w:rPr>
        <w:t xml:space="preserve"> In order to sample progression times, we extrapolated the annual probability of progression to active TB curves into the future using generalised linear regression on cumulative incidence values in literature.</w:t>
      </w:r>
      <w:r w:rsidRPr="00D30E34">
        <w:rPr>
          <w:rFonts w:eastAsia="Calibri" w:cs="Arial"/>
        </w:rPr>
        <w:fldChar w:fldCharType="begin">
          <w:fldData xml:space="preserve">PFJlZm1hbj48Q2l0ZT48QXV0aG9yPlN1dGhlcmxhbmQ8L0F1dGhvcj48WWVhcj4xOTgyPC9ZZWFy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==
</w:fldData>
        </w:fldChar>
      </w:r>
      <w:r w:rsidRPr="00D30E34">
        <w:rPr>
          <w:rFonts w:eastAsia="Calibri" w:cs="Arial"/>
        </w:rPr>
        <w:instrText xml:space="preserve"> ADDIN REFMGR.CITE </w:instrText>
      </w:r>
      <w:r w:rsidRPr="00D30E34">
        <w:rPr>
          <w:rFonts w:eastAsia="Calibri" w:cs="Arial"/>
        </w:rPr>
        <w:fldChar w:fldCharType="begin">
          <w:fldData xml:space="preserve">PFJlZm1hbj48Q2l0ZT48QXV0aG9yPlN1dGhlcmxhbmQ8L0F1dGhvcj48WWVhcj4xOTgyPC9ZZWFy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==
</w:fldData>
        </w:fldChar>
      </w:r>
      <w:r w:rsidRPr="00D30E34">
        <w:rPr>
          <w:rFonts w:eastAsia="Calibri" w:cs="Arial"/>
        </w:rPr>
        <w:instrText xml:space="preserve"> ADDIN EN.CITE.DATA </w:instrText>
      </w:r>
      <w:r w:rsidRPr="00D30E34">
        <w:rPr>
          <w:rFonts w:eastAsia="Calibri" w:cs="Arial"/>
        </w:rPr>
      </w:r>
      <w:r w:rsidRPr="00D30E34">
        <w:rPr>
          <w:rFonts w:eastAsia="Calibri" w:cs="Arial"/>
        </w:rPr>
        <w:fldChar w:fldCharType="end"/>
      </w:r>
      <w:r w:rsidRPr="00D30E34">
        <w:rPr>
          <w:rFonts w:eastAsia="Calibri" w:cs="Arial"/>
        </w:rPr>
      </w:r>
      <w:r w:rsidRPr="00D30E34">
        <w:rPr>
          <w:rFonts w:eastAsia="Calibri" w:cs="Arial"/>
        </w:rPr>
        <w:fldChar w:fldCharType="separate"/>
      </w:r>
      <w:r w:rsidRPr="00D30E34">
        <w:rPr>
          <w:rFonts w:eastAsia="Calibri" w:cs="Arial"/>
          <w:noProof/>
          <w:vertAlign w:val="superscript"/>
        </w:rPr>
        <w:t>49</w:t>
      </w:r>
      <w:r w:rsidRPr="00D30E34">
        <w:rPr>
          <w:rFonts w:eastAsia="Calibri" w:cs="Arial"/>
        </w:rPr>
        <w:fldChar w:fldCharType="end"/>
      </w:r>
      <w:r w:rsidRPr="00D30E34">
        <w:rPr>
          <w:rFonts w:eastAsia="Calibri" w:cs="Arial"/>
        </w:rPr>
        <w:t xml:space="preserve"> We were also interested in active TB progression </w:t>
      </w:r>
      <w:r w:rsidRPr="00D30E34">
        <w:rPr>
          <w:rFonts w:eastAsia="Calibri" w:cs="Arial"/>
          <w:i/>
        </w:rPr>
        <w:t xml:space="preserve">after leaving </w:t>
      </w:r>
      <w:r w:rsidRPr="00D30E34">
        <w:rPr>
          <w:rFonts w:eastAsia="Calibri" w:cs="Arial"/>
        </w:rPr>
        <w:t xml:space="preserve">EWNI. In order to do this, we fit a competing-risks model to the imputed data using the empirical transition matrix (also called Aalen-Johansson) to the complete data set (2006-12) using the R package </w:t>
      </w:r>
      <w:r w:rsidRPr="00D30E34">
        <w:rPr>
          <w:rFonts w:eastAsia="Calibri" w:cs="Arial"/>
          <w:i/>
        </w:rPr>
        <w:t>etm</w:t>
      </w:r>
      <w:r w:rsidRPr="00D30E34">
        <w:rPr>
          <w:rFonts w:eastAsia="Calibri" w:cs="Arial"/>
        </w:rPr>
        <w:t>.</w:t>
      </w:r>
      <w:r w:rsidRPr="00D30E34">
        <w:rPr>
          <w:rFonts w:eastAsia="Calibri" w:cs="Arial"/>
        </w:rPr>
        <w:fldChar w:fldCharType="begin"/>
      </w:r>
      <w:r w:rsidRPr="00D30E34">
        <w:rPr>
          <w:rFonts w:eastAsia="Calibri" w:cs="Arial"/>
        </w:rPr>
        <w:instrText xml:space="preserve"> ADDIN REFMGR.CITE &lt;Refman&gt;&lt;Cite&gt;&lt;Author&gt;Allignol&lt;/Author&gt;&lt;Year&gt;2011&lt;/Year&gt;&lt;RecNum&gt;200&lt;/RecNum&gt;&lt;IDText&gt;Empirical Transition Matrix of Multi-State Models?: The etm Package&lt;/IDText&gt;&lt;MDL Ref_Type="Journal"&gt;&lt;Ref_Type&gt;Journal&lt;/Ref_Type&gt;&lt;Ref_ID&gt;200&lt;/Ref_ID&gt;&lt;Title_Primary&gt;Empirical Transition Matrix of Multi-State Models?: The etm Package&lt;/Title_Primary&gt;&lt;Authors_Primary&gt;Allignol,A.&lt;/Authors_Primary&gt;&lt;Authors_Primary&gt;Schumacher,M.&lt;/Authors_Primary&gt;&lt;Authors_Primary&gt;Beyersmann,J.&lt;/Authors_Primary&gt;&lt;Date_Primary&gt;2011&lt;/Date_Primary&gt;&lt;Keywords&gt;model&lt;/Keywords&gt;&lt;Reprint&gt;Not in File&lt;/Reprint&gt;&lt;Start_Page&gt;1&lt;/Start_Page&gt;&lt;End_Page&gt;15&lt;/End_Page&gt;&lt;Periodical&gt;The Journal of Statistical Software&lt;/Periodical&gt;&lt;Volume&gt;38&lt;/Volume&gt;&lt;Issue&gt;4&lt;/Issue&gt;&lt;ZZ_JournalFull&gt;&lt;f name="System"&gt;The Journal of Statistical Software&lt;/f&gt;&lt;/ZZ_JournalFull&gt;&lt;ZZ_WorkformID&gt;1&lt;/ZZ_WorkformID&gt;&lt;/MDL&gt;&lt;/Cite&gt;&lt;/Refman&gt;</w:instrText>
      </w:r>
      <w:r w:rsidRPr="00D30E34">
        <w:rPr>
          <w:rFonts w:eastAsia="Calibri" w:cs="Arial"/>
        </w:rPr>
        <w:fldChar w:fldCharType="separate"/>
      </w:r>
      <w:r w:rsidRPr="00D30E34">
        <w:rPr>
          <w:rFonts w:eastAsia="Calibri" w:cs="Arial"/>
          <w:noProof/>
          <w:vertAlign w:val="superscript"/>
        </w:rPr>
        <w:t>66</w:t>
      </w:r>
      <w:r w:rsidRPr="00D30E34">
        <w:rPr>
          <w:rFonts w:eastAsia="Calibri" w:cs="Arial"/>
        </w:rPr>
        <w:fldChar w:fldCharType="end"/>
      </w:r>
    </w:p>
    <w:p w:rsidR="002B425C" w:rsidRDefault="002B425C" w:rsidP="00D30E34">
      <w:pPr>
        <w:spacing w:line="360" w:lineRule="auto"/>
        <w:outlineLvl w:val="1"/>
        <w:rPr>
          <w:rFonts w:eastAsia="Calibri" w:cs="Arial"/>
        </w:rPr>
      </w:pPr>
    </w:p>
    <w:p w:rsidR="002B425C" w:rsidRPr="00D30E34" w:rsidRDefault="002B425C"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30" w:name="_Toc518401715"/>
      <w:r w:rsidRPr="00D30E34">
        <w:rPr>
          <w:rFonts w:eastAsia="Calibri" w:cs="Arial"/>
          <w:b/>
        </w:rPr>
        <w:lastRenderedPageBreak/>
        <w:t>LTBI screening decision tree model</w:t>
      </w:r>
      <w:bookmarkEnd w:id="30"/>
    </w:p>
    <w:p w:rsidR="00D30E34" w:rsidRPr="00D30E34" w:rsidRDefault="00D30E34" w:rsidP="00D30E34">
      <w:pPr>
        <w:spacing w:line="360" w:lineRule="auto"/>
        <w:outlineLvl w:val="1"/>
        <w:rPr>
          <w:rFonts w:eastAsia="Calibri" w:cs="Arial"/>
        </w:rPr>
      </w:pPr>
      <w:r w:rsidRPr="00D30E34">
        <w:rPr>
          <w:rFonts w:eastAsia="Calibri" w:cs="Arial"/>
        </w:rPr>
        <w:t>The LTBI screening pathway was modelled as a probabilistic decision tree (</w:t>
      </w:r>
      <w:hyperlink w:anchor="_Figure_8:_LTBI" w:history="1">
        <w:r w:rsidRPr="00D30E34">
          <w:rPr>
            <w:rFonts w:eastAsia="Calibri" w:cs="Arial"/>
            <w:b/>
            <w:color w:val="000000"/>
          </w:rPr>
          <w:t>Figure 8</w:t>
        </w:r>
      </w:hyperlink>
      <w:r w:rsidRPr="00D30E34">
        <w:rPr>
          <w:rFonts w:eastAsia="Calibri" w:cs="Arial"/>
        </w:rPr>
        <w:t>).</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31" w:name="_Figure_8:_LTBI"/>
      <w:bookmarkStart w:id="32" w:name="_Toc518401716"/>
      <w:bookmarkEnd w:id="31"/>
      <w:r w:rsidRPr="00D30E34">
        <w:rPr>
          <w:rFonts w:eastAsia="Calibri" w:cs="Arial"/>
          <w:b/>
        </w:rPr>
        <w:t>Figure 8: LTBI screening decision tree schematic</w:t>
      </w:r>
      <w:bookmarkEnd w:id="32"/>
    </w:p>
    <w:p w:rsidR="00D30E34" w:rsidRDefault="002B425C" w:rsidP="00D30E34">
      <w:pPr>
        <w:widowControl w:val="0"/>
        <w:tabs>
          <w:tab w:val="left" w:pos="2595"/>
        </w:tabs>
        <w:outlineLvl w:val="1"/>
        <w:rPr>
          <w:rFonts w:eastAsia="Calibri" w:cs="Arial"/>
        </w:rPr>
      </w:pPr>
      <w:r w:rsidRPr="00D30E34">
        <w:rPr>
          <w:rFonts w:eastAsia="Calibri" w:cs="Arial"/>
          <w:noProof/>
          <w:lang w:eastAsia="en-GB"/>
        </w:rPr>
        <mc:AlternateContent>
          <mc:Choice Requires="wps">
            <w:drawing>
              <wp:anchor distT="0" distB="0" distL="114300" distR="114300" simplePos="0" relativeHeight="251663360" behindDoc="0" locked="0" layoutInCell="1" allowOverlap="1" wp14:anchorId="5BDF29DE" wp14:editId="1B55FFBE">
                <wp:simplePos x="0" y="0"/>
                <wp:positionH relativeFrom="column">
                  <wp:posOffset>2065020</wp:posOffset>
                </wp:positionH>
                <wp:positionV relativeFrom="paragraph">
                  <wp:posOffset>561975</wp:posOffset>
                </wp:positionV>
                <wp:extent cx="1965960" cy="7620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960" cy="762000"/>
                        </a:xfrm>
                        <a:prstGeom prst="rect">
                          <a:avLst/>
                        </a:prstGeom>
                        <a:noFill/>
                        <a:ln w="9525">
                          <a:noFill/>
                          <a:miter lim="800000"/>
                          <a:headEnd/>
                          <a:tailEnd/>
                        </a:ln>
                      </wps:spPr>
                      <wps:txbx>
                        <w:txbxContent>
                          <w:p w:rsidR="00335472" w:rsidRDefault="00335472" w:rsidP="00D30E34">
                            <w:r>
                              <w:t>Are some people who test positive not offered treatment?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F29DE" id="_x0000_t202" coordsize="21600,21600" o:spt="202" path="m,l,21600r21600,l21600,xe">
                <v:stroke joinstyle="miter"/>
                <v:path gradientshapeok="t" o:connecttype="rect"/>
              </v:shapetype>
              <v:shape id="Text Box 2" o:spid="_x0000_s1026" type="#_x0000_t202" style="position:absolute;margin-left:162.6pt;margin-top:44.25pt;width:154.8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" filled="f" stroked="f">
                <v:textbox>
                  <w:txbxContent>
                    <w:p w:rsidR="00335472" w:rsidRDefault="00335472" w:rsidP="00D30E34">
                      <w:r>
                        <w:t>Are some people who test positive not offered treatment?</w:t>
                      </w:r>
                    </w:p>
                  </w:txbxContent>
                </v:textbox>
              </v:shape>
            </w:pict>
          </mc:Fallback>
        </mc:AlternateContent>
      </w:r>
      <w:r w:rsidR="00D30E34" w:rsidRPr="00D30E34">
        <w:rPr>
          <w:rFonts w:eastAsia="Calibri" w:cs="Arial"/>
        </w:rPr>
        <w:t>The decision between whether to potentially screen all new EWNI entrants represented on the left-hand side. Individuals terminate in this model in either an LTBI or Not LTBI state, indicated on the right-hand side. The individuals remaining with LTBI are passed to the competing-risks population level model.</w:t>
      </w:r>
    </w:p>
    <w:p w:rsidR="002B425C" w:rsidRPr="00D30E34" w:rsidRDefault="002B425C" w:rsidP="00D30E34">
      <w:pPr>
        <w:widowControl w:val="0"/>
        <w:tabs>
          <w:tab w:val="left" w:pos="2595"/>
        </w:tabs>
        <w:outlineLvl w:val="1"/>
        <w:rPr>
          <w:rFonts w:eastAsia="Calibri" w:cs="Arial"/>
        </w:rPr>
      </w:pPr>
    </w:p>
    <w:p w:rsidR="00D30E34" w:rsidRPr="00D30E34" w:rsidRDefault="00D30E34" w:rsidP="00D30E34">
      <w:pPr>
        <w:keepNext/>
        <w:spacing w:line="360" w:lineRule="auto"/>
        <w:jc w:val="center"/>
        <w:outlineLvl w:val="1"/>
        <w:rPr>
          <w:rFonts w:eastAsia="Calibri" w:cs="Arial"/>
        </w:rPr>
      </w:pPr>
      <w:r w:rsidRPr="00D30E34">
        <w:rPr>
          <w:rFonts w:eastAsia="Calibri" w:cs="Arial"/>
          <w:noProof/>
          <w:lang w:eastAsia="en-GB"/>
        </w:rPr>
        <mc:AlternateContent>
          <mc:Choice Requires="wps">
            <w:drawing>
              <wp:anchor distT="0" distB="0" distL="114300" distR="114300" simplePos="0" relativeHeight="251660288" behindDoc="0" locked="0" layoutInCell="1" allowOverlap="1" wp14:anchorId="4D40EA8C" wp14:editId="4E72E47C">
                <wp:simplePos x="0" y="0"/>
                <wp:positionH relativeFrom="column">
                  <wp:posOffset>2175509</wp:posOffset>
                </wp:positionH>
                <wp:positionV relativeFrom="paragraph">
                  <wp:posOffset>2415540</wp:posOffset>
                </wp:positionV>
                <wp:extent cx="3804285" cy="58229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582295"/>
                        </a:xfrm>
                        <a:prstGeom prst="rect">
                          <a:avLst/>
                        </a:prstGeom>
                        <a:noFill/>
                        <a:ln w="9525">
                          <a:noFill/>
                          <a:miter lim="800000"/>
                          <a:headEnd/>
                          <a:tailEnd/>
                        </a:ln>
                      </wps:spPr>
                      <wps:txbx>
                        <w:txbxContent>
                          <w:p w:rsidR="00335472" w:rsidRDefault="00335472" w:rsidP="00D30E34">
                            <w:r>
                              <w:t xml:space="preserve">“Disease-free” should be “Uninfected”, since the vast majority of people </w:t>
                            </w:r>
                            <w:r w:rsidRPr="0040757A">
                              <w:rPr>
                                <w:b/>
                                <w:u w:val="single"/>
                              </w:rPr>
                              <w:t>with</w:t>
                            </w:r>
                            <w:r>
                              <w:t xml:space="preserve"> LTBI remain disease-free for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40EA8C" id="_x0000_s1027" type="#_x0000_t202" style="position:absolute;left:0;text-align:left;margin-left:171.3pt;margin-top:190.2pt;width:299.55pt;height:45.8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" filled="f" stroked="f">
                <v:textbox style="mso-fit-shape-to-text:t">
                  <w:txbxContent>
                    <w:p w:rsidR="00335472" w:rsidRDefault="00335472" w:rsidP="00D30E34">
                      <w:r>
                        <w:t xml:space="preserve">“Disease-free” should be “Uninfected”, since the vast majority of people </w:t>
                      </w:r>
                      <w:r w:rsidRPr="0040757A">
                        <w:rPr>
                          <w:b/>
                          <w:u w:val="single"/>
                        </w:rPr>
                        <w:t>with</w:t>
                      </w:r>
                      <w:r>
                        <w:t xml:space="preserve"> LTBI remain disease-free for life</w:t>
                      </w:r>
                    </w:p>
                  </w:txbxContent>
                </v:textbox>
              </v:shape>
            </w:pict>
          </mc:Fallback>
        </mc:AlternateContent>
      </w:r>
      <w:r w:rsidRPr="00D30E34">
        <w:rPr>
          <w:rFonts w:eastAsia="Calibri" w:cs="Arial"/>
          <w:noProof/>
          <w:lang w:eastAsia="en-GB"/>
        </w:rPr>
        <mc:AlternateContent>
          <mc:Choice Requires="wps">
            <w:drawing>
              <wp:anchor distT="0" distB="0" distL="114300" distR="114300" simplePos="0" relativeHeight="251662336" behindDoc="0" locked="0" layoutInCell="1" allowOverlap="1" wp14:anchorId="28B44AE8" wp14:editId="27AA624D">
                <wp:simplePos x="0" y="0"/>
                <wp:positionH relativeFrom="column">
                  <wp:posOffset>2987040</wp:posOffset>
                </wp:positionH>
                <wp:positionV relativeFrom="paragraph">
                  <wp:posOffset>483235</wp:posOffset>
                </wp:positionV>
                <wp:extent cx="434340" cy="510540"/>
                <wp:effectExtent l="0" t="0" r="22860" b="22860"/>
                <wp:wrapNone/>
                <wp:docPr id="5" name="Rectangle 5"/>
                <wp:cNvGraphicFramePr/>
                <a:graphic xmlns:a="http://schemas.openxmlformats.org/drawingml/2006/main">
                  <a:graphicData uri="http://schemas.microsoft.com/office/word/2010/wordprocessingShape">
                    <wps:wsp>
                      <wps:cNvSpPr/>
                      <wps:spPr>
                        <a:xfrm>
                          <a:off x="0" y="0"/>
                          <a:ext cx="434340" cy="510540"/>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E4241" id="Rectangle 5" o:spid="_x0000_s1026" style="position:absolute;margin-left:235.2pt;margin-top:38.05pt;width:34.2pt;height:4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" filled="f" strokecolor="red" strokeweight="1pt"/>
            </w:pict>
          </mc:Fallback>
        </mc:AlternateContent>
      </w:r>
      <w:r w:rsidRPr="00D30E34">
        <w:rPr>
          <w:rFonts w:eastAsia="Calibri" w:cs="Arial"/>
          <w:noProof/>
          <w:lang w:eastAsia="en-GB"/>
        </w:rPr>
        <mc:AlternateContent>
          <mc:Choice Requires="wps">
            <w:drawing>
              <wp:anchor distT="0" distB="0" distL="114300" distR="114300" simplePos="0" relativeHeight="251661312" behindDoc="0" locked="0" layoutInCell="1" allowOverlap="1" wp14:anchorId="4E89EA68" wp14:editId="1BF267BB">
                <wp:simplePos x="0" y="0"/>
                <wp:positionH relativeFrom="column">
                  <wp:posOffset>1112520</wp:posOffset>
                </wp:positionH>
                <wp:positionV relativeFrom="paragraph">
                  <wp:posOffset>1831975</wp:posOffset>
                </wp:positionV>
                <wp:extent cx="777240" cy="274320"/>
                <wp:effectExtent l="0" t="0" r="22860" b="11430"/>
                <wp:wrapNone/>
                <wp:docPr id="3" name="Rectangle 3"/>
                <wp:cNvGraphicFramePr/>
                <a:graphic xmlns:a="http://schemas.openxmlformats.org/drawingml/2006/main">
                  <a:graphicData uri="http://schemas.microsoft.com/office/word/2010/wordprocessingShape">
                    <wps:wsp>
                      <wps:cNvSpPr/>
                      <wps:spPr>
                        <a:xfrm>
                          <a:off x="0" y="0"/>
                          <a:ext cx="777240" cy="274320"/>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2EA626" id="Rectangle 3" o:spid="_x0000_s1026" style="position:absolute;margin-left:87.6pt;margin-top:144.25pt;width:61.2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" filled="f" strokecolor="red" strokeweight="1pt"/>
            </w:pict>
          </mc:Fallback>
        </mc:AlternateContent>
      </w:r>
      <w:r w:rsidRPr="00D30E34">
        <w:rPr>
          <w:rFonts w:eastAsia="Calibri" w:cs="Arial"/>
          <w:noProof/>
          <w:lang w:eastAsia="en-GB"/>
        </w:rPr>
        <mc:AlternateContent>
          <mc:Choice Requires="wps">
            <w:drawing>
              <wp:anchor distT="0" distB="0" distL="114300" distR="114300" simplePos="0" relativeHeight="251659264" behindDoc="0" locked="0" layoutInCell="1" allowOverlap="1" wp14:anchorId="3D824381" wp14:editId="49648C25">
                <wp:simplePos x="0" y="0"/>
                <wp:positionH relativeFrom="column">
                  <wp:posOffset>1196340</wp:posOffset>
                </wp:positionH>
                <wp:positionV relativeFrom="paragraph">
                  <wp:posOffset>2647315</wp:posOffset>
                </wp:positionV>
                <wp:extent cx="777240" cy="274320"/>
                <wp:effectExtent l="0" t="0" r="22860" b="11430"/>
                <wp:wrapNone/>
                <wp:docPr id="4" name="Rectangle 4"/>
                <wp:cNvGraphicFramePr/>
                <a:graphic xmlns:a="http://schemas.openxmlformats.org/drawingml/2006/main">
                  <a:graphicData uri="http://schemas.microsoft.com/office/word/2010/wordprocessingShape">
                    <wps:wsp>
                      <wps:cNvSpPr/>
                      <wps:spPr>
                        <a:xfrm>
                          <a:off x="0" y="0"/>
                          <a:ext cx="777240" cy="274320"/>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4CC27" id="Rectangle 4" o:spid="_x0000_s1026" style="position:absolute;margin-left:94.2pt;margin-top:208.45pt;width:61.2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" filled="f" strokecolor="red" strokeweight="1pt"/>
            </w:pict>
          </mc:Fallback>
        </mc:AlternateContent>
      </w:r>
      <w:r w:rsidRPr="00D30E34">
        <w:rPr>
          <w:rFonts w:eastAsia="Calibri" w:cs="Arial"/>
          <w:noProof/>
          <w:lang w:eastAsia="en-GB"/>
        </w:rPr>
        <w:drawing>
          <wp:inline distT="0" distB="0" distL="0" distR="0" wp14:anchorId="316150F1" wp14:editId="7D6AFDCC">
            <wp:extent cx="5731510" cy="307784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nal-decision-tree.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inline>
        </w:drawing>
      </w:r>
    </w:p>
    <w:p w:rsidR="002B425C" w:rsidRDefault="002B425C" w:rsidP="002B425C">
      <w:pPr>
        <w:spacing w:line="360" w:lineRule="auto"/>
        <w:outlineLvl w:val="1"/>
        <w:rPr>
          <w:rFonts w:eastAsia="Calibri" w:cs="Arial"/>
        </w:rPr>
      </w:pPr>
    </w:p>
    <w:p w:rsidR="002B425C" w:rsidRDefault="002B425C" w:rsidP="002B425C">
      <w:pPr>
        <w:spacing w:line="360" w:lineRule="auto"/>
        <w:outlineLvl w:val="1"/>
        <w:rPr>
          <w:rFonts w:eastAsia="Calibri" w:cs="Arial"/>
        </w:rPr>
      </w:pPr>
    </w:p>
    <w:p w:rsidR="00D30E34" w:rsidRDefault="00D30E34" w:rsidP="002B425C">
      <w:pPr>
        <w:spacing w:line="360" w:lineRule="auto"/>
        <w:outlineLvl w:val="1"/>
        <w:rPr>
          <w:rFonts w:eastAsia="Calibri" w:cs="Arial"/>
        </w:rPr>
      </w:pPr>
      <w:r w:rsidRPr="00D30E34">
        <w:rPr>
          <w:rFonts w:eastAsia="Calibri" w:cs="Arial"/>
        </w:rPr>
        <w:t xml:space="preserve">The probability of being screened encompasses the probability of being offered screening (e.g. via primary care) and of accepting the offer. The number of simulations was </w:t>
      </w:r>
      <w:r w:rsidRPr="00D30E34">
        <w:rPr>
          <w:rFonts w:eastAsia="Calibri" w:cs="Arial"/>
          <w:i/>
        </w:rPr>
        <w:t xml:space="preserve">N </w:t>
      </w:r>
      <w:r w:rsidRPr="00D30E34">
        <w:rPr>
          <w:rFonts w:eastAsia="Calibri" w:cs="Arial"/>
        </w:rPr>
        <w:t>= 1000 which captured both the individual level variation and the uncertainty in the costs and utilities. The outcome of the decision tree model was a distribution of individuals between the LTBI and non-LTBI states. These are then passed to the ‘right hand’ model, the competing-risks population model.</w:t>
      </w:r>
      <w:r w:rsidR="002B425C">
        <w:rPr>
          <w:rFonts w:eastAsia="Calibri" w:cs="Arial"/>
        </w:rPr>
        <w:t xml:space="preserve">  </w:t>
      </w:r>
      <w:bookmarkStart w:id="33" w:name="_Toc518401717"/>
    </w:p>
    <w:p w:rsidR="002B425C" w:rsidRPr="00D30E34" w:rsidRDefault="002B425C" w:rsidP="002B425C">
      <w:pPr>
        <w:spacing w:line="360" w:lineRule="auto"/>
        <w:outlineLvl w:val="1"/>
        <w:rPr>
          <w:rFonts w:eastAsia="Calibri" w:cs="Arial"/>
          <w:b/>
        </w:rPr>
      </w:pPr>
    </w:p>
    <w:p w:rsidR="00D30E34" w:rsidRPr="00D30E34" w:rsidRDefault="00D30E34" w:rsidP="00D30E34">
      <w:pPr>
        <w:spacing w:line="360" w:lineRule="auto"/>
        <w:outlineLvl w:val="2"/>
        <w:rPr>
          <w:rFonts w:eastAsia="Calibri" w:cs="Arial"/>
          <w:b/>
        </w:rPr>
      </w:pPr>
      <w:r w:rsidRPr="00D30E34">
        <w:rPr>
          <w:rFonts w:eastAsia="Calibri" w:cs="Arial"/>
          <w:b/>
        </w:rPr>
        <w:t>Competing-risks multi-state population model</w:t>
      </w:r>
      <w:bookmarkEnd w:id="33"/>
    </w:p>
    <w:p w:rsidR="00D30E34" w:rsidRPr="00D30E34" w:rsidRDefault="00335472" w:rsidP="00D30E34">
      <w:pPr>
        <w:spacing w:line="360" w:lineRule="auto"/>
        <w:jc w:val="both"/>
        <w:outlineLvl w:val="1"/>
        <w:rPr>
          <w:rFonts w:eastAsia="Calibri" w:cs="Arial"/>
        </w:rPr>
      </w:pPr>
      <w:hyperlink w:anchor="_Figure_9:_A" w:history="1">
        <w:r w:rsidR="00D30E34" w:rsidRPr="00D30E34">
          <w:rPr>
            <w:rFonts w:eastAsia="Calibri" w:cs="Arial"/>
            <w:b/>
            <w:color w:val="000000"/>
          </w:rPr>
          <w:t>Figure 9</w:t>
        </w:r>
      </w:hyperlink>
      <w:r w:rsidR="00D30E34" w:rsidRPr="00D30E34">
        <w:rPr>
          <w:rFonts w:eastAsia="Calibri" w:cs="Arial"/>
        </w:rPr>
        <w:t xml:space="preserve"> gives the multi-state model for the subpopulation of individuals with LTBI who can either progress to active TB, die of active TB, die of another cause, or leave EWNI. Individuals who leave EWNI are still considered in the model.</w:t>
      </w:r>
    </w:p>
    <w:p w:rsidR="00D30E34" w:rsidRDefault="00D30E34"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2B425C" w:rsidRDefault="002B425C" w:rsidP="00D30E34">
      <w:pPr>
        <w:spacing w:line="360" w:lineRule="auto"/>
        <w:jc w:val="both"/>
        <w:outlineLvl w:val="1"/>
        <w:rPr>
          <w:rFonts w:eastAsia="Calibri" w:cs="Arial"/>
        </w:rPr>
      </w:pPr>
    </w:p>
    <w:p w:rsidR="00D30E34" w:rsidRPr="00D30E34" w:rsidRDefault="00D30E34" w:rsidP="00D30E34">
      <w:pPr>
        <w:spacing w:line="360" w:lineRule="auto"/>
        <w:outlineLvl w:val="2"/>
        <w:rPr>
          <w:rFonts w:eastAsia="Calibri" w:cs="Arial"/>
          <w:b/>
        </w:rPr>
      </w:pPr>
      <w:bookmarkStart w:id="34" w:name="_Figure_9:_A"/>
      <w:bookmarkStart w:id="35" w:name="_Toc518401718"/>
      <w:bookmarkEnd w:id="34"/>
      <w:r w:rsidRPr="00D30E34">
        <w:rPr>
          <w:rFonts w:eastAsia="Calibri" w:cs="Arial"/>
          <w:b/>
        </w:rPr>
        <w:lastRenderedPageBreak/>
        <w:t>Figure 9: A discrete state diagram of the Population Model</w:t>
      </w:r>
      <w:bookmarkEnd w:id="35"/>
    </w:p>
    <w:p w:rsidR="00D30E34" w:rsidRDefault="00D30E34" w:rsidP="00D30E34">
      <w:pPr>
        <w:widowControl w:val="0"/>
        <w:tabs>
          <w:tab w:val="left" w:pos="2595"/>
        </w:tabs>
        <w:outlineLvl w:val="1"/>
        <w:rPr>
          <w:rFonts w:eastAsia="Calibri" w:cs="Arial"/>
        </w:rPr>
      </w:pPr>
      <w:r w:rsidRPr="00D30E34">
        <w:rPr>
          <w:rFonts w:eastAsia="Calibri" w:cs="Arial"/>
        </w:rPr>
        <w:t>The cohort of individuals initially enters the LTBI state (source). The dashed lines indicate possible transitions when including individuals who have already exited EWNI. This is the case when calculating the QALYs. Death from active TB and from other causes (and exit EWNI for cost calculation) are sink states (bold).</w:t>
      </w:r>
    </w:p>
    <w:p w:rsidR="002B425C" w:rsidRPr="00D30E34" w:rsidRDefault="002B425C" w:rsidP="00D30E34">
      <w:pPr>
        <w:widowControl w:val="0"/>
        <w:tabs>
          <w:tab w:val="left" w:pos="2595"/>
        </w:tabs>
        <w:outlineLvl w:val="1"/>
        <w:rPr>
          <w:rFonts w:eastAsia="Calibri" w:cs="Arial"/>
        </w:rPr>
      </w:pPr>
    </w:p>
    <w:p w:rsidR="00D30E34" w:rsidRPr="00D30E34" w:rsidRDefault="00D30E34" w:rsidP="00D30E34">
      <w:pPr>
        <w:keepNext/>
        <w:spacing w:line="360" w:lineRule="auto"/>
        <w:jc w:val="center"/>
        <w:outlineLvl w:val="1"/>
        <w:rPr>
          <w:rFonts w:eastAsia="Calibri" w:cs="Arial"/>
        </w:rPr>
      </w:pPr>
      <w:r w:rsidRPr="00D30E34">
        <w:rPr>
          <w:rFonts w:eastAsia="Calibri" w:cs="Arial"/>
          <w:noProof/>
          <w:lang w:eastAsia="en-GB"/>
        </w:rPr>
        <w:drawing>
          <wp:inline distT="0" distB="0" distL="0" distR="0" wp14:anchorId="0C97698F" wp14:editId="27B93C89">
            <wp:extent cx="3286125" cy="279286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9067" cy="2803861"/>
                    </a:xfrm>
                    <a:prstGeom prst="rect">
                      <a:avLst/>
                    </a:prstGeom>
                    <a:noFill/>
                  </pic:spPr>
                </pic:pic>
              </a:graphicData>
            </a:graphic>
          </wp:inline>
        </w:drawing>
      </w:r>
    </w:p>
    <w:p w:rsidR="00D30E34" w:rsidRPr="00D30E34" w:rsidRDefault="00D30E34" w:rsidP="00D30E34">
      <w:pPr>
        <w:spacing w:line="360" w:lineRule="auto"/>
        <w:jc w:val="both"/>
        <w:outlineLvl w:val="1"/>
        <w:rPr>
          <w:rFonts w:eastAsia="Calibri" w:cs="Arial"/>
          <w:i/>
        </w:rPr>
      </w:pPr>
    </w:p>
    <w:p w:rsidR="00D30E34" w:rsidRPr="00D30E34" w:rsidRDefault="00D30E34" w:rsidP="00D30E34">
      <w:pPr>
        <w:spacing w:line="360" w:lineRule="auto"/>
        <w:outlineLvl w:val="2"/>
        <w:rPr>
          <w:rFonts w:eastAsia="Calibri" w:cs="Arial"/>
          <w:b/>
        </w:rPr>
      </w:pPr>
      <w:bookmarkStart w:id="36" w:name="_Toc518401719"/>
      <w:r w:rsidRPr="00D30E34">
        <w:rPr>
          <w:rFonts w:eastAsia="Calibri" w:cs="Arial"/>
          <w:b/>
        </w:rPr>
        <w:t>Cost-effectiveness analysis</w:t>
      </w:r>
      <w:bookmarkEnd w:id="36"/>
    </w:p>
    <w:p w:rsidR="00D30E34" w:rsidRPr="00D30E34" w:rsidRDefault="00D30E34" w:rsidP="00D30E34">
      <w:pPr>
        <w:spacing w:line="360" w:lineRule="auto"/>
        <w:outlineLvl w:val="1"/>
        <w:rPr>
          <w:rFonts w:eastAsia="Calibri" w:cs="Arial"/>
        </w:rPr>
      </w:pPr>
      <w:r w:rsidRPr="00D30E34">
        <w:rPr>
          <w:rFonts w:eastAsia="Calibri" w:cs="Arial"/>
        </w:rPr>
        <w:t xml:space="preserve">The cost-effectiveness of each scenario was determined using the incremental cost-effectiveness ratio (ICER). The experimental and standard regimens were directly compared. Denoting </w:t>
      </w:r>
      <m:oMath>
        <m:r>
          <w:rPr>
            <w:rFonts w:ascii="Cambria Math" w:eastAsia="Calibri" w:hAnsi="Cambria Math" w:cs="Arial"/>
          </w:rPr>
          <m:t>w</m:t>
        </m:r>
      </m:oMath>
      <w:r w:rsidRPr="00D30E34">
        <w:rPr>
          <w:rFonts w:eastAsia="Times New Roman" w:cs="Arial"/>
        </w:rPr>
        <w:t xml:space="preserve"> and </w:t>
      </w:r>
      <m:oMath>
        <m:r>
          <w:rPr>
            <w:rFonts w:ascii="Cambria Math" w:eastAsia="Times New Roman" w:hAnsi="Cambria Math" w:cs="Arial"/>
          </w:rPr>
          <m:t>d</m:t>
        </m:r>
      </m:oMath>
      <w:r w:rsidRPr="00D30E34">
        <w:rPr>
          <w:rFonts w:eastAsia="Times New Roman" w:cs="Arial"/>
        </w:rPr>
        <w:t xml:space="preserve"> as the weekly (experimental) and daily (standard) regimen respectively, and </w:t>
      </w:r>
      <m:oMath>
        <m:r>
          <w:rPr>
            <w:rFonts w:ascii="Cambria Math" w:eastAsia="Times New Roman" w:hAnsi="Cambria Math" w:cs="Arial"/>
          </w:rPr>
          <m:t>e</m:t>
        </m:r>
      </m:oMath>
      <w:r w:rsidRPr="00D30E34">
        <w:rPr>
          <w:rFonts w:eastAsia="Times New Roman" w:cs="Arial"/>
        </w:rPr>
        <w:t xml:space="preserve"> and </w:t>
      </w:r>
      <m:oMath>
        <m:r>
          <w:rPr>
            <w:rFonts w:ascii="Cambria Math" w:eastAsia="Times New Roman" w:hAnsi="Cambria Math" w:cs="Arial"/>
          </w:rPr>
          <m:t>c</m:t>
        </m:r>
      </m:oMath>
      <w:r w:rsidRPr="00D30E34">
        <w:rPr>
          <w:rFonts w:eastAsia="Times New Roman" w:cs="Arial"/>
        </w:rPr>
        <w:t xml:space="preserve"> are the expected QALY gain and expected cost incurred respectively, then</w:t>
      </w:r>
    </w:p>
    <w:p w:rsidR="00D30E34" w:rsidRPr="00D30E34" w:rsidRDefault="00D30E34" w:rsidP="00D30E34">
      <w:pPr>
        <w:spacing w:line="360" w:lineRule="auto"/>
        <w:outlineLvl w:val="1"/>
        <w:rPr>
          <w:rFonts w:eastAsia="Calibri" w:cs="Arial"/>
        </w:rPr>
      </w:pPr>
      <m:oMathPara>
        <m:oMath>
          <m:r>
            <w:rPr>
              <w:rFonts w:ascii="Cambria Math" w:eastAsia="Calibri" w:hAnsi="Cambria Math" w:cs="Arial"/>
            </w:rPr>
            <m:t>ICER=</m:t>
          </m:r>
          <m:f>
            <m:fPr>
              <m:ctrlPr>
                <w:rPr>
                  <w:rFonts w:ascii="Cambria Math" w:eastAsia="Calibri" w:hAnsi="Cambria Math" w:cs="Arial"/>
                  <w:i/>
                </w:rPr>
              </m:ctrlPr>
            </m:fPr>
            <m:num>
              <m:sSubSup>
                <m:sSubSupPr>
                  <m:ctrlPr>
                    <w:rPr>
                      <w:rFonts w:ascii="Cambria Math" w:eastAsia="Calibri" w:hAnsi="Cambria Math" w:cs="Arial"/>
                      <w:i/>
                    </w:rPr>
                  </m:ctrlPr>
                </m:sSubSupPr>
                <m:e>
                  <m:r>
                    <w:rPr>
                      <w:rFonts w:ascii="Cambria Math" w:eastAsia="Calibri" w:hAnsi="Cambria Math" w:cs="Arial"/>
                    </w:rPr>
                    <m:t>c</m:t>
                  </m:r>
                </m:e>
                <m:sub/>
                <m:sup>
                  <m:r>
                    <w:rPr>
                      <w:rFonts w:ascii="Cambria Math" w:eastAsia="Calibri" w:hAnsi="Cambria Math" w:cs="Arial"/>
                    </w:rPr>
                    <m:t>w</m:t>
                  </m:r>
                </m:sup>
              </m:sSubSup>
              <m:sSubSup>
                <m:sSubSupPr>
                  <m:ctrlPr>
                    <w:rPr>
                      <w:rFonts w:ascii="Cambria Math" w:eastAsia="Calibri" w:hAnsi="Cambria Math" w:cs="Arial"/>
                      <w:i/>
                    </w:rPr>
                  </m:ctrlPr>
                </m:sSubSupPr>
                <m:e>
                  <m:r>
                    <w:rPr>
                      <w:rFonts w:ascii="Cambria Math" w:eastAsia="Calibri" w:hAnsi="Cambria Math" w:cs="Arial"/>
                    </w:rPr>
                    <m:t>- c</m:t>
                  </m:r>
                </m:e>
                <m:sub/>
                <m:sup>
                  <m:r>
                    <w:rPr>
                      <w:rFonts w:ascii="Cambria Math" w:eastAsia="Calibri" w:hAnsi="Cambria Math" w:cs="Arial"/>
                    </w:rPr>
                    <m:t>d</m:t>
                  </m:r>
                </m:sup>
              </m:sSubSup>
            </m:num>
            <m:den>
              <m:sSubSup>
                <m:sSubSupPr>
                  <m:ctrlPr>
                    <w:rPr>
                      <w:rFonts w:ascii="Cambria Math" w:eastAsia="Calibri" w:hAnsi="Cambria Math" w:cs="Arial"/>
                      <w:i/>
                    </w:rPr>
                  </m:ctrlPr>
                </m:sSubSupPr>
                <m:e>
                  <m:r>
                    <w:rPr>
                      <w:rFonts w:ascii="Cambria Math" w:eastAsia="Calibri" w:hAnsi="Cambria Math" w:cs="Arial"/>
                    </w:rPr>
                    <m:t>e</m:t>
                  </m:r>
                </m:e>
                <m:sub/>
                <m:sup>
                  <m:r>
                    <w:rPr>
                      <w:rFonts w:ascii="Cambria Math" w:eastAsia="Calibri" w:hAnsi="Cambria Math" w:cs="Arial"/>
                    </w:rPr>
                    <m:t>w</m:t>
                  </m:r>
                </m:sup>
              </m:sSubSup>
              <m:sSubSup>
                <m:sSubSupPr>
                  <m:ctrlPr>
                    <w:rPr>
                      <w:rFonts w:ascii="Cambria Math" w:eastAsia="Calibri" w:hAnsi="Cambria Math" w:cs="Arial"/>
                      <w:i/>
                    </w:rPr>
                  </m:ctrlPr>
                </m:sSubSupPr>
                <m:e>
                  <m:r>
                    <w:rPr>
                      <w:rFonts w:ascii="Cambria Math" w:eastAsia="Calibri" w:hAnsi="Cambria Math" w:cs="Arial"/>
                    </w:rPr>
                    <m:t>- e</m:t>
                  </m:r>
                </m:e>
                <m:sub/>
                <m:sup>
                  <m:r>
                    <w:rPr>
                      <w:rFonts w:ascii="Cambria Math" w:eastAsia="Calibri" w:hAnsi="Cambria Math" w:cs="Arial"/>
                    </w:rPr>
                    <m:t>d</m:t>
                  </m:r>
                </m:sup>
              </m:sSubSup>
            </m:den>
          </m:f>
        </m:oMath>
      </m:oMathPara>
    </w:p>
    <w:p w:rsidR="00D30E34" w:rsidRPr="00D30E34" w:rsidRDefault="00D30E34" w:rsidP="00D30E34">
      <w:pPr>
        <w:spacing w:line="360" w:lineRule="auto"/>
        <w:outlineLvl w:val="1"/>
        <w:rPr>
          <w:rFonts w:eastAsia="Calibri" w:cs="Arial"/>
        </w:rPr>
      </w:pPr>
      <w:r w:rsidRPr="00D30E34">
        <w:rPr>
          <w:rFonts w:eastAsia="Calibri" w:cs="Arial"/>
        </w:rPr>
        <w:t>The standard regimen is the status-quo control group in this case.</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37" w:name="_Toc518401720"/>
      <w:r w:rsidRPr="00D30E34">
        <w:rPr>
          <w:rFonts w:eastAsia="Calibri" w:cs="Arial"/>
          <w:b/>
          <w:sz w:val="24"/>
          <w:szCs w:val="24"/>
        </w:rPr>
        <w:t>Approvals</w:t>
      </w:r>
      <w:bookmarkEnd w:id="37"/>
    </w:p>
    <w:p w:rsidR="00D30E34" w:rsidRPr="00D30E34" w:rsidRDefault="00D30E34" w:rsidP="00D30E34">
      <w:pPr>
        <w:widowControl w:val="0"/>
        <w:spacing w:line="360" w:lineRule="auto"/>
        <w:outlineLvl w:val="1"/>
        <w:rPr>
          <w:rFonts w:eastAsia="Calibri" w:cs="Arial"/>
        </w:rPr>
      </w:pPr>
      <w:r w:rsidRPr="00D30E34">
        <w:rPr>
          <w:rFonts w:eastAsia="Calibri" w:cs="Arial"/>
        </w:rPr>
        <w:t xml:space="preserve">The study was registered as </w:t>
      </w:r>
      <w:hyperlink r:id="rId11" w:history="1">
        <w:r w:rsidRPr="00D30E34">
          <w:rPr>
            <w:rFonts w:eastAsia="Calibri" w:cs="Arial"/>
            <w:b/>
            <w:color w:val="000000"/>
          </w:rPr>
          <w:t>ISRCTN04379941</w:t>
        </w:r>
      </w:hyperlink>
      <w:r w:rsidRPr="00D30E34">
        <w:rPr>
          <w:rFonts w:eastAsia="Calibri" w:cs="Arial"/>
        </w:rPr>
        <w:t>. It was reviewed and ethically approved by the Brent NHS Research Ethics Committee (REC approval: 13/LO/1666) and the Medicines and Healthcare products Regulatory Agency (MHRA).</w:t>
      </w:r>
    </w:p>
    <w:p w:rsidR="00D30E34" w:rsidRDefault="00D30E34" w:rsidP="00D30E34">
      <w:pPr>
        <w:widowControl w:val="0"/>
        <w:spacing w:after="160" w:line="259" w:lineRule="auto"/>
        <w:rPr>
          <w:rFonts w:eastAsia="Calibri" w:cs="Arial"/>
          <w:b/>
          <w:caps/>
          <w:sz w:val="28"/>
          <w:szCs w:val="28"/>
        </w:rPr>
      </w:pPr>
    </w:p>
    <w:p w:rsidR="002B425C" w:rsidRDefault="002B425C" w:rsidP="00D30E34">
      <w:pPr>
        <w:widowControl w:val="0"/>
        <w:spacing w:after="160" w:line="259" w:lineRule="auto"/>
        <w:rPr>
          <w:rFonts w:eastAsia="Calibri" w:cs="Arial"/>
          <w:b/>
          <w:caps/>
          <w:sz w:val="28"/>
          <w:szCs w:val="28"/>
        </w:rPr>
      </w:pPr>
    </w:p>
    <w:p w:rsidR="002B425C" w:rsidRDefault="002B425C" w:rsidP="00D30E34">
      <w:pPr>
        <w:widowControl w:val="0"/>
        <w:spacing w:after="160" w:line="259" w:lineRule="auto"/>
        <w:rPr>
          <w:rFonts w:eastAsia="Calibri" w:cs="Arial"/>
          <w:b/>
          <w:caps/>
          <w:sz w:val="28"/>
          <w:szCs w:val="28"/>
        </w:rPr>
      </w:pPr>
    </w:p>
    <w:p w:rsidR="002B425C" w:rsidRDefault="002B425C" w:rsidP="00D30E34">
      <w:pPr>
        <w:widowControl w:val="0"/>
        <w:spacing w:after="160" w:line="259" w:lineRule="auto"/>
        <w:rPr>
          <w:rFonts w:eastAsia="Calibri" w:cs="Arial"/>
          <w:b/>
          <w:caps/>
          <w:sz w:val="28"/>
          <w:szCs w:val="28"/>
        </w:rPr>
      </w:pPr>
    </w:p>
    <w:p w:rsidR="002B425C" w:rsidRDefault="002B425C" w:rsidP="00D30E34">
      <w:pPr>
        <w:widowControl w:val="0"/>
        <w:spacing w:after="160" w:line="259" w:lineRule="auto"/>
        <w:rPr>
          <w:rFonts w:eastAsia="Calibri" w:cs="Arial"/>
          <w:b/>
          <w:caps/>
          <w:sz w:val="28"/>
          <w:szCs w:val="28"/>
        </w:rPr>
      </w:pPr>
    </w:p>
    <w:p w:rsidR="002B425C" w:rsidRDefault="002B425C" w:rsidP="00D30E34">
      <w:pPr>
        <w:widowControl w:val="0"/>
        <w:spacing w:after="160" w:line="259" w:lineRule="auto"/>
        <w:rPr>
          <w:rFonts w:eastAsia="Calibri" w:cs="Arial"/>
          <w:b/>
          <w:caps/>
          <w:sz w:val="28"/>
          <w:szCs w:val="28"/>
        </w:rPr>
      </w:pPr>
    </w:p>
    <w:p w:rsidR="002B425C" w:rsidRPr="00D30E34" w:rsidRDefault="002B425C" w:rsidP="00D30E34">
      <w:pPr>
        <w:widowControl w:val="0"/>
        <w:spacing w:after="160" w:line="259" w:lineRule="auto"/>
        <w:rPr>
          <w:rFonts w:eastAsia="Calibri" w:cs="Arial"/>
          <w:b/>
          <w:caps/>
          <w:sz w:val="28"/>
          <w:szCs w:val="28"/>
        </w:rPr>
      </w:pPr>
    </w:p>
    <w:p w:rsidR="00D30E34" w:rsidRPr="00455BAD" w:rsidRDefault="00D30E34" w:rsidP="00D30E34">
      <w:pPr>
        <w:widowControl w:val="0"/>
        <w:spacing w:line="360" w:lineRule="auto"/>
        <w:outlineLvl w:val="0"/>
        <w:rPr>
          <w:rFonts w:asciiTheme="majorHAnsi" w:eastAsia="Calibri" w:hAnsiTheme="majorHAnsi" w:cstheme="majorHAnsi"/>
          <w:b/>
          <w:caps/>
          <w:sz w:val="28"/>
          <w:szCs w:val="28"/>
        </w:rPr>
      </w:pPr>
      <w:bookmarkStart w:id="38" w:name="_Toc518401721"/>
      <w:r w:rsidRPr="00455BAD">
        <w:rPr>
          <w:rFonts w:asciiTheme="majorHAnsi" w:eastAsia="Calibri" w:hAnsiTheme="majorHAnsi" w:cstheme="majorHAnsi"/>
          <w:b/>
          <w:caps/>
          <w:sz w:val="28"/>
          <w:szCs w:val="28"/>
        </w:rPr>
        <w:lastRenderedPageBreak/>
        <w:t>Results</w:t>
      </w:r>
      <w:bookmarkEnd w:id="38"/>
    </w:p>
    <w:p w:rsidR="00D30E34" w:rsidRPr="00D30E34" w:rsidRDefault="00D30E34" w:rsidP="00D30E34">
      <w:pPr>
        <w:spacing w:line="360" w:lineRule="auto"/>
        <w:outlineLvl w:val="1"/>
        <w:rPr>
          <w:rFonts w:eastAsia="Calibri" w:cs="Arial"/>
          <w:b/>
          <w:sz w:val="24"/>
          <w:szCs w:val="24"/>
        </w:rPr>
      </w:pPr>
      <w:bookmarkStart w:id="39" w:name="_Toc518401722"/>
      <w:r w:rsidRPr="00D30E34">
        <w:rPr>
          <w:rFonts w:eastAsia="Calibri" w:cs="Arial"/>
          <w:b/>
          <w:sz w:val="24"/>
          <w:szCs w:val="24"/>
        </w:rPr>
        <w:t>Statistical analysis</w:t>
      </w:r>
      <w:bookmarkEnd w:id="39"/>
    </w:p>
    <w:p w:rsidR="00D30E34" w:rsidRPr="00D30E34" w:rsidRDefault="00D30E34" w:rsidP="00D30E34">
      <w:pPr>
        <w:spacing w:line="360" w:lineRule="auto"/>
        <w:outlineLvl w:val="2"/>
        <w:rPr>
          <w:rFonts w:eastAsia="Calibri" w:cs="Arial"/>
          <w:b/>
        </w:rPr>
      </w:pPr>
      <w:bookmarkStart w:id="40" w:name="_Hlk486348706"/>
      <w:bookmarkStart w:id="41" w:name="_Toc518401723"/>
      <w:bookmarkEnd w:id="40"/>
      <w:r w:rsidRPr="00D30E34">
        <w:rPr>
          <w:rFonts w:eastAsia="Calibri" w:cs="Arial"/>
          <w:b/>
        </w:rPr>
        <w:t>Recruitment</w:t>
      </w:r>
      <w:bookmarkEnd w:id="41"/>
    </w:p>
    <w:p w:rsidR="00D30E34" w:rsidRPr="00D30E34" w:rsidRDefault="00D30E34" w:rsidP="00D30E34">
      <w:pPr>
        <w:spacing w:line="360" w:lineRule="auto"/>
        <w:outlineLvl w:val="1"/>
        <w:rPr>
          <w:rFonts w:eastAsia="Calibri" w:cs="Arial"/>
        </w:rPr>
      </w:pPr>
      <w:r w:rsidRPr="00D30E34">
        <w:rPr>
          <w:rFonts w:eastAsia="Calibri" w:cs="Arial"/>
        </w:rPr>
        <w:t>At the end of the study, after follow up was completed, data were transferred to the study statistician for analysis. Between the 31</w:t>
      </w:r>
      <w:r w:rsidRPr="00D30E34">
        <w:rPr>
          <w:rFonts w:eastAsia="Calibri" w:cs="Arial"/>
          <w:vertAlign w:val="superscript"/>
        </w:rPr>
        <w:t>st</w:t>
      </w:r>
      <w:r w:rsidRPr="00D30E34">
        <w:rPr>
          <w:rFonts w:eastAsia="Calibri" w:cs="Arial"/>
        </w:rPr>
        <w:t xml:space="preserve"> March 2015 and the 23</w:t>
      </w:r>
      <w:r w:rsidRPr="00D30E34">
        <w:rPr>
          <w:rFonts w:eastAsia="Calibri" w:cs="Arial"/>
          <w:vertAlign w:val="superscript"/>
        </w:rPr>
        <w:t>rd</w:t>
      </w:r>
      <w:r w:rsidRPr="00D30E34">
        <w:rPr>
          <w:rFonts w:eastAsia="Calibri" w:cs="Arial"/>
        </w:rPr>
        <w:t xml:space="preserve"> January 2017 a total of 52 eligible subjects were recruited and randomised into the study. </w:t>
      </w:r>
      <w:hyperlink w:anchor="_Figure_10:_Cumulative" w:history="1">
        <w:r w:rsidRPr="00D30E34">
          <w:rPr>
            <w:rFonts w:eastAsia="Calibri" w:cs="Arial"/>
            <w:b/>
            <w:color w:val="000000"/>
          </w:rPr>
          <w:t>Figure 10</w:t>
        </w:r>
      </w:hyperlink>
      <w:r w:rsidRPr="00D30E34">
        <w:rPr>
          <w:rFonts w:eastAsia="Calibri" w:cs="Arial"/>
        </w:rPr>
        <w:t xml:space="preserve"> shows the cumulative recruitment into the study against time of randomisation in the two centres.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42" w:name="_Figure_10:_Cumulative"/>
      <w:bookmarkStart w:id="43" w:name="_Toc518401724"/>
      <w:bookmarkEnd w:id="42"/>
      <w:r w:rsidRPr="00D30E34">
        <w:rPr>
          <w:rFonts w:eastAsia="Calibri" w:cs="Arial"/>
          <w:b/>
        </w:rPr>
        <w:t>Figure 10: Cumulative numbers recruited for each study centre.</w:t>
      </w:r>
      <w:bookmarkEnd w:id="43"/>
      <w:r w:rsidRPr="00D30E34">
        <w:rPr>
          <w:rFonts w:eastAsia="Calibri" w:cs="Arial"/>
          <w:b/>
        </w:rPr>
        <w:t xml:space="preserve"> </w:t>
      </w:r>
    </w:p>
    <w:p w:rsidR="00D30E34" w:rsidRPr="00D30E34" w:rsidRDefault="00D30E34" w:rsidP="00D30E34">
      <w:pPr>
        <w:spacing w:line="360" w:lineRule="auto"/>
        <w:outlineLvl w:val="1"/>
        <w:rPr>
          <w:rFonts w:eastAsia="Calibri" w:cs="Arial"/>
          <w:sz w:val="24"/>
          <w:szCs w:val="24"/>
        </w:rPr>
      </w:pPr>
      <w:r w:rsidRPr="00D30E34">
        <w:rPr>
          <w:rFonts w:eastAsia="Calibri" w:cs="Arial"/>
          <w:noProof/>
          <w:sz w:val="24"/>
          <w:szCs w:val="24"/>
          <w:lang w:eastAsia="en-GB"/>
        </w:rPr>
        <w:drawing>
          <wp:inline distT="0" distB="0" distL="0" distR="0" wp14:anchorId="08542658" wp14:editId="1F4FB7E4">
            <wp:extent cx="5731510" cy="416814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68140"/>
                    </a:xfrm>
                    <a:prstGeom prst="rect">
                      <a:avLst/>
                    </a:prstGeom>
                  </pic:spPr>
                </pic:pic>
              </a:graphicData>
            </a:graphic>
          </wp:inline>
        </w:drawing>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The Royal Free recruited 23 subjects, randomised between the 31</w:t>
      </w:r>
      <w:r w:rsidRPr="00D30E34">
        <w:rPr>
          <w:rFonts w:eastAsia="Calibri" w:cs="Arial"/>
          <w:vertAlign w:val="superscript"/>
        </w:rPr>
        <w:t>st</w:t>
      </w:r>
      <w:r w:rsidRPr="00D30E34">
        <w:rPr>
          <w:rFonts w:eastAsia="Calibri" w:cs="Arial"/>
        </w:rPr>
        <w:t xml:space="preserve"> March 2015 and the 23</w:t>
      </w:r>
      <w:r w:rsidRPr="00D30E34">
        <w:rPr>
          <w:rFonts w:eastAsia="Calibri" w:cs="Arial"/>
          <w:vertAlign w:val="superscript"/>
        </w:rPr>
        <w:t>rd</w:t>
      </w:r>
      <w:r w:rsidRPr="00D30E34">
        <w:rPr>
          <w:rFonts w:eastAsia="Calibri" w:cs="Arial"/>
        </w:rPr>
        <w:t xml:space="preserve"> January 2017. Recruitment at Barts Health was more rapid, as can be seen in </w:t>
      </w:r>
      <w:hyperlink w:anchor="_Figure_10:_Cumulative" w:history="1">
        <w:r w:rsidRPr="00D30E34">
          <w:rPr>
            <w:rFonts w:eastAsia="Calibri" w:cs="Arial"/>
            <w:b/>
            <w:color w:val="000000"/>
          </w:rPr>
          <w:t>Figure 10</w:t>
        </w:r>
      </w:hyperlink>
      <w:r w:rsidRPr="00D30E34">
        <w:rPr>
          <w:rFonts w:eastAsia="Calibri" w:cs="Arial"/>
        </w:rPr>
        <w:t>, with 29 subjects recruited and randomised between the 20</w:t>
      </w:r>
      <w:r w:rsidRPr="00D30E34">
        <w:rPr>
          <w:rFonts w:eastAsia="Calibri" w:cs="Arial"/>
          <w:vertAlign w:val="superscript"/>
        </w:rPr>
        <w:t>th</w:t>
      </w:r>
      <w:r w:rsidRPr="00D30E34">
        <w:rPr>
          <w:rFonts w:eastAsia="Calibri" w:cs="Arial"/>
        </w:rPr>
        <w:t xml:space="preserve"> November 2015 and the 9</w:t>
      </w:r>
      <w:r w:rsidRPr="00D30E34">
        <w:rPr>
          <w:rFonts w:eastAsia="Calibri" w:cs="Arial"/>
          <w:vertAlign w:val="superscript"/>
        </w:rPr>
        <w:t>th</w:t>
      </w:r>
      <w:r w:rsidRPr="00D30E34">
        <w:rPr>
          <w:rFonts w:eastAsia="Calibri" w:cs="Arial"/>
        </w:rPr>
        <w:t xml:space="preserve"> January 2017.</w:t>
      </w:r>
    </w:p>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t>Twenty two were positive using T.Spot-TB, 25 positive using QuantiFERON-GIT, one of which was also tuberculin skin test positive, and three tuberculin skin test positive. For the remaining two subjects test results were missing.</w:t>
      </w:r>
    </w:p>
    <w:p w:rsidR="00B324EC" w:rsidRDefault="00B324EC" w:rsidP="00D30E34">
      <w:pPr>
        <w:spacing w:line="360" w:lineRule="auto"/>
        <w:outlineLvl w:val="1"/>
        <w:rPr>
          <w:rFonts w:eastAsia="Calibri" w:cs="Arial"/>
        </w:rPr>
      </w:pPr>
    </w:p>
    <w:p w:rsidR="00B324EC" w:rsidRDefault="00B324EC" w:rsidP="00D30E34">
      <w:pPr>
        <w:spacing w:line="360" w:lineRule="auto"/>
        <w:outlineLvl w:val="1"/>
        <w:rPr>
          <w:rFonts w:eastAsia="Calibri" w:cs="Arial"/>
        </w:rPr>
      </w:pPr>
    </w:p>
    <w:p w:rsidR="00B324EC" w:rsidRDefault="00B324EC" w:rsidP="00D30E34">
      <w:pPr>
        <w:spacing w:line="360" w:lineRule="auto"/>
        <w:outlineLvl w:val="1"/>
        <w:rPr>
          <w:rFonts w:eastAsia="Calibri" w:cs="Arial"/>
        </w:rPr>
      </w:pPr>
    </w:p>
    <w:p w:rsidR="00B324EC" w:rsidRDefault="00B324EC" w:rsidP="00D30E34">
      <w:pPr>
        <w:spacing w:line="360" w:lineRule="auto"/>
        <w:outlineLvl w:val="1"/>
        <w:rPr>
          <w:rFonts w:eastAsia="Calibri" w:cs="Arial"/>
        </w:rPr>
      </w:pPr>
    </w:p>
    <w:p w:rsidR="00B324EC" w:rsidRPr="00D30E34" w:rsidRDefault="00B324EC"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sz w:val="24"/>
          <w:szCs w:val="24"/>
        </w:rPr>
      </w:pPr>
    </w:p>
    <w:p w:rsidR="00D30E34" w:rsidRPr="00D30E34" w:rsidRDefault="00D30E34" w:rsidP="00D30E34">
      <w:pPr>
        <w:spacing w:line="360" w:lineRule="auto"/>
        <w:outlineLvl w:val="2"/>
        <w:rPr>
          <w:rFonts w:eastAsia="Calibri" w:cs="Arial"/>
          <w:b/>
        </w:rPr>
      </w:pPr>
      <w:bookmarkStart w:id="44" w:name="_Toc518401725"/>
      <w:r w:rsidRPr="00D30E34">
        <w:rPr>
          <w:rFonts w:eastAsia="Calibri" w:cs="Arial"/>
          <w:b/>
        </w:rPr>
        <w:t>Randomisation</w:t>
      </w:r>
      <w:bookmarkEnd w:id="44"/>
    </w:p>
    <w:p w:rsidR="00D30E34" w:rsidRPr="00D30E34" w:rsidRDefault="00D30E34" w:rsidP="00D30E34">
      <w:pPr>
        <w:spacing w:line="360" w:lineRule="auto"/>
        <w:outlineLvl w:val="1"/>
        <w:rPr>
          <w:rFonts w:eastAsia="Calibri" w:cs="Arial"/>
        </w:rPr>
      </w:pPr>
      <w:r w:rsidRPr="00D30E34">
        <w:rPr>
          <w:rFonts w:eastAsia="Calibri" w:cs="Arial"/>
        </w:rPr>
        <w:t xml:space="preserve">A total of 27 (51.9%) subjects were randomly allocated to the experimental treatment arm and 25 (48.1%) to the standard treatment arm.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As can be seen in </w:t>
      </w:r>
      <w:hyperlink w:anchor="_Table_20:_Randomisation" w:history="1">
        <w:r w:rsidRPr="00D30E34">
          <w:rPr>
            <w:rFonts w:eastAsia="Calibri" w:cs="Arial"/>
            <w:b/>
            <w:color w:val="000000"/>
          </w:rPr>
          <w:t>Table 18</w:t>
        </w:r>
      </w:hyperlink>
      <w:r w:rsidRPr="00D30E34">
        <w:rPr>
          <w:rFonts w:eastAsia="Calibri" w:cs="Arial"/>
        </w:rPr>
        <w:t xml:space="preserve">, a larger percentage of subjects recruited at the Royal Free (65.5%) were randomly allocated to the experimental treatment arm compared to Barts Health (41.4%).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45" w:name="_Table_20:_Randomisation"/>
      <w:bookmarkStart w:id="46" w:name="_Toc518401726"/>
      <w:bookmarkEnd w:id="45"/>
      <w:r w:rsidRPr="00D30E34">
        <w:rPr>
          <w:rFonts w:eastAsia="Calibri" w:cs="Arial"/>
          <w:b/>
        </w:rPr>
        <w:t>Table 18: Randomisation by centre</w:t>
      </w:r>
      <w:bookmarkEnd w:id="46"/>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005"/>
        <w:gridCol w:w="2005"/>
        <w:gridCol w:w="2005"/>
      </w:tblGrid>
      <w:tr w:rsidR="00D30E34" w:rsidRPr="00D30E34" w:rsidTr="002B425C">
        <w:tc>
          <w:tcPr>
            <w:tcW w:w="3227" w:type="dxa"/>
            <w:vMerge w:val="restart"/>
            <w:shd w:val="clear" w:color="auto" w:fill="auto"/>
            <w:vAlign w:val="center"/>
          </w:tcPr>
          <w:p w:rsidR="00D30E34" w:rsidRPr="00D30E34" w:rsidRDefault="00D30E34" w:rsidP="00D30E34">
            <w:pPr>
              <w:spacing w:line="360" w:lineRule="auto"/>
              <w:outlineLvl w:val="1"/>
              <w:rPr>
                <w:rFonts w:cs="Arial"/>
                <w:b/>
              </w:rPr>
            </w:pPr>
            <w:r w:rsidRPr="00D30E34">
              <w:rPr>
                <w:rFonts w:cs="Arial"/>
                <w:b/>
              </w:rPr>
              <w:t xml:space="preserve">Randomised Group </w:t>
            </w:r>
          </w:p>
        </w:tc>
        <w:tc>
          <w:tcPr>
            <w:tcW w:w="6015"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Name of Site</w:t>
            </w:r>
          </w:p>
        </w:tc>
      </w:tr>
      <w:tr w:rsidR="00D30E34" w:rsidRPr="00D30E34" w:rsidTr="002B425C">
        <w:tc>
          <w:tcPr>
            <w:tcW w:w="3227"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2005"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Barts Health</w:t>
            </w:r>
          </w:p>
        </w:tc>
        <w:tc>
          <w:tcPr>
            <w:tcW w:w="2005"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Royal Free</w:t>
            </w:r>
          </w:p>
        </w:tc>
        <w:tc>
          <w:tcPr>
            <w:tcW w:w="2005"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Total</w:t>
            </w:r>
          </w:p>
        </w:tc>
      </w:tr>
      <w:tr w:rsidR="00D30E34" w:rsidRPr="00D30E34" w:rsidTr="002B425C">
        <w:tc>
          <w:tcPr>
            <w:tcW w:w="3227" w:type="dxa"/>
            <w:tcBorders>
              <w:top w:val="single" w:sz="4" w:space="0" w:color="auto"/>
              <w:bottom w:val="nil"/>
            </w:tcBorders>
          </w:tcPr>
          <w:p w:rsidR="00D30E34" w:rsidRPr="00D30E34" w:rsidRDefault="00D30E34" w:rsidP="00D30E34">
            <w:pPr>
              <w:spacing w:line="360" w:lineRule="auto"/>
              <w:outlineLvl w:val="1"/>
              <w:rPr>
                <w:rFonts w:cs="Arial"/>
              </w:rPr>
            </w:pPr>
            <w:r w:rsidRPr="00D30E34">
              <w:rPr>
                <w:rFonts w:cs="Arial"/>
              </w:rPr>
              <w:t>Experimental Treatment</w:t>
            </w:r>
          </w:p>
        </w:tc>
        <w:tc>
          <w:tcPr>
            <w:tcW w:w="2005"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12 (41.4%)</w:t>
            </w:r>
          </w:p>
        </w:tc>
        <w:tc>
          <w:tcPr>
            <w:tcW w:w="2005"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15 (65.2%)</w:t>
            </w:r>
          </w:p>
        </w:tc>
        <w:tc>
          <w:tcPr>
            <w:tcW w:w="2005"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 xml:space="preserve">27 </w:t>
            </w:r>
          </w:p>
        </w:tc>
      </w:tr>
      <w:tr w:rsidR="00D30E34" w:rsidRPr="00D30E34" w:rsidTr="002B425C">
        <w:tc>
          <w:tcPr>
            <w:tcW w:w="3227" w:type="dxa"/>
            <w:tcBorders>
              <w:top w:val="nil"/>
              <w:bottom w:val="single" w:sz="4" w:space="0" w:color="auto"/>
            </w:tcBorders>
          </w:tcPr>
          <w:p w:rsidR="00D30E34" w:rsidRPr="00D30E34" w:rsidRDefault="00D30E34" w:rsidP="00D30E34">
            <w:pPr>
              <w:spacing w:line="360" w:lineRule="auto"/>
              <w:outlineLvl w:val="1"/>
              <w:rPr>
                <w:rFonts w:cs="Arial"/>
              </w:rPr>
            </w:pPr>
            <w:r w:rsidRPr="00D30E34">
              <w:rPr>
                <w:rFonts w:cs="Arial"/>
              </w:rPr>
              <w:t>Standard Treatment</w:t>
            </w:r>
          </w:p>
        </w:tc>
        <w:tc>
          <w:tcPr>
            <w:tcW w:w="2005"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17 (58.6%)</w:t>
            </w:r>
          </w:p>
        </w:tc>
        <w:tc>
          <w:tcPr>
            <w:tcW w:w="2005"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8 (34.8%)</w:t>
            </w:r>
          </w:p>
        </w:tc>
        <w:tc>
          <w:tcPr>
            <w:tcW w:w="2005"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 xml:space="preserve">25 </w:t>
            </w:r>
          </w:p>
        </w:tc>
      </w:tr>
      <w:tr w:rsidR="00D30E34" w:rsidRPr="00D30E34" w:rsidTr="002B425C">
        <w:tc>
          <w:tcPr>
            <w:tcW w:w="3227" w:type="dxa"/>
            <w:tcBorders>
              <w:top w:val="single" w:sz="4" w:space="0" w:color="auto"/>
              <w:bottom w:val="single" w:sz="4" w:space="0" w:color="auto"/>
            </w:tcBorders>
          </w:tcPr>
          <w:p w:rsidR="00D30E34" w:rsidRPr="00D30E34" w:rsidRDefault="00D30E34" w:rsidP="00D30E34">
            <w:pPr>
              <w:spacing w:line="360" w:lineRule="auto"/>
              <w:outlineLvl w:val="1"/>
              <w:rPr>
                <w:rFonts w:cs="Arial"/>
              </w:rPr>
            </w:pPr>
            <w:r w:rsidRPr="00D30E34">
              <w:rPr>
                <w:rFonts w:cs="Arial"/>
              </w:rPr>
              <w:t>Total</w:t>
            </w:r>
          </w:p>
        </w:tc>
        <w:tc>
          <w:tcPr>
            <w:tcW w:w="2005"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29</w:t>
            </w:r>
          </w:p>
        </w:tc>
        <w:tc>
          <w:tcPr>
            <w:tcW w:w="2005"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23</w:t>
            </w:r>
          </w:p>
        </w:tc>
        <w:tc>
          <w:tcPr>
            <w:tcW w:w="2005"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 xml:space="preserve">52 </w:t>
            </w:r>
          </w:p>
        </w:tc>
      </w:tr>
    </w:tbl>
    <w:p w:rsidR="00D30E34" w:rsidRPr="00D30E34" w:rsidRDefault="00D30E34" w:rsidP="00D30E34">
      <w:pPr>
        <w:spacing w:line="360" w:lineRule="auto"/>
        <w:outlineLvl w:val="1"/>
        <w:rPr>
          <w:rFonts w:eastAsia="Calibri" w:cs="Arial"/>
          <w:sz w:val="24"/>
          <w:szCs w:val="24"/>
        </w:rPr>
      </w:pPr>
    </w:p>
    <w:p w:rsidR="00D30E34" w:rsidRPr="00D30E34" w:rsidRDefault="00D30E34" w:rsidP="00D30E34">
      <w:pPr>
        <w:spacing w:line="360" w:lineRule="auto"/>
        <w:outlineLvl w:val="2"/>
        <w:rPr>
          <w:rFonts w:eastAsia="Calibri" w:cs="Arial"/>
          <w:b/>
        </w:rPr>
      </w:pPr>
      <w:bookmarkStart w:id="47" w:name="_Toc518401727"/>
      <w:r w:rsidRPr="00D30E34">
        <w:rPr>
          <w:rFonts w:eastAsia="Calibri" w:cs="Arial"/>
          <w:b/>
        </w:rPr>
        <w:t>Comparison of experimental and standard treatment arms</w:t>
      </w:r>
      <w:bookmarkEnd w:id="47"/>
    </w:p>
    <w:p w:rsidR="00D30E34" w:rsidRPr="00D30E34" w:rsidRDefault="00D30E34" w:rsidP="00D30E34">
      <w:pPr>
        <w:spacing w:line="360" w:lineRule="auto"/>
        <w:outlineLvl w:val="1"/>
        <w:rPr>
          <w:rFonts w:eastAsia="Calibri" w:cs="Arial"/>
        </w:rPr>
      </w:pPr>
      <w:r w:rsidRPr="00D30E34">
        <w:rPr>
          <w:rFonts w:eastAsia="Calibri" w:cs="Arial"/>
        </w:rPr>
        <w:t xml:space="preserve">We should not expect to observe any important differences between the study arms in the potential confounders due to the use of randomisation to allocate subjects. However, the study groups have been compared to ensure that, by chance, no important imbalance has occurred between study arms. The results of this comparison are shown in </w:t>
      </w:r>
      <w:hyperlink w:anchor="_Table_21:_Comparison" w:history="1">
        <w:r w:rsidRPr="00D30E34">
          <w:rPr>
            <w:rFonts w:eastAsia="Calibri" w:cs="Arial"/>
            <w:b/>
            <w:color w:val="000000"/>
          </w:rPr>
          <w:t>Table 19</w:t>
        </w:r>
      </w:hyperlink>
      <w:r w:rsidRPr="00D30E34">
        <w:rPr>
          <w:rFonts w:eastAsia="Calibri" w:cs="Arial"/>
        </w:rPr>
        <w:t xml:space="preserve">. </w:t>
      </w:r>
    </w:p>
    <w:p w:rsidR="00D30E34" w:rsidRPr="00D30E34" w:rsidRDefault="00D30E34" w:rsidP="00D30E34">
      <w:pPr>
        <w:spacing w:line="360" w:lineRule="auto"/>
        <w:outlineLvl w:val="1"/>
        <w:rPr>
          <w:rFonts w:eastAsia="Calibri" w:cs="Arial"/>
        </w:rPr>
      </w:pPr>
    </w:p>
    <w:p w:rsidR="00D30E34" w:rsidRDefault="00D30E34" w:rsidP="002B425C">
      <w:pPr>
        <w:spacing w:line="360" w:lineRule="auto"/>
        <w:outlineLvl w:val="1"/>
        <w:rPr>
          <w:rFonts w:eastAsia="Calibri" w:cs="Arial"/>
        </w:rPr>
      </w:pPr>
      <w:r w:rsidRPr="00D30E34">
        <w:rPr>
          <w:rFonts w:eastAsia="Calibri" w:cs="Arial"/>
        </w:rPr>
        <w:t>None of the potential confounders exhibited any major imbalances between the experimental and standard treatment groups.</w:t>
      </w:r>
      <w:bookmarkStart w:id="48" w:name="_Table_21:_Comparison"/>
      <w:bookmarkEnd w:id="48"/>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B324EC" w:rsidRDefault="00B324EC" w:rsidP="002B425C">
      <w:pPr>
        <w:spacing w:line="360" w:lineRule="auto"/>
        <w:outlineLvl w:val="1"/>
        <w:rPr>
          <w:rFonts w:eastAsia="Calibri" w:cs="Arial"/>
        </w:rPr>
      </w:pPr>
    </w:p>
    <w:p w:rsidR="002B425C" w:rsidRPr="00D30E34" w:rsidRDefault="002B425C" w:rsidP="002B425C">
      <w:pPr>
        <w:spacing w:line="360" w:lineRule="auto"/>
        <w:outlineLvl w:val="1"/>
        <w:rPr>
          <w:rFonts w:eastAsia="Calibri" w:cs="Arial"/>
          <w:b/>
        </w:rPr>
      </w:pPr>
    </w:p>
    <w:p w:rsidR="00D30E34" w:rsidRPr="00D30E34" w:rsidRDefault="00D30E34" w:rsidP="00D30E34">
      <w:pPr>
        <w:spacing w:line="360" w:lineRule="auto"/>
        <w:outlineLvl w:val="2"/>
        <w:rPr>
          <w:rFonts w:eastAsia="Calibri" w:cs="Arial"/>
          <w:b/>
        </w:rPr>
      </w:pPr>
      <w:bookmarkStart w:id="49" w:name="_Toc518401728"/>
      <w:r w:rsidRPr="00D30E34">
        <w:rPr>
          <w:rFonts w:eastAsia="Calibri" w:cs="Arial"/>
          <w:b/>
        </w:rPr>
        <w:lastRenderedPageBreak/>
        <w:t>Table 19: Comparison of intervention and normal care groups for potentially important confounding variables at baseline assessment</w:t>
      </w:r>
      <w:bookmarkEnd w:id="49"/>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552"/>
        <w:gridCol w:w="2613"/>
      </w:tblGrid>
      <w:tr w:rsidR="00D30E34" w:rsidRPr="00D30E34" w:rsidTr="002B425C">
        <w:tc>
          <w:tcPr>
            <w:tcW w:w="4077"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Variable</w:t>
            </w:r>
          </w:p>
        </w:tc>
        <w:tc>
          <w:tcPr>
            <w:tcW w:w="2552"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 (n=27)</w:t>
            </w:r>
          </w:p>
        </w:tc>
        <w:tc>
          <w:tcPr>
            <w:tcW w:w="2613"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 (n=25)</w:t>
            </w:r>
          </w:p>
        </w:tc>
      </w:tr>
      <w:tr w:rsidR="00D30E34" w:rsidRPr="00D30E34" w:rsidTr="002B425C">
        <w:tc>
          <w:tcPr>
            <w:tcW w:w="4077"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Demographic</w:t>
            </w:r>
          </w:p>
        </w:tc>
        <w:tc>
          <w:tcPr>
            <w:tcW w:w="2552"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p>
        </w:tc>
        <w:tc>
          <w:tcPr>
            <w:tcW w:w="2613"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4077"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Male (%)</w:t>
            </w:r>
          </w:p>
        </w:tc>
        <w:tc>
          <w:tcPr>
            <w:tcW w:w="2552" w:type="dxa"/>
            <w:tcBorders>
              <w:top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13 (48.2%)</w:t>
            </w:r>
          </w:p>
        </w:tc>
        <w:tc>
          <w:tcPr>
            <w:tcW w:w="2613" w:type="dxa"/>
            <w:tcBorders>
              <w:top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13 (52.0%)</w:t>
            </w:r>
          </w:p>
        </w:tc>
      </w:tr>
      <w:tr w:rsidR="00D30E34" w:rsidRPr="00D30E34" w:rsidTr="002B425C">
        <w:tc>
          <w:tcPr>
            <w:tcW w:w="4077" w:type="dxa"/>
            <w:tcBorders>
              <w:top w:val="single" w:sz="4" w:space="0" w:color="auto"/>
              <w:left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Lifestyle</w:t>
            </w:r>
          </w:p>
        </w:tc>
        <w:tc>
          <w:tcPr>
            <w:tcW w:w="2552"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p>
        </w:tc>
        <w:tc>
          <w:tcPr>
            <w:tcW w:w="2613"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4077"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Concomitant medication</w:t>
            </w:r>
          </w:p>
        </w:tc>
        <w:tc>
          <w:tcPr>
            <w:tcW w:w="2552"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9 (33.3%)</w:t>
            </w:r>
          </w:p>
        </w:tc>
        <w:tc>
          <w:tcPr>
            <w:tcW w:w="2613"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5 (20.0%)</w:t>
            </w:r>
          </w:p>
        </w:tc>
      </w:tr>
      <w:tr w:rsidR="00D30E34" w:rsidRPr="00D30E34" w:rsidTr="002B425C">
        <w:tc>
          <w:tcPr>
            <w:tcW w:w="4077"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Smoking </w:t>
            </w:r>
          </w:p>
        </w:tc>
        <w:tc>
          <w:tcPr>
            <w:tcW w:w="2552"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c>
          <w:tcPr>
            <w:tcW w:w="2613"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4077" w:type="dxa"/>
            <w:tcBorders>
              <w:top w:val="nil"/>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   Current</w:t>
            </w:r>
          </w:p>
        </w:tc>
        <w:tc>
          <w:tcPr>
            <w:tcW w:w="2552"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3 (11.1%)</w:t>
            </w:r>
          </w:p>
        </w:tc>
        <w:tc>
          <w:tcPr>
            <w:tcW w:w="2613"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6 (24.0%)</w:t>
            </w:r>
          </w:p>
        </w:tc>
      </w:tr>
      <w:tr w:rsidR="00D30E34" w:rsidRPr="00D30E34" w:rsidTr="002B425C">
        <w:tc>
          <w:tcPr>
            <w:tcW w:w="4077" w:type="dxa"/>
            <w:tcBorders>
              <w:top w:val="nil"/>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   Ex</w:t>
            </w:r>
          </w:p>
        </w:tc>
        <w:tc>
          <w:tcPr>
            <w:tcW w:w="2552"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 (7.4%)</w:t>
            </w:r>
          </w:p>
        </w:tc>
        <w:tc>
          <w:tcPr>
            <w:tcW w:w="2613"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3 (12.0%)</w:t>
            </w:r>
          </w:p>
        </w:tc>
      </w:tr>
      <w:tr w:rsidR="00D30E34" w:rsidRPr="00D30E34" w:rsidTr="002B425C">
        <w:tc>
          <w:tcPr>
            <w:tcW w:w="4077"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   Never</w:t>
            </w:r>
          </w:p>
        </w:tc>
        <w:tc>
          <w:tcPr>
            <w:tcW w:w="2552"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22 (88.5%)</w:t>
            </w:r>
          </w:p>
        </w:tc>
        <w:tc>
          <w:tcPr>
            <w:tcW w:w="2613"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16 (64.0%)</w:t>
            </w:r>
          </w:p>
        </w:tc>
      </w:tr>
      <w:tr w:rsidR="00D30E34" w:rsidRPr="00D30E34" w:rsidTr="002B425C">
        <w:tc>
          <w:tcPr>
            <w:tcW w:w="9242" w:type="dxa"/>
            <w:gridSpan w:val="3"/>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Haematology (median, lower and upper quartiles)</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Pulse (per minute)</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77.7 (70.0,85.5)</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70 (61,82)</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Systolic BP (mmHg)</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124.5 (114,138)</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110 (107,127)</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Diastolic BP (mm Hg)</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79 (71,86.5)</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77 (70,80)</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HB</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137 (128,145)</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137.5 (123,152)</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WBC</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6.20 (5.32,8.02)</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6.43 (5.43,7.61)</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Platelets</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240 (225,323)</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240 (214.5,298)</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Neutrophils</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3.8 (2.1,4.5)</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3.65 (2.95,4.50)</w:t>
            </w:r>
          </w:p>
        </w:tc>
      </w:tr>
      <w:tr w:rsidR="00D30E34" w:rsidRPr="00D30E34" w:rsidTr="002B425C">
        <w:tc>
          <w:tcPr>
            <w:tcW w:w="4077" w:type="dxa"/>
            <w:tcBorders>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Monocytes</w:t>
            </w:r>
          </w:p>
        </w:tc>
        <w:tc>
          <w:tcPr>
            <w:tcW w:w="2552" w:type="dxa"/>
            <w:tcBorders>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0.46 (0.39,0.60)</w:t>
            </w:r>
          </w:p>
        </w:tc>
        <w:tc>
          <w:tcPr>
            <w:tcW w:w="2613" w:type="dxa"/>
            <w:tcBorders>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0.465 (0.40,0.60)</w:t>
            </w:r>
          </w:p>
        </w:tc>
      </w:tr>
      <w:tr w:rsidR="00D30E34" w:rsidRPr="00D30E34" w:rsidTr="002B425C">
        <w:tc>
          <w:tcPr>
            <w:tcW w:w="9242" w:type="dxa"/>
            <w:gridSpan w:val="3"/>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Biochemistry (median, lower and upper quartiles)</w:t>
            </w:r>
          </w:p>
        </w:tc>
      </w:tr>
      <w:tr w:rsidR="00D30E34" w:rsidRPr="00D30E34" w:rsidTr="002B425C">
        <w:tc>
          <w:tcPr>
            <w:tcW w:w="4077"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Sodium</w:t>
            </w:r>
          </w:p>
        </w:tc>
        <w:tc>
          <w:tcPr>
            <w:tcW w:w="2552" w:type="dxa"/>
            <w:tcBorders>
              <w:top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141 (139,141)</w:t>
            </w:r>
          </w:p>
        </w:tc>
        <w:tc>
          <w:tcPr>
            <w:tcW w:w="2613" w:type="dxa"/>
            <w:tcBorders>
              <w:top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140 (139,141)</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Potassium</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4.4 (4.2,4.6)</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4.35 (3.9,4.55)</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Urea</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4.2 (3.2,5.1)</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4.5 (4.2,5.3)</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Creatinine</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71 (68,85)</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80.5 (65,94.5)</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Total bilirubin</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9 (6,12)</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10 (6,11)</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ALT</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22 (15,32)</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19.5 (17,30)</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AST</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20 (16,26)</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18.5 (18,24)</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Alkaline phosphatase</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66 (59,74)</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66.5 (54.5,79)</w:t>
            </w:r>
          </w:p>
        </w:tc>
      </w:tr>
      <w:tr w:rsidR="00D30E34" w:rsidRPr="00D30E34" w:rsidTr="002B425C">
        <w:tc>
          <w:tcPr>
            <w:tcW w:w="4077" w:type="dxa"/>
          </w:tcPr>
          <w:p w:rsidR="00D30E34" w:rsidRPr="00D30E34" w:rsidRDefault="00D30E34" w:rsidP="00D30E34">
            <w:pPr>
              <w:spacing w:line="360" w:lineRule="auto"/>
              <w:outlineLvl w:val="1"/>
              <w:rPr>
                <w:rFonts w:cs="Arial"/>
                <w:sz w:val="20"/>
                <w:szCs w:val="20"/>
              </w:rPr>
            </w:pPr>
            <w:r w:rsidRPr="00D30E34">
              <w:rPr>
                <w:rFonts w:cs="Arial"/>
                <w:sz w:val="20"/>
                <w:szCs w:val="20"/>
              </w:rPr>
              <w:t>Glucose</w:t>
            </w:r>
          </w:p>
        </w:tc>
        <w:tc>
          <w:tcPr>
            <w:tcW w:w="2552"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5.0 94.5,5.7)</w:t>
            </w:r>
          </w:p>
        </w:tc>
        <w:tc>
          <w:tcPr>
            <w:tcW w:w="2613"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5.1 (4.45,5.6)</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The case report form recorded a range of physical and blood test results at baseline assessment, which were described as normal, or abnormal, and when abnormal whether this was clinically significant (CS), or not (NCS). These were all normal, or not done, apart from one subject with a NCS abnormal lung examination, and one subject with NCS abnormal lymph nodes.</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One subject had CS low haemoglobin of 104 g/l. Another subject has CS high platelets per microlitre of 496. A further subject had a CS eosinophil count of 0.51 x 10</w:t>
      </w:r>
      <w:r w:rsidRPr="00D30E34">
        <w:rPr>
          <w:rFonts w:eastAsia="Calibri" w:cs="Arial"/>
          <w:vertAlign w:val="superscript"/>
        </w:rPr>
        <w:t>9</w:t>
      </w:r>
      <w:r w:rsidRPr="00D30E34">
        <w:rPr>
          <w:rFonts w:eastAsia="Calibri" w:cs="Arial"/>
        </w:rPr>
        <w:t>/L. One subject had abnormal biochemistry results with a value for alanine transaminase (ALT) of 92 international units/litre (iu/L) and aspartate transaminase (AST) of 60 iu/L.</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lastRenderedPageBreak/>
        <w:t>One subject had a history of homelessness and two had a history of drug use. All virological tests were negative; one subject had an abnormal chest x-ray which was not TB. One subject had some mobility problems, five had moderate pain or discomfort and two were moderately anxious or depressed.</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50" w:name="_Toc518401729"/>
      <w:r w:rsidRPr="00D30E34">
        <w:rPr>
          <w:rFonts w:eastAsia="Calibri" w:cs="Arial"/>
          <w:b/>
        </w:rPr>
        <w:t>Primary outcome</w:t>
      </w:r>
      <w:bookmarkEnd w:id="50"/>
      <w:r w:rsidRPr="00D30E34">
        <w:rPr>
          <w:rFonts w:eastAsia="Calibri" w:cs="Arial"/>
          <w:b/>
        </w:rPr>
        <w:t xml:space="preserve"> </w:t>
      </w:r>
    </w:p>
    <w:p w:rsidR="00D30E34" w:rsidRPr="00D30E34" w:rsidRDefault="00D30E34" w:rsidP="00D30E34">
      <w:pPr>
        <w:spacing w:line="360" w:lineRule="auto"/>
        <w:outlineLvl w:val="1"/>
        <w:rPr>
          <w:rFonts w:eastAsia="Calibri" w:cs="Arial"/>
        </w:rPr>
      </w:pPr>
      <w:r w:rsidRPr="00D30E34">
        <w:rPr>
          <w:rFonts w:eastAsia="Calibri" w:cs="Arial"/>
        </w:rPr>
        <w:t xml:space="preserve">A total of 38 of the 52 subjects completed treatment. </w:t>
      </w:r>
      <w:hyperlink w:anchor="_Table_22:_Treatment" w:history="1">
        <w:r w:rsidRPr="00D30E34">
          <w:rPr>
            <w:rFonts w:eastAsia="Calibri" w:cs="Arial"/>
            <w:b/>
            <w:color w:val="000000"/>
          </w:rPr>
          <w:t>Table 20</w:t>
        </w:r>
      </w:hyperlink>
      <w:r w:rsidRPr="00D30E34">
        <w:rPr>
          <w:rFonts w:eastAsia="Calibri" w:cs="Arial"/>
        </w:rPr>
        <w:t xml:space="preserve"> presents the outcomes of the study subjects in each study arm.</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51" w:name="_Table_22:_Treatment"/>
      <w:bookmarkStart w:id="52" w:name="_Toc518401730"/>
      <w:bookmarkEnd w:id="51"/>
      <w:r w:rsidRPr="00D30E34">
        <w:rPr>
          <w:rFonts w:eastAsia="Calibri" w:cs="Arial"/>
          <w:b/>
        </w:rPr>
        <w:t>Table 20: Treatment completion study arm</w:t>
      </w:r>
      <w:bookmarkEnd w:id="52"/>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7"/>
        <w:gridCol w:w="2047"/>
        <w:gridCol w:w="2047"/>
        <w:gridCol w:w="2047"/>
      </w:tblGrid>
      <w:tr w:rsidR="00D30E34" w:rsidRPr="00D30E34" w:rsidTr="002B425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b/>
              </w:rPr>
            </w:pPr>
            <w:r w:rsidRPr="00D30E34">
              <w:rPr>
                <w:rFonts w:cs="Arial"/>
                <w:b/>
              </w:rPr>
              <w:t>Outcome</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Experimental</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Standard</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Total</w:t>
            </w:r>
          </w:p>
        </w:tc>
      </w:tr>
      <w:tr w:rsidR="00D30E34" w:rsidRPr="00D30E34" w:rsidTr="002B425C">
        <w:tc>
          <w:tcPr>
            <w:tcW w:w="2047" w:type="dxa"/>
            <w:tcBorders>
              <w:top w:val="single" w:sz="4" w:space="0" w:color="auto"/>
              <w:bottom w:val="nil"/>
            </w:tcBorders>
            <w:shd w:val="clear" w:color="auto" w:fill="auto"/>
          </w:tcPr>
          <w:p w:rsidR="00D30E34" w:rsidRPr="00D30E34" w:rsidRDefault="00D30E34" w:rsidP="00D30E34">
            <w:pPr>
              <w:spacing w:line="360" w:lineRule="auto"/>
              <w:outlineLvl w:val="1"/>
              <w:rPr>
                <w:rFonts w:cs="Arial"/>
              </w:rPr>
            </w:pPr>
            <w:r w:rsidRPr="00D30E34">
              <w:rPr>
                <w:rFonts w:cs="Arial"/>
              </w:rPr>
              <w:t>Completed</w:t>
            </w:r>
          </w:p>
        </w:tc>
        <w:tc>
          <w:tcPr>
            <w:tcW w:w="2047"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21 (77.8%)</w:t>
            </w:r>
          </w:p>
        </w:tc>
        <w:tc>
          <w:tcPr>
            <w:tcW w:w="2047"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17 (68.0%)</w:t>
            </w:r>
          </w:p>
        </w:tc>
        <w:tc>
          <w:tcPr>
            <w:tcW w:w="2047"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38 </w:t>
            </w:r>
          </w:p>
        </w:tc>
      </w:tr>
      <w:tr w:rsidR="00D30E34" w:rsidRPr="00D30E34" w:rsidTr="002B425C">
        <w:tc>
          <w:tcPr>
            <w:tcW w:w="2047" w:type="dxa"/>
            <w:tcBorders>
              <w:top w:val="nil"/>
            </w:tcBorders>
            <w:shd w:val="clear" w:color="auto" w:fill="auto"/>
          </w:tcPr>
          <w:p w:rsidR="00D30E34" w:rsidRPr="00D30E34" w:rsidRDefault="00D30E34" w:rsidP="00D30E34">
            <w:pPr>
              <w:spacing w:line="360" w:lineRule="auto"/>
              <w:outlineLvl w:val="1"/>
              <w:rPr>
                <w:rFonts w:cs="Arial"/>
              </w:rPr>
            </w:pPr>
            <w:r w:rsidRPr="00D30E34">
              <w:rPr>
                <w:rFonts w:cs="Arial"/>
              </w:rPr>
              <w:t>Withdrawn</w:t>
            </w:r>
          </w:p>
        </w:tc>
        <w:tc>
          <w:tcPr>
            <w:tcW w:w="2047" w:type="dxa"/>
            <w:tcBorders>
              <w:top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6 (22.2%)</w:t>
            </w:r>
          </w:p>
        </w:tc>
        <w:tc>
          <w:tcPr>
            <w:tcW w:w="2047" w:type="dxa"/>
            <w:tcBorders>
              <w:top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8 (32.0%)</w:t>
            </w:r>
          </w:p>
        </w:tc>
        <w:tc>
          <w:tcPr>
            <w:tcW w:w="2047" w:type="dxa"/>
            <w:tcBorders>
              <w:top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14 </w:t>
            </w:r>
          </w:p>
        </w:tc>
      </w:tr>
      <w:tr w:rsidR="00D30E34" w:rsidRPr="00D30E34" w:rsidTr="002B425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rPr>
            </w:pPr>
            <w:r w:rsidRPr="00D30E34">
              <w:rPr>
                <w:rFonts w:cs="Arial"/>
              </w:rPr>
              <w:t>Total</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27</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25</w:t>
            </w:r>
          </w:p>
        </w:tc>
        <w:tc>
          <w:tcPr>
            <w:tcW w:w="2047"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52 </w:t>
            </w:r>
          </w:p>
        </w:tc>
      </w:tr>
    </w:tbl>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t xml:space="preserve">For the experimental treatment, the exact binomial 95% CI was 57.7% to 91.4%, compared to 46.5% to 85.1% in the standard treatment arm. The difference in completion rate was 9.8%. The reason that 14 subjects that failed to complete treatment are shown in </w:t>
      </w:r>
      <w:hyperlink w:anchor="_Table_23:_Reason" w:history="1">
        <w:r w:rsidRPr="00D30E34">
          <w:rPr>
            <w:rFonts w:eastAsia="Calibri" w:cs="Arial"/>
            <w:b/>
            <w:color w:val="000000"/>
          </w:rPr>
          <w:t>Table 21</w:t>
        </w:r>
      </w:hyperlink>
      <w:r w:rsidRPr="00D30E34">
        <w:rPr>
          <w:rFonts w:eastAsia="Calibri" w:cs="Arial"/>
        </w:rPr>
        <w:t>.</w:t>
      </w:r>
    </w:p>
    <w:p w:rsidR="00B324EC" w:rsidRDefault="00B324EC" w:rsidP="00D30E34">
      <w:pPr>
        <w:spacing w:line="360" w:lineRule="auto"/>
        <w:outlineLvl w:val="2"/>
        <w:rPr>
          <w:rFonts w:eastAsia="Calibri" w:cs="Arial"/>
          <w:b/>
        </w:rPr>
      </w:pPr>
      <w:bookmarkStart w:id="53" w:name="_Table_23:_Reason"/>
      <w:bookmarkStart w:id="54" w:name="_Toc518401731"/>
      <w:bookmarkEnd w:id="53"/>
    </w:p>
    <w:p w:rsidR="00D30E34" w:rsidRPr="00D30E34" w:rsidRDefault="00D30E34" w:rsidP="00D30E34">
      <w:pPr>
        <w:spacing w:line="360" w:lineRule="auto"/>
        <w:outlineLvl w:val="2"/>
        <w:rPr>
          <w:rFonts w:eastAsia="Calibri" w:cs="Arial"/>
          <w:b/>
        </w:rPr>
      </w:pPr>
      <w:r w:rsidRPr="00D30E34">
        <w:rPr>
          <w:rFonts w:eastAsia="Calibri" w:cs="Arial"/>
          <w:b/>
        </w:rPr>
        <w:t>Table 21: Reason for failure to complete treatment by study arm</w:t>
      </w:r>
      <w:bookmarkEnd w:id="54"/>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1816"/>
        <w:gridCol w:w="1816"/>
        <w:gridCol w:w="1816"/>
      </w:tblGrid>
      <w:tr w:rsidR="00D30E34" w:rsidRPr="00D30E34" w:rsidTr="002B425C">
        <w:tc>
          <w:tcPr>
            <w:tcW w:w="3794"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b/>
              </w:rPr>
            </w:pPr>
            <w:r w:rsidRPr="00D30E34">
              <w:rPr>
                <w:rFonts w:cs="Arial"/>
                <w:b/>
              </w:rPr>
              <w:t>Reason for withdrawal</w:t>
            </w:r>
          </w:p>
        </w:tc>
        <w:tc>
          <w:tcPr>
            <w:tcW w:w="1816"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Experimental</w:t>
            </w:r>
          </w:p>
        </w:tc>
        <w:tc>
          <w:tcPr>
            <w:tcW w:w="1816"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Standard</w:t>
            </w:r>
          </w:p>
        </w:tc>
        <w:tc>
          <w:tcPr>
            <w:tcW w:w="1816"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Total</w:t>
            </w:r>
          </w:p>
        </w:tc>
      </w:tr>
      <w:tr w:rsidR="00D30E34" w:rsidRPr="00D30E34" w:rsidTr="002B425C">
        <w:tc>
          <w:tcPr>
            <w:tcW w:w="3794" w:type="dxa"/>
          </w:tcPr>
          <w:p w:rsidR="00D30E34" w:rsidRPr="00D30E34" w:rsidRDefault="00D30E34" w:rsidP="00D30E34">
            <w:pPr>
              <w:spacing w:line="360" w:lineRule="auto"/>
              <w:outlineLvl w:val="1"/>
              <w:rPr>
                <w:rFonts w:cs="Arial"/>
              </w:rPr>
            </w:pPr>
            <w:r w:rsidRPr="00D30E34">
              <w:rPr>
                <w:rFonts w:cs="Arial"/>
              </w:rPr>
              <w:t>Investigator’s decision</w:t>
            </w:r>
          </w:p>
        </w:tc>
        <w:tc>
          <w:tcPr>
            <w:tcW w:w="1816" w:type="dxa"/>
          </w:tcPr>
          <w:p w:rsidR="00D30E34" w:rsidRPr="00D30E34" w:rsidRDefault="00D30E34" w:rsidP="00D30E34">
            <w:pPr>
              <w:spacing w:line="360" w:lineRule="auto"/>
              <w:jc w:val="right"/>
              <w:outlineLvl w:val="1"/>
              <w:rPr>
                <w:rFonts w:cs="Arial"/>
              </w:rPr>
            </w:pPr>
            <w:r w:rsidRPr="00D30E34">
              <w:rPr>
                <w:rFonts w:cs="Arial"/>
              </w:rPr>
              <w:t>1</w:t>
            </w:r>
          </w:p>
        </w:tc>
        <w:tc>
          <w:tcPr>
            <w:tcW w:w="1816" w:type="dxa"/>
          </w:tcPr>
          <w:p w:rsidR="00D30E34" w:rsidRPr="00D30E34" w:rsidRDefault="00D30E34" w:rsidP="00D30E34">
            <w:pPr>
              <w:spacing w:line="360" w:lineRule="auto"/>
              <w:jc w:val="right"/>
              <w:outlineLvl w:val="1"/>
              <w:rPr>
                <w:rFonts w:cs="Arial"/>
              </w:rPr>
            </w:pPr>
            <w:r w:rsidRPr="00D30E34">
              <w:rPr>
                <w:rFonts w:cs="Arial"/>
              </w:rPr>
              <w:t>2</w:t>
            </w:r>
          </w:p>
        </w:tc>
        <w:tc>
          <w:tcPr>
            <w:tcW w:w="1816" w:type="dxa"/>
          </w:tcPr>
          <w:p w:rsidR="00D30E34" w:rsidRPr="00D30E34" w:rsidRDefault="00D30E34" w:rsidP="00D30E34">
            <w:pPr>
              <w:spacing w:line="360" w:lineRule="auto"/>
              <w:jc w:val="right"/>
              <w:outlineLvl w:val="1"/>
              <w:rPr>
                <w:rFonts w:cs="Arial"/>
              </w:rPr>
            </w:pPr>
            <w:r w:rsidRPr="00D30E34">
              <w:rPr>
                <w:rFonts w:cs="Arial"/>
              </w:rPr>
              <w:t>3</w:t>
            </w:r>
          </w:p>
        </w:tc>
      </w:tr>
      <w:tr w:rsidR="00D30E34" w:rsidRPr="00D30E34" w:rsidTr="002B425C">
        <w:tc>
          <w:tcPr>
            <w:tcW w:w="3794" w:type="dxa"/>
          </w:tcPr>
          <w:p w:rsidR="00D30E34" w:rsidRPr="00D30E34" w:rsidRDefault="00D30E34" w:rsidP="00D30E34">
            <w:pPr>
              <w:spacing w:line="360" w:lineRule="auto"/>
              <w:outlineLvl w:val="1"/>
              <w:rPr>
                <w:rFonts w:cs="Arial"/>
              </w:rPr>
            </w:pPr>
            <w:r w:rsidRPr="00D30E34">
              <w:rPr>
                <w:rFonts w:cs="Arial"/>
              </w:rPr>
              <w:t>Participant’s decision</w:t>
            </w:r>
          </w:p>
        </w:tc>
        <w:tc>
          <w:tcPr>
            <w:tcW w:w="1816" w:type="dxa"/>
          </w:tcPr>
          <w:p w:rsidR="00D30E34" w:rsidRPr="00D30E34" w:rsidRDefault="00D30E34" w:rsidP="00D30E34">
            <w:pPr>
              <w:spacing w:line="360" w:lineRule="auto"/>
              <w:jc w:val="right"/>
              <w:outlineLvl w:val="1"/>
              <w:rPr>
                <w:rFonts w:cs="Arial"/>
              </w:rPr>
            </w:pPr>
            <w:r w:rsidRPr="00D30E34">
              <w:rPr>
                <w:rFonts w:cs="Arial"/>
              </w:rPr>
              <w:t>4</w:t>
            </w:r>
          </w:p>
        </w:tc>
        <w:tc>
          <w:tcPr>
            <w:tcW w:w="1816" w:type="dxa"/>
          </w:tcPr>
          <w:p w:rsidR="00D30E34" w:rsidRPr="00D30E34" w:rsidRDefault="00D30E34" w:rsidP="00D30E34">
            <w:pPr>
              <w:spacing w:line="360" w:lineRule="auto"/>
              <w:jc w:val="right"/>
              <w:outlineLvl w:val="1"/>
              <w:rPr>
                <w:rFonts w:cs="Arial"/>
              </w:rPr>
            </w:pPr>
            <w:r w:rsidRPr="00D30E34">
              <w:rPr>
                <w:rFonts w:cs="Arial"/>
              </w:rPr>
              <w:t>1</w:t>
            </w:r>
          </w:p>
        </w:tc>
        <w:tc>
          <w:tcPr>
            <w:tcW w:w="1816" w:type="dxa"/>
          </w:tcPr>
          <w:p w:rsidR="00D30E34" w:rsidRPr="00D30E34" w:rsidRDefault="00D30E34" w:rsidP="00D30E34">
            <w:pPr>
              <w:spacing w:line="360" w:lineRule="auto"/>
              <w:jc w:val="right"/>
              <w:outlineLvl w:val="1"/>
              <w:rPr>
                <w:rFonts w:cs="Arial"/>
              </w:rPr>
            </w:pPr>
            <w:r w:rsidRPr="00D30E34">
              <w:rPr>
                <w:rFonts w:cs="Arial"/>
              </w:rPr>
              <w:t>5</w:t>
            </w:r>
          </w:p>
        </w:tc>
      </w:tr>
      <w:tr w:rsidR="00D30E34" w:rsidRPr="00D30E34" w:rsidTr="002B425C">
        <w:tc>
          <w:tcPr>
            <w:tcW w:w="3794" w:type="dxa"/>
          </w:tcPr>
          <w:p w:rsidR="00D30E34" w:rsidRPr="00D30E34" w:rsidRDefault="00D30E34" w:rsidP="00D30E34">
            <w:pPr>
              <w:spacing w:line="360" w:lineRule="auto"/>
              <w:outlineLvl w:val="1"/>
              <w:rPr>
                <w:rFonts w:cs="Arial"/>
              </w:rPr>
            </w:pPr>
            <w:r w:rsidRPr="00D30E34">
              <w:rPr>
                <w:rFonts w:cs="Arial"/>
              </w:rPr>
              <w:t>Lost to follow up</w:t>
            </w:r>
          </w:p>
        </w:tc>
        <w:tc>
          <w:tcPr>
            <w:tcW w:w="1816" w:type="dxa"/>
          </w:tcPr>
          <w:p w:rsidR="00D30E34" w:rsidRPr="00D30E34" w:rsidRDefault="00D30E34" w:rsidP="00D30E34">
            <w:pPr>
              <w:spacing w:line="360" w:lineRule="auto"/>
              <w:jc w:val="right"/>
              <w:outlineLvl w:val="1"/>
              <w:rPr>
                <w:rFonts w:cs="Arial"/>
              </w:rPr>
            </w:pPr>
            <w:r w:rsidRPr="00D30E34">
              <w:rPr>
                <w:rFonts w:cs="Arial"/>
              </w:rPr>
              <w:t>1</w:t>
            </w:r>
          </w:p>
        </w:tc>
        <w:tc>
          <w:tcPr>
            <w:tcW w:w="1816" w:type="dxa"/>
          </w:tcPr>
          <w:p w:rsidR="00D30E34" w:rsidRPr="00D30E34" w:rsidRDefault="00D30E34" w:rsidP="00D30E34">
            <w:pPr>
              <w:spacing w:line="360" w:lineRule="auto"/>
              <w:jc w:val="right"/>
              <w:outlineLvl w:val="1"/>
              <w:rPr>
                <w:rFonts w:cs="Arial"/>
              </w:rPr>
            </w:pPr>
            <w:r w:rsidRPr="00D30E34">
              <w:rPr>
                <w:rFonts w:cs="Arial"/>
              </w:rPr>
              <w:t>5</w:t>
            </w:r>
          </w:p>
        </w:tc>
        <w:tc>
          <w:tcPr>
            <w:tcW w:w="1816" w:type="dxa"/>
          </w:tcPr>
          <w:p w:rsidR="00D30E34" w:rsidRPr="00D30E34" w:rsidRDefault="00D30E34" w:rsidP="00D30E34">
            <w:pPr>
              <w:spacing w:line="360" w:lineRule="auto"/>
              <w:jc w:val="right"/>
              <w:outlineLvl w:val="1"/>
              <w:rPr>
                <w:rFonts w:cs="Arial"/>
              </w:rPr>
            </w:pPr>
            <w:r w:rsidRPr="00D30E34">
              <w:rPr>
                <w:rFonts w:cs="Arial"/>
              </w:rPr>
              <w:t>6</w:t>
            </w:r>
          </w:p>
        </w:tc>
      </w:tr>
      <w:tr w:rsidR="00D30E34" w:rsidRPr="00D30E34" w:rsidTr="002B425C">
        <w:tc>
          <w:tcPr>
            <w:tcW w:w="3794" w:type="dxa"/>
            <w:tcBorders>
              <w:top w:val="single" w:sz="4" w:space="0" w:color="auto"/>
              <w:bottom w:val="single" w:sz="4" w:space="0" w:color="auto"/>
            </w:tcBorders>
          </w:tcPr>
          <w:p w:rsidR="00D30E34" w:rsidRPr="00D30E34" w:rsidRDefault="00D30E34" w:rsidP="00D30E34">
            <w:pPr>
              <w:spacing w:line="360" w:lineRule="auto"/>
              <w:outlineLvl w:val="1"/>
              <w:rPr>
                <w:rFonts w:cs="Arial"/>
              </w:rPr>
            </w:pPr>
            <w:r w:rsidRPr="00D30E34">
              <w:rPr>
                <w:rFonts w:cs="Arial"/>
              </w:rPr>
              <w:t>Total</w:t>
            </w:r>
          </w:p>
        </w:tc>
        <w:tc>
          <w:tcPr>
            <w:tcW w:w="1816"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6</w:t>
            </w:r>
          </w:p>
        </w:tc>
        <w:tc>
          <w:tcPr>
            <w:tcW w:w="1816"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8</w:t>
            </w:r>
          </w:p>
        </w:tc>
        <w:tc>
          <w:tcPr>
            <w:tcW w:w="1816"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14</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In the experimental arm four of the six failures to complete treatment were the participant’s decision, the reasons for these were: ‘Participant requested daily medication instead, due to nausea, itching, vomiting and some abdominal pain’, ‘stopped due to side effects, mainly itching, sweating and tingling fingers’, ‘blood sugars were too high’, and a female subject who ‘declined barrier contraception, therefore ineligible.’</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In the standard treatment arm the reason the one participant that stopped treatment was ‘Patient said he did not have TB and didn't need treatment’.</w:t>
      </w:r>
    </w:p>
    <w:p w:rsidR="00D30E34" w:rsidRPr="00D30E34" w:rsidRDefault="00D30E34" w:rsidP="00D30E34">
      <w:pPr>
        <w:spacing w:line="360" w:lineRule="auto"/>
        <w:outlineLvl w:val="1"/>
        <w:rPr>
          <w:rFonts w:eastAsia="Calibri" w:cs="Arial"/>
        </w:rPr>
      </w:pPr>
    </w:p>
    <w:p w:rsidR="002B425C" w:rsidRDefault="00D30E34" w:rsidP="00D30E34">
      <w:pPr>
        <w:spacing w:line="360" w:lineRule="auto"/>
        <w:outlineLvl w:val="1"/>
        <w:rPr>
          <w:rFonts w:eastAsia="Calibri" w:cs="Arial"/>
        </w:rPr>
      </w:pPr>
      <w:r w:rsidRPr="00D30E34">
        <w:rPr>
          <w:rFonts w:eastAsia="Calibri" w:cs="Arial"/>
        </w:rPr>
        <w:t>For the three subjects that were withdrawn by the investigator the stated reasons were ‘LFTs &gt;3 times ULN [upper limit of normal] if symptomatic or &gt;5 time ULN if asymptomatic’ for one subject in the standard treatment arm, and for undocumented for the other two subjects.</w:t>
      </w:r>
      <w:r w:rsidR="002B425C">
        <w:rPr>
          <w:rFonts w:eastAsia="Calibri" w:cs="Arial"/>
        </w:rPr>
        <w:t xml:space="preserve">  </w:t>
      </w:r>
    </w:p>
    <w:p w:rsidR="002B425C" w:rsidRDefault="002B425C"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The time between dosing is presented in </w:t>
      </w:r>
      <w:hyperlink w:anchor="_Figure_11:_Time" w:history="1">
        <w:r w:rsidRPr="00D30E34">
          <w:rPr>
            <w:rFonts w:eastAsia="Calibri" w:cs="Arial"/>
            <w:b/>
            <w:color w:val="000000"/>
          </w:rPr>
          <w:t>Figure 11</w:t>
        </w:r>
      </w:hyperlink>
      <w:r w:rsidRPr="00D30E34">
        <w:rPr>
          <w:rFonts w:eastAsia="Calibri" w:cs="Arial"/>
        </w:rPr>
        <w:t>.</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55" w:name="_Figure_11:_Time"/>
      <w:bookmarkStart w:id="56" w:name="_Toc518401732"/>
      <w:bookmarkEnd w:id="55"/>
      <w:r w:rsidRPr="00D30E34">
        <w:rPr>
          <w:rFonts w:eastAsia="Calibri" w:cs="Arial"/>
          <w:b/>
        </w:rPr>
        <w:lastRenderedPageBreak/>
        <w:t>Figure 11: Time of dosing for each ‘visit’ for those completing treatment and those withdrawing by study arm</w:t>
      </w:r>
      <w:bookmarkEnd w:id="56"/>
    </w:p>
    <w:p w:rsidR="00D30E34" w:rsidRPr="00D30E34" w:rsidRDefault="00D30E34" w:rsidP="00D30E34">
      <w:pPr>
        <w:spacing w:line="360" w:lineRule="auto"/>
        <w:outlineLvl w:val="1"/>
        <w:rPr>
          <w:rFonts w:eastAsia="Calibri" w:cs="Arial"/>
          <w:sz w:val="24"/>
          <w:szCs w:val="24"/>
        </w:rPr>
      </w:pPr>
      <w:r w:rsidRPr="00D30E34">
        <w:rPr>
          <w:rFonts w:eastAsia="Calibri" w:cs="Arial"/>
          <w:noProof/>
          <w:sz w:val="24"/>
          <w:szCs w:val="24"/>
          <w:lang w:eastAsia="en-GB"/>
        </w:rPr>
        <w:drawing>
          <wp:inline distT="0" distB="0" distL="0" distR="0" wp14:anchorId="504E68F7" wp14:editId="6B1D9BFA">
            <wp:extent cx="5114925" cy="37433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57" w:name="_Toc518401733"/>
      <w:r w:rsidRPr="00D30E34">
        <w:rPr>
          <w:rFonts w:eastAsia="Calibri" w:cs="Arial"/>
          <w:b/>
        </w:rPr>
        <w:t>Compliance</w:t>
      </w:r>
      <w:bookmarkEnd w:id="57"/>
    </w:p>
    <w:p w:rsidR="00D30E34" w:rsidRDefault="00D30E34" w:rsidP="00D30E34">
      <w:pPr>
        <w:spacing w:line="360" w:lineRule="auto"/>
        <w:outlineLvl w:val="1"/>
        <w:rPr>
          <w:rFonts w:eastAsia="Calibri" w:cs="Arial"/>
        </w:rPr>
      </w:pPr>
      <w:r w:rsidRPr="00D30E34">
        <w:rPr>
          <w:rFonts w:eastAsia="Calibri" w:cs="Arial"/>
        </w:rPr>
        <w:t xml:space="preserve">The information collected on the Medication Adherence Rating Scale (MARS)-5 are summarised in Tables </w:t>
      </w:r>
      <w:hyperlink w:anchor="_Table_24:_MARS-5" w:history="1">
        <w:r w:rsidRPr="00D30E34">
          <w:rPr>
            <w:rFonts w:eastAsia="Calibri" w:cs="Arial"/>
            <w:b/>
            <w:color w:val="000000"/>
          </w:rPr>
          <w:t>22</w:t>
        </w:r>
      </w:hyperlink>
      <w:r w:rsidRPr="00D30E34">
        <w:rPr>
          <w:rFonts w:eastAsia="Calibri" w:cs="Arial"/>
        </w:rPr>
        <w:t xml:space="preserve"> to </w:t>
      </w:r>
      <w:hyperlink w:anchor="_Table_27:_MARS-5" w:history="1">
        <w:r w:rsidRPr="00D30E34">
          <w:rPr>
            <w:rFonts w:eastAsia="Calibri" w:cs="Arial"/>
            <w:b/>
            <w:color w:val="000000"/>
          </w:rPr>
          <w:t>25</w:t>
        </w:r>
      </w:hyperlink>
      <w:r w:rsidRPr="00D30E34">
        <w:rPr>
          <w:rFonts w:eastAsia="Calibri" w:cs="Arial"/>
        </w:rPr>
        <w:t>. MARS-5 is an assessment of adherence since last visit, using five dimensions; ‘I alter the dose’, ‘I forget to use it’, ‘I stop taking it for a while’, ‘I decide to miss out on a dose’, and ‘I take less than instructed’, using a five-point Likert scale of ‘always’, ‘often’, ‘sometimes’, ‘rarely’, and ‘never’ scored 1 to 5, respectively. An overall score of 20 points or higher is considered to be high adherence.</w:t>
      </w:r>
    </w:p>
    <w:p w:rsidR="002B425C" w:rsidRPr="00D30E34" w:rsidRDefault="002B425C" w:rsidP="00D30E34">
      <w:pPr>
        <w:spacing w:line="360" w:lineRule="auto"/>
        <w:outlineLvl w:val="1"/>
        <w:rPr>
          <w:rFonts w:eastAsia="Calibri" w:cs="Arial"/>
          <w:sz w:val="20"/>
          <w:szCs w:val="20"/>
        </w:rPr>
      </w:pPr>
    </w:p>
    <w:p w:rsidR="00D30E34" w:rsidRPr="00D30E34" w:rsidRDefault="00D30E34" w:rsidP="00D30E34">
      <w:pPr>
        <w:spacing w:line="360" w:lineRule="auto"/>
        <w:outlineLvl w:val="2"/>
        <w:rPr>
          <w:rFonts w:eastAsia="Calibri" w:cs="Arial"/>
          <w:b/>
          <w:sz w:val="20"/>
          <w:szCs w:val="20"/>
        </w:rPr>
      </w:pPr>
      <w:bookmarkStart w:id="58" w:name="_Table_24:_MARS-5"/>
      <w:bookmarkStart w:id="59" w:name="_Toc518401734"/>
      <w:bookmarkEnd w:id="58"/>
      <w:r w:rsidRPr="00D30E34">
        <w:rPr>
          <w:rFonts w:eastAsia="Calibri" w:cs="Arial"/>
          <w:b/>
          <w:sz w:val="20"/>
          <w:szCs w:val="20"/>
        </w:rPr>
        <w:t>Table 22: MARS-5 adherence rating at week 2 visit by study arm</w:t>
      </w:r>
      <w:bookmarkEnd w:id="59"/>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MARS-5 rating</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sz w:val="20"/>
                <w:szCs w:val="20"/>
              </w:rPr>
            </w:pPr>
            <w:r w:rsidRPr="00D30E34">
              <w:rPr>
                <w:rFonts w:cs="Arial"/>
                <w:b/>
                <w:sz w:val="20"/>
                <w:szCs w:val="20"/>
              </w:rPr>
              <w:t>Study arm</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Total</w:t>
            </w:r>
          </w:p>
        </w:tc>
      </w:tr>
      <w:tr w:rsidR="00D30E34" w:rsidRPr="00D30E34" w:rsidTr="002B425C">
        <w:tc>
          <w:tcPr>
            <w:tcW w:w="2310" w:type="dxa"/>
            <w:tcBorders>
              <w:top w:val="single" w:sz="4" w:space="0" w:color="auto"/>
              <w:bottom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19</w:t>
            </w:r>
          </w:p>
        </w:tc>
        <w:tc>
          <w:tcPr>
            <w:tcW w:w="2310"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1 </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24</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3</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 </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25</w:t>
            </w:r>
          </w:p>
        </w:tc>
        <w:tc>
          <w:tcPr>
            <w:tcW w:w="2310"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23</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19</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42 </w:t>
            </w:r>
          </w:p>
        </w:tc>
      </w:tr>
      <w:tr w:rsidR="00D30E34" w:rsidRPr="00D30E34" w:rsidTr="002B425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Total</w:t>
            </w: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24</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23</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47 </w:t>
            </w:r>
          </w:p>
        </w:tc>
      </w:tr>
    </w:tbl>
    <w:p w:rsidR="00D30E34" w:rsidRPr="00D30E34" w:rsidRDefault="00D30E34" w:rsidP="00D30E34">
      <w:pPr>
        <w:spacing w:line="360" w:lineRule="auto"/>
        <w:outlineLvl w:val="1"/>
        <w:rPr>
          <w:rFonts w:eastAsia="Calibri" w:cs="Arial"/>
          <w:sz w:val="20"/>
          <w:szCs w:val="20"/>
        </w:rPr>
      </w:pPr>
    </w:p>
    <w:p w:rsidR="00D30E34" w:rsidRPr="00D30E34" w:rsidRDefault="00D30E34" w:rsidP="00D30E34">
      <w:pPr>
        <w:spacing w:line="360" w:lineRule="auto"/>
        <w:outlineLvl w:val="2"/>
        <w:rPr>
          <w:rFonts w:eastAsia="Calibri" w:cs="Arial"/>
          <w:b/>
          <w:sz w:val="20"/>
          <w:szCs w:val="20"/>
        </w:rPr>
      </w:pPr>
      <w:bookmarkStart w:id="60" w:name="_Toc518401735"/>
      <w:r w:rsidRPr="00D30E34">
        <w:rPr>
          <w:rFonts w:eastAsia="Calibri" w:cs="Arial"/>
          <w:b/>
          <w:sz w:val="20"/>
          <w:szCs w:val="20"/>
        </w:rPr>
        <w:t>Table 23: MARS-5 adherence rating at week 4 visit by study arm</w:t>
      </w:r>
      <w:bookmarkEnd w:id="60"/>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MARS-5 rating</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sz w:val="20"/>
                <w:szCs w:val="20"/>
              </w:rPr>
            </w:pPr>
            <w:r w:rsidRPr="00D30E34">
              <w:rPr>
                <w:rFonts w:cs="Arial"/>
                <w:b/>
                <w:sz w:val="20"/>
                <w:szCs w:val="20"/>
              </w:rPr>
              <w:t>Study arm</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Total</w:t>
            </w:r>
          </w:p>
        </w:tc>
      </w:tr>
      <w:tr w:rsidR="00D30E34" w:rsidRPr="00D30E34" w:rsidTr="002B425C">
        <w:tc>
          <w:tcPr>
            <w:tcW w:w="2310" w:type="dxa"/>
            <w:tcBorders>
              <w:top w:val="single" w:sz="4" w:space="0" w:color="auto"/>
              <w:bottom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19</w:t>
            </w:r>
          </w:p>
        </w:tc>
        <w:tc>
          <w:tcPr>
            <w:tcW w:w="2310"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1 </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23</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24</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1 </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25</w:t>
            </w:r>
          </w:p>
        </w:tc>
        <w:tc>
          <w:tcPr>
            <w:tcW w:w="2310"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22</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19</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41 </w:t>
            </w:r>
          </w:p>
        </w:tc>
      </w:tr>
      <w:tr w:rsidR="00D30E34" w:rsidRPr="00D30E34" w:rsidTr="002B425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lastRenderedPageBreak/>
              <w:t>Total</w:t>
            </w: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24</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20</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44 </w:t>
            </w:r>
          </w:p>
        </w:tc>
      </w:tr>
    </w:tbl>
    <w:p w:rsidR="00D30E34" w:rsidRPr="00D30E34" w:rsidRDefault="00D30E34" w:rsidP="00D30E34">
      <w:pPr>
        <w:spacing w:line="360" w:lineRule="auto"/>
        <w:outlineLvl w:val="1"/>
        <w:rPr>
          <w:rFonts w:eastAsia="Calibri" w:cs="Arial"/>
          <w:sz w:val="20"/>
          <w:szCs w:val="20"/>
        </w:rPr>
      </w:pPr>
    </w:p>
    <w:p w:rsidR="00D30E34" w:rsidRPr="00D30E34" w:rsidRDefault="00D30E34" w:rsidP="00D30E34">
      <w:pPr>
        <w:spacing w:line="360" w:lineRule="auto"/>
        <w:outlineLvl w:val="2"/>
        <w:rPr>
          <w:rFonts w:eastAsia="Calibri" w:cs="Arial"/>
          <w:b/>
          <w:sz w:val="20"/>
          <w:szCs w:val="20"/>
        </w:rPr>
      </w:pPr>
      <w:bookmarkStart w:id="61" w:name="_Toc518401736"/>
      <w:r w:rsidRPr="00D30E34">
        <w:rPr>
          <w:rFonts w:eastAsia="Calibri" w:cs="Arial"/>
          <w:b/>
          <w:sz w:val="20"/>
          <w:szCs w:val="20"/>
        </w:rPr>
        <w:t>Table 24: MARS-5 adherence rating at week 8 visit by study arm</w:t>
      </w:r>
      <w:bookmarkEnd w:id="61"/>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MARS-5 rating</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sz w:val="20"/>
                <w:szCs w:val="20"/>
              </w:rPr>
            </w:pPr>
            <w:r w:rsidRPr="00D30E34">
              <w:rPr>
                <w:rFonts w:cs="Arial"/>
                <w:b/>
                <w:sz w:val="20"/>
                <w:szCs w:val="20"/>
              </w:rPr>
              <w:t>Study arm</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Total</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24</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5</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7 </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25</w:t>
            </w:r>
          </w:p>
        </w:tc>
        <w:tc>
          <w:tcPr>
            <w:tcW w:w="2310"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19</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16</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35 </w:t>
            </w:r>
          </w:p>
        </w:tc>
      </w:tr>
      <w:tr w:rsidR="00D30E34" w:rsidRPr="00D30E34" w:rsidTr="002B425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Total</w:t>
            </w: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21</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21</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42 </w:t>
            </w:r>
          </w:p>
        </w:tc>
      </w:tr>
    </w:tbl>
    <w:p w:rsidR="00D30E34" w:rsidRPr="00D30E34" w:rsidRDefault="00D30E34" w:rsidP="00D30E34">
      <w:pPr>
        <w:spacing w:line="360" w:lineRule="auto"/>
        <w:outlineLvl w:val="1"/>
        <w:rPr>
          <w:rFonts w:eastAsia="Calibri" w:cs="Arial"/>
          <w:sz w:val="20"/>
          <w:szCs w:val="20"/>
        </w:rPr>
      </w:pPr>
    </w:p>
    <w:p w:rsidR="00D30E34" w:rsidRPr="00D30E34" w:rsidRDefault="00D30E34" w:rsidP="00D30E34">
      <w:pPr>
        <w:spacing w:line="360" w:lineRule="auto"/>
        <w:outlineLvl w:val="2"/>
        <w:rPr>
          <w:rFonts w:eastAsia="Calibri" w:cs="Arial"/>
          <w:b/>
          <w:sz w:val="20"/>
          <w:szCs w:val="20"/>
        </w:rPr>
      </w:pPr>
      <w:bookmarkStart w:id="62" w:name="_Table_27:_MARS-5"/>
      <w:bookmarkStart w:id="63" w:name="_Toc518401737"/>
      <w:bookmarkEnd w:id="62"/>
      <w:r w:rsidRPr="00D30E34">
        <w:rPr>
          <w:rFonts w:eastAsia="Calibri" w:cs="Arial"/>
          <w:b/>
          <w:sz w:val="20"/>
          <w:szCs w:val="20"/>
        </w:rPr>
        <w:t>Table 25: MARS-5 adherence rating at week 12 visit by study arm</w:t>
      </w:r>
      <w:bookmarkEnd w:id="63"/>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MARS-5 rating</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sz w:val="20"/>
                <w:szCs w:val="20"/>
              </w:rPr>
            </w:pPr>
            <w:r w:rsidRPr="00D30E34">
              <w:rPr>
                <w:rFonts w:cs="Arial"/>
                <w:b/>
                <w:sz w:val="20"/>
                <w:szCs w:val="20"/>
              </w:rPr>
              <w:t>Study arm</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Total</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22</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1 </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23</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r>
      <w:tr w:rsidR="00D30E34" w:rsidRPr="00D30E34" w:rsidTr="002B425C">
        <w:tc>
          <w:tcPr>
            <w:tcW w:w="2310" w:type="dxa"/>
            <w:tcBorders>
              <w:top w:val="nil"/>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24</w:t>
            </w:r>
          </w:p>
        </w:tc>
        <w:tc>
          <w:tcPr>
            <w:tcW w:w="2310"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3</w:t>
            </w:r>
          </w:p>
        </w:tc>
        <w:tc>
          <w:tcPr>
            <w:tcW w:w="2311" w:type="dxa"/>
            <w:tcBorders>
              <w:top w:val="nil"/>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4</w:t>
            </w:r>
          </w:p>
        </w:tc>
      </w:tr>
      <w:tr w:rsidR="00D30E34" w:rsidRPr="00D30E34" w:rsidTr="002B425C">
        <w:tc>
          <w:tcPr>
            <w:tcW w:w="2310" w:type="dxa"/>
            <w:tcBorders>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25</w:t>
            </w:r>
          </w:p>
        </w:tc>
        <w:tc>
          <w:tcPr>
            <w:tcW w:w="2310"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19</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16</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34 </w:t>
            </w:r>
          </w:p>
        </w:tc>
      </w:tr>
      <w:tr w:rsidR="00D30E34" w:rsidRPr="00D30E34" w:rsidTr="002B425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sz w:val="20"/>
                <w:szCs w:val="20"/>
              </w:rPr>
            </w:pPr>
            <w:r w:rsidRPr="00D30E34">
              <w:rPr>
                <w:rFonts w:cs="Arial"/>
                <w:sz w:val="20"/>
                <w:szCs w:val="20"/>
              </w:rPr>
              <w:t>Total</w:t>
            </w: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21</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19</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40 </w:t>
            </w:r>
          </w:p>
        </w:tc>
      </w:tr>
    </w:tbl>
    <w:p w:rsidR="00D30E34" w:rsidRPr="00D30E34" w:rsidRDefault="00D30E34" w:rsidP="00D30E34">
      <w:pPr>
        <w:spacing w:line="360" w:lineRule="auto"/>
        <w:outlineLvl w:val="1"/>
        <w:rPr>
          <w:rFonts w:eastAsia="Calibri" w:cs="Arial"/>
          <w:sz w:val="20"/>
          <w:szCs w:val="20"/>
        </w:rPr>
      </w:pPr>
    </w:p>
    <w:p w:rsidR="00D30E34" w:rsidRPr="00D30E34" w:rsidRDefault="00D30E34" w:rsidP="00D30E34">
      <w:pPr>
        <w:spacing w:line="360" w:lineRule="auto"/>
        <w:outlineLvl w:val="1"/>
        <w:rPr>
          <w:rFonts w:eastAsia="Calibri" w:cs="Arial"/>
        </w:rPr>
      </w:pPr>
      <w:r w:rsidRPr="00D30E34">
        <w:rPr>
          <w:rFonts w:eastAsia="Calibri" w:cs="Arial"/>
        </w:rPr>
        <w:t>There are two MARS-5 ratings of 19, i.e. below the score considered to represent high compliance, one in the standard treatment arm at week 2, and one in the experimental treatment arm at week 4.</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A self-assessment of the number of doses missed since the last visit was also recorded on the CRF. These are tabulated in </w:t>
      </w:r>
      <w:hyperlink w:anchor="_Table_28:_Self-reported" w:history="1">
        <w:r w:rsidRPr="00D30E34">
          <w:rPr>
            <w:rFonts w:eastAsia="Calibri" w:cs="Arial"/>
            <w:b/>
            <w:color w:val="000000"/>
          </w:rPr>
          <w:t>Table 26</w:t>
        </w:r>
      </w:hyperlink>
      <w:r w:rsidRPr="00D30E34">
        <w:rPr>
          <w:rFonts w:eastAsia="Calibri" w:cs="Arial"/>
        </w:rPr>
        <w:t>.</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64" w:name="_Table_28:_Self-reported"/>
      <w:bookmarkStart w:id="65" w:name="_Toc518401738"/>
      <w:bookmarkEnd w:id="64"/>
      <w:r w:rsidRPr="00D30E34">
        <w:rPr>
          <w:rFonts w:eastAsia="Calibri" w:cs="Arial"/>
          <w:b/>
        </w:rPr>
        <w:t>Table 26: Self-reported numbers of doses missed since last visit by study arm</w:t>
      </w:r>
      <w:bookmarkEnd w:id="65"/>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vMerge w:val="restart"/>
            <w:shd w:val="clear" w:color="auto" w:fill="auto"/>
            <w:vAlign w:val="center"/>
          </w:tcPr>
          <w:p w:rsidR="00D30E34" w:rsidRPr="00D30E34" w:rsidRDefault="00D30E34" w:rsidP="00D30E34">
            <w:pPr>
              <w:spacing w:line="360" w:lineRule="auto"/>
              <w:outlineLvl w:val="1"/>
              <w:rPr>
                <w:rFonts w:cs="Arial"/>
                <w:b/>
                <w:sz w:val="20"/>
                <w:szCs w:val="20"/>
              </w:rPr>
            </w:pPr>
            <w:r w:rsidRPr="00D30E34">
              <w:rPr>
                <w:rFonts w:cs="Arial"/>
                <w:b/>
                <w:sz w:val="20"/>
                <w:szCs w:val="20"/>
              </w:rPr>
              <w:t>Doses missed</w:t>
            </w:r>
          </w:p>
        </w:tc>
        <w:tc>
          <w:tcPr>
            <w:tcW w:w="6932" w:type="dxa"/>
            <w:gridSpan w:val="3"/>
            <w:shd w:val="clear" w:color="auto" w:fill="auto"/>
          </w:tcPr>
          <w:p w:rsidR="00D30E34" w:rsidRPr="00D30E34" w:rsidRDefault="00D30E34" w:rsidP="00D30E34">
            <w:pPr>
              <w:spacing w:line="360" w:lineRule="auto"/>
              <w:jc w:val="center"/>
              <w:outlineLvl w:val="1"/>
              <w:rPr>
                <w:rFonts w:cs="Arial"/>
                <w:b/>
                <w:sz w:val="20"/>
                <w:szCs w:val="20"/>
              </w:rPr>
            </w:pPr>
            <w:r w:rsidRPr="00D30E34">
              <w:rPr>
                <w:rFonts w:cs="Arial"/>
                <w:b/>
                <w:sz w:val="20"/>
                <w:szCs w:val="20"/>
              </w:rPr>
              <w:t>Randomised Group</w:t>
            </w:r>
          </w:p>
        </w:tc>
      </w:tr>
      <w:tr w:rsidR="00D30E34" w:rsidRPr="00D30E34" w:rsidTr="002B425C">
        <w:tc>
          <w:tcPr>
            <w:tcW w:w="2310" w:type="dxa"/>
            <w:vMerge/>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p>
        </w:tc>
        <w:tc>
          <w:tcPr>
            <w:tcW w:w="2310"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Experimental</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Standard</w:t>
            </w:r>
          </w:p>
        </w:tc>
        <w:tc>
          <w:tcPr>
            <w:tcW w:w="2311" w:type="dxa"/>
            <w:tcBorders>
              <w:bottom w:val="single" w:sz="4" w:space="0" w:color="auto"/>
            </w:tcBorders>
            <w:shd w:val="clear" w:color="auto" w:fill="auto"/>
          </w:tcPr>
          <w:p w:rsidR="00D30E34" w:rsidRPr="00D30E34" w:rsidRDefault="00D30E34" w:rsidP="00D30E34">
            <w:pPr>
              <w:spacing w:line="360" w:lineRule="auto"/>
              <w:jc w:val="right"/>
              <w:outlineLvl w:val="1"/>
              <w:rPr>
                <w:rFonts w:cs="Arial"/>
                <w:b/>
                <w:sz w:val="20"/>
                <w:szCs w:val="20"/>
              </w:rPr>
            </w:pPr>
            <w:r w:rsidRPr="00D30E34">
              <w:rPr>
                <w:rFonts w:cs="Arial"/>
                <w:b/>
                <w:sz w:val="20"/>
                <w:szCs w:val="20"/>
              </w:rPr>
              <w:t>Total</w:t>
            </w:r>
          </w:p>
        </w:tc>
      </w:tr>
      <w:tr w:rsidR="00D30E34" w:rsidRPr="00D30E34" w:rsidTr="002B425C">
        <w:tc>
          <w:tcPr>
            <w:tcW w:w="2310"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week 2</w:t>
            </w:r>
          </w:p>
        </w:tc>
        <w:tc>
          <w:tcPr>
            <w:tcW w:w="2310"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2310"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0</w:t>
            </w:r>
          </w:p>
        </w:tc>
        <w:tc>
          <w:tcPr>
            <w:tcW w:w="2310"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24</w:t>
            </w:r>
          </w:p>
        </w:tc>
        <w:tc>
          <w:tcPr>
            <w:tcW w:w="2311"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21</w:t>
            </w:r>
          </w:p>
        </w:tc>
        <w:tc>
          <w:tcPr>
            <w:tcW w:w="2311"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45 </w:t>
            </w:r>
          </w:p>
        </w:tc>
      </w:tr>
      <w:tr w:rsidR="00D30E34" w:rsidRPr="00D30E34" w:rsidTr="002B425C">
        <w:tc>
          <w:tcPr>
            <w:tcW w:w="2310"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1</w:t>
            </w:r>
          </w:p>
        </w:tc>
        <w:tc>
          <w:tcPr>
            <w:tcW w:w="2310"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3</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 </w:t>
            </w:r>
          </w:p>
        </w:tc>
      </w:tr>
      <w:tr w:rsidR="00D30E34" w:rsidRPr="00D30E34" w:rsidTr="002B425C">
        <w:tc>
          <w:tcPr>
            <w:tcW w:w="2310"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week 4</w:t>
            </w:r>
          </w:p>
        </w:tc>
        <w:tc>
          <w:tcPr>
            <w:tcW w:w="2310"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2310"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0</w:t>
            </w:r>
          </w:p>
        </w:tc>
        <w:tc>
          <w:tcPr>
            <w:tcW w:w="2310"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22</w:t>
            </w:r>
          </w:p>
        </w:tc>
        <w:tc>
          <w:tcPr>
            <w:tcW w:w="2311"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21</w:t>
            </w:r>
          </w:p>
        </w:tc>
        <w:tc>
          <w:tcPr>
            <w:tcW w:w="2311" w:type="dxa"/>
            <w:tcBorders>
              <w:top w:val="nil"/>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43 </w:t>
            </w:r>
          </w:p>
        </w:tc>
      </w:tr>
      <w:tr w:rsidR="00D30E34" w:rsidRPr="00D30E34" w:rsidTr="002B425C">
        <w:tc>
          <w:tcPr>
            <w:tcW w:w="2310"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1</w:t>
            </w:r>
          </w:p>
        </w:tc>
        <w:tc>
          <w:tcPr>
            <w:tcW w:w="2310"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 </w:t>
            </w:r>
          </w:p>
        </w:tc>
      </w:tr>
      <w:tr w:rsidR="00D30E34" w:rsidRPr="00D30E34" w:rsidTr="002B425C">
        <w:tc>
          <w:tcPr>
            <w:tcW w:w="2310"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week 8</w:t>
            </w:r>
          </w:p>
        </w:tc>
        <w:tc>
          <w:tcPr>
            <w:tcW w:w="2310"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2310"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0</w:t>
            </w:r>
          </w:p>
        </w:tc>
        <w:tc>
          <w:tcPr>
            <w:tcW w:w="2310" w:type="dxa"/>
            <w:tcBorders>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22</w:t>
            </w:r>
          </w:p>
        </w:tc>
        <w:tc>
          <w:tcPr>
            <w:tcW w:w="2311" w:type="dxa"/>
            <w:tcBorders>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16</w:t>
            </w:r>
          </w:p>
        </w:tc>
        <w:tc>
          <w:tcPr>
            <w:tcW w:w="2311" w:type="dxa"/>
            <w:tcBorders>
              <w:bottom w:val="nil"/>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38 </w:t>
            </w:r>
          </w:p>
        </w:tc>
      </w:tr>
      <w:tr w:rsidR="00D30E34" w:rsidRPr="00D30E34" w:rsidTr="002B425C">
        <w:tc>
          <w:tcPr>
            <w:tcW w:w="2310"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1</w:t>
            </w:r>
          </w:p>
        </w:tc>
        <w:tc>
          <w:tcPr>
            <w:tcW w:w="2310"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5</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5 </w:t>
            </w:r>
          </w:p>
        </w:tc>
      </w:tr>
      <w:tr w:rsidR="00D30E34" w:rsidRPr="00D30E34" w:rsidTr="002B425C">
        <w:tc>
          <w:tcPr>
            <w:tcW w:w="2310"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week 12</w:t>
            </w:r>
          </w:p>
        </w:tc>
        <w:tc>
          <w:tcPr>
            <w:tcW w:w="2310"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c>
          <w:tcPr>
            <w:tcW w:w="2311" w:type="dxa"/>
            <w:tcBorders>
              <w:top w:val="single" w:sz="4" w:space="0" w:color="auto"/>
            </w:tcBorders>
          </w:tcPr>
          <w:p w:rsidR="00D30E34" w:rsidRPr="00D30E34" w:rsidRDefault="00D30E34" w:rsidP="00D30E34">
            <w:pPr>
              <w:spacing w:line="360" w:lineRule="auto"/>
              <w:jc w:val="right"/>
              <w:outlineLvl w:val="1"/>
              <w:rPr>
                <w:rFonts w:cs="Arial"/>
                <w:sz w:val="20"/>
                <w:szCs w:val="20"/>
              </w:rPr>
            </w:pPr>
          </w:p>
        </w:tc>
      </w:tr>
      <w:tr w:rsidR="00D30E34" w:rsidRPr="00D30E34" w:rsidTr="002B425C">
        <w:tc>
          <w:tcPr>
            <w:tcW w:w="2310"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0</w:t>
            </w:r>
          </w:p>
        </w:tc>
        <w:tc>
          <w:tcPr>
            <w:tcW w:w="2310"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23</w:t>
            </w:r>
          </w:p>
        </w:tc>
        <w:tc>
          <w:tcPr>
            <w:tcW w:w="2311"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18</w:t>
            </w:r>
          </w:p>
        </w:tc>
        <w:tc>
          <w:tcPr>
            <w:tcW w:w="2311"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 xml:space="preserve">41 </w:t>
            </w:r>
          </w:p>
        </w:tc>
      </w:tr>
      <w:tr w:rsidR="00D30E34" w:rsidRPr="00D30E34" w:rsidTr="002B425C">
        <w:tc>
          <w:tcPr>
            <w:tcW w:w="2310" w:type="dxa"/>
          </w:tcPr>
          <w:p w:rsidR="00D30E34" w:rsidRPr="00D30E34" w:rsidRDefault="00D30E34" w:rsidP="00D30E34">
            <w:pPr>
              <w:spacing w:line="360" w:lineRule="auto"/>
              <w:outlineLvl w:val="1"/>
              <w:rPr>
                <w:rFonts w:cs="Arial"/>
                <w:sz w:val="20"/>
                <w:szCs w:val="20"/>
              </w:rPr>
            </w:pPr>
            <w:r w:rsidRPr="00D30E34">
              <w:rPr>
                <w:rFonts w:cs="Arial"/>
                <w:sz w:val="20"/>
                <w:szCs w:val="20"/>
              </w:rPr>
              <w:t>1</w:t>
            </w:r>
          </w:p>
        </w:tc>
        <w:tc>
          <w:tcPr>
            <w:tcW w:w="2310"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0</w:t>
            </w:r>
          </w:p>
        </w:tc>
        <w:tc>
          <w:tcPr>
            <w:tcW w:w="2311"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w:t>
            </w:r>
          </w:p>
        </w:tc>
        <w:tc>
          <w:tcPr>
            <w:tcW w:w="2311" w:type="dxa"/>
          </w:tcPr>
          <w:p w:rsidR="00D30E34" w:rsidRPr="00D30E34" w:rsidRDefault="00D30E34" w:rsidP="00D30E34">
            <w:pPr>
              <w:spacing w:line="360" w:lineRule="auto"/>
              <w:jc w:val="right"/>
              <w:outlineLvl w:val="1"/>
              <w:rPr>
                <w:rFonts w:cs="Arial"/>
                <w:sz w:val="20"/>
                <w:szCs w:val="20"/>
              </w:rPr>
            </w:pPr>
            <w:r w:rsidRPr="00D30E34">
              <w:rPr>
                <w:rFonts w:cs="Arial"/>
                <w:sz w:val="20"/>
                <w:szCs w:val="20"/>
              </w:rPr>
              <w:t>4</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At most, one dose was reported as being missed, with a slightly higher proportion of those in the standard treatment arm reporting having missed a dose.</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66" w:name="_Toc518401739"/>
      <w:r w:rsidRPr="00D30E34">
        <w:rPr>
          <w:rFonts w:eastAsia="Calibri" w:cs="Arial"/>
          <w:b/>
        </w:rPr>
        <w:t>Haematology and biochemistry</w:t>
      </w:r>
      <w:bookmarkEnd w:id="66"/>
    </w:p>
    <w:p w:rsidR="00D30E34" w:rsidRPr="00D30E34" w:rsidRDefault="00335472" w:rsidP="00D30E34">
      <w:pPr>
        <w:spacing w:line="360" w:lineRule="auto"/>
        <w:outlineLvl w:val="1"/>
        <w:rPr>
          <w:rFonts w:eastAsia="Calibri" w:cs="Arial"/>
        </w:rPr>
      </w:pPr>
      <w:hyperlink w:anchor="_Table_29:_Results" w:history="1">
        <w:r w:rsidR="00D30E34" w:rsidRPr="00D30E34">
          <w:rPr>
            <w:rFonts w:eastAsia="Calibri" w:cs="Arial"/>
            <w:b/>
            <w:color w:val="000000"/>
          </w:rPr>
          <w:t>Tables 27</w:t>
        </w:r>
      </w:hyperlink>
      <w:r w:rsidR="00D30E34" w:rsidRPr="00D30E34">
        <w:rPr>
          <w:rFonts w:eastAsia="Calibri" w:cs="Arial"/>
        </w:rPr>
        <w:t xml:space="preserve"> to </w:t>
      </w:r>
      <w:hyperlink w:anchor="_Table_32:_Results" w:history="1">
        <w:r w:rsidR="00D30E34" w:rsidRPr="00D30E34">
          <w:rPr>
            <w:rFonts w:eastAsia="Calibri" w:cs="Arial"/>
            <w:b/>
            <w:color w:val="000000"/>
          </w:rPr>
          <w:t>31</w:t>
        </w:r>
      </w:hyperlink>
      <w:r w:rsidR="00D30E34" w:rsidRPr="00D30E34">
        <w:rPr>
          <w:rFonts w:eastAsia="Calibri" w:cs="Arial"/>
        </w:rPr>
        <w:t xml:space="preserve"> provide the haematological and biochemical tests performed on subjects throughout the study, with a consideration as to whether these are outside of the normal range. A small number of subjects were observed to fall outside of the normal range for these parameters. Of note are those with raised ALT and AST during the study. There were seven subjects- three in the experimental treatment arm and four in the standard treatment arm- that had CS ALT results during the trial. </w:t>
      </w:r>
    </w:p>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t>In the experimental treatment arm, one subject had raised ALT values throughout the trial; the other two had raised ALTs at one and two measurement points. In the standard treatment arm, two subjects had raised ALTs at two measurement points, the other two having raised ALTs at just one point. These subjects had similar results for ASTs. In the experimental treatment arm the three subjects had raised ASTs at just one occasion (week 8). In the standard treatment arm only two of the subjects had raised ASTs, both at two measurement points during the trial.</w:t>
      </w:r>
    </w:p>
    <w:p w:rsidR="00BF0CF6" w:rsidRDefault="00BF0CF6" w:rsidP="00D30E34">
      <w:pPr>
        <w:spacing w:line="360" w:lineRule="auto"/>
        <w:outlineLvl w:val="1"/>
        <w:rPr>
          <w:rFonts w:eastAsia="Calibri" w:cs="Arial"/>
        </w:rPr>
      </w:pPr>
    </w:p>
    <w:p w:rsidR="00BF0CF6" w:rsidRDefault="00BF0CF6" w:rsidP="00D30E34">
      <w:pPr>
        <w:spacing w:line="360" w:lineRule="auto"/>
        <w:outlineLvl w:val="1"/>
        <w:rPr>
          <w:rFonts w:eastAsia="Calibri" w:cs="Arial"/>
        </w:rPr>
      </w:pPr>
    </w:p>
    <w:p w:rsidR="00BF0CF6" w:rsidRPr="00D30E34" w:rsidRDefault="00BF0CF6"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67" w:name="_Table_29:_Results"/>
      <w:bookmarkStart w:id="68" w:name="_Toc518401740"/>
      <w:bookmarkEnd w:id="67"/>
      <w:r w:rsidRPr="00D30E34">
        <w:rPr>
          <w:rFonts w:eastAsia="Calibri" w:cs="Arial"/>
          <w:b/>
        </w:rPr>
        <w:t>Table 27: Results out of normal range at week 2</w:t>
      </w:r>
      <w:bookmarkEnd w:id="68"/>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D30E34" w:rsidRPr="00D30E34" w:rsidTr="002B425C">
        <w:tc>
          <w:tcPr>
            <w:tcW w:w="3080" w:type="dxa"/>
            <w:vMerge w:val="restart"/>
            <w:shd w:val="clear" w:color="auto" w:fill="auto"/>
            <w:vAlign w:val="center"/>
          </w:tcPr>
          <w:p w:rsidR="00D30E34" w:rsidRPr="00BF0CF6" w:rsidRDefault="00D30E34" w:rsidP="00D30E34">
            <w:pPr>
              <w:spacing w:line="360" w:lineRule="auto"/>
              <w:outlineLvl w:val="1"/>
              <w:rPr>
                <w:rFonts w:cs="Arial"/>
                <w:b/>
                <w:sz w:val="20"/>
                <w:szCs w:val="20"/>
              </w:rPr>
            </w:pPr>
            <w:r w:rsidRPr="00BF0CF6">
              <w:rPr>
                <w:rFonts w:cs="Arial"/>
                <w:b/>
                <w:sz w:val="20"/>
                <w:szCs w:val="20"/>
              </w:rPr>
              <w:t>Parameter</w:t>
            </w:r>
          </w:p>
        </w:tc>
        <w:tc>
          <w:tcPr>
            <w:tcW w:w="6162" w:type="dxa"/>
            <w:gridSpan w:val="2"/>
            <w:tcBorders>
              <w:bottom w:val="single" w:sz="4" w:space="0" w:color="auto"/>
            </w:tcBorders>
            <w:shd w:val="clear" w:color="auto" w:fill="auto"/>
          </w:tcPr>
          <w:p w:rsidR="00D30E34" w:rsidRPr="00BF0CF6" w:rsidRDefault="00D30E34" w:rsidP="00D30E34">
            <w:pPr>
              <w:spacing w:line="360" w:lineRule="auto"/>
              <w:jc w:val="center"/>
              <w:outlineLvl w:val="1"/>
              <w:rPr>
                <w:rFonts w:cs="Arial"/>
                <w:b/>
                <w:sz w:val="20"/>
                <w:szCs w:val="20"/>
              </w:rPr>
            </w:pPr>
            <w:r w:rsidRPr="00BF0CF6">
              <w:rPr>
                <w:rFonts w:cs="Arial"/>
                <w:b/>
                <w:sz w:val="20"/>
                <w:szCs w:val="20"/>
              </w:rPr>
              <w:t>Result</w:t>
            </w:r>
          </w:p>
        </w:tc>
      </w:tr>
      <w:tr w:rsidR="00D30E34" w:rsidRPr="00D30E34" w:rsidTr="002B425C">
        <w:tc>
          <w:tcPr>
            <w:tcW w:w="3080" w:type="dxa"/>
            <w:vMerge/>
            <w:tcBorders>
              <w:bottom w:val="single" w:sz="4" w:space="0" w:color="auto"/>
            </w:tcBorders>
            <w:shd w:val="clear" w:color="auto" w:fill="auto"/>
          </w:tcPr>
          <w:p w:rsidR="00D30E34" w:rsidRPr="00BF0CF6" w:rsidRDefault="00D30E34" w:rsidP="00D30E34">
            <w:pPr>
              <w:spacing w:line="360" w:lineRule="auto"/>
              <w:outlineLvl w:val="1"/>
              <w:rPr>
                <w:rFonts w:cs="Arial"/>
                <w:b/>
                <w:sz w:val="20"/>
                <w:szCs w:val="20"/>
              </w:rPr>
            </w:pPr>
          </w:p>
        </w:tc>
        <w:tc>
          <w:tcPr>
            <w:tcW w:w="3081" w:type="dxa"/>
            <w:tcBorders>
              <w:top w:val="single" w:sz="4" w:space="0" w:color="auto"/>
              <w:bottom w:val="single" w:sz="4" w:space="0" w:color="auto"/>
            </w:tcBorders>
            <w:shd w:val="clear" w:color="auto" w:fill="auto"/>
          </w:tcPr>
          <w:p w:rsidR="00D30E34" w:rsidRPr="00BF0CF6" w:rsidRDefault="00D30E34" w:rsidP="00D30E34">
            <w:pPr>
              <w:spacing w:line="360" w:lineRule="auto"/>
              <w:jc w:val="right"/>
              <w:outlineLvl w:val="1"/>
              <w:rPr>
                <w:rFonts w:cs="Arial"/>
                <w:b/>
                <w:sz w:val="20"/>
                <w:szCs w:val="20"/>
              </w:rPr>
            </w:pPr>
            <w:r w:rsidRPr="00BF0CF6">
              <w:rPr>
                <w:rFonts w:cs="Arial"/>
                <w:b/>
                <w:sz w:val="20"/>
                <w:szCs w:val="20"/>
              </w:rPr>
              <w:t>Normal</w:t>
            </w:r>
          </w:p>
        </w:tc>
        <w:tc>
          <w:tcPr>
            <w:tcW w:w="3081" w:type="dxa"/>
            <w:tcBorders>
              <w:top w:val="single" w:sz="4" w:space="0" w:color="auto"/>
              <w:bottom w:val="single" w:sz="4" w:space="0" w:color="auto"/>
            </w:tcBorders>
            <w:shd w:val="clear" w:color="auto" w:fill="auto"/>
          </w:tcPr>
          <w:p w:rsidR="00D30E34" w:rsidRPr="00BF0CF6" w:rsidRDefault="00D30E34" w:rsidP="00D30E34">
            <w:pPr>
              <w:spacing w:line="360" w:lineRule="auto"/>
              <w:jc w:val="right"/>
              <w:outlineLvl w:val="1"/>
              <w:rPr>
                <w:rFonts w:cs="Arial"/>
                <w:b/>
                <w:sz w:val="20"/>
                <w:szCs w:val="20"/>
              </w:rPr>
            </w:pPr>
            <w:r w:rsidRPr="00BF0CF6">
              <w:rPr>
                <w:rFonts w:cs="Arial"/>
                <w:b/>
                <w:sz w:val="20"/>
                <w:szCs w:val="20"/>
              </w:rPr>
              <w:t>Clinically significant</w:t>
            </w:r>
          </w:p>
        </w:tc>
      </w:tr>
      <w:tr w:rsidR="00D30E34" w:rsidRPr="00BF0CF6" w:rsidTr="002B425C">
        <w:tc>
          <w:tcPr>
            <w:tcW w:w="3080" w:type="dxa"/>
            <w:tcBorders>
              <w:top w:val="single" w:sz="4" w:space="0" w:color="auto"/>
              <w:bottom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Haemoglobin</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28</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tcBorders>
              <w:top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White Blood Cells</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Platelets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Haematocrit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Neutrophils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Lymphocytes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Monocytes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Eosinophils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Sodium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Potassium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Urea</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23</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Creatinine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24</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Total bilirubin</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24</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AST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Alkaline phosphatase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Glucose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bl>
    <w:p w:rsidR="00D30E34" w:rsidRDefault="00D30E34" w:rsidP="00D30E34">
      <w:pPr>
        <w:spacing w:line="360" w:lineRule="auto"/>
        <w:outlineLvl w:val="1"/>
        <w:rPr>
          <w:rFonts w:eastAsia="Calibri" w:cs="Arial"/>
        </w:rPr>
      </w:pPr>
    </w:p>
    <w:p w:rsidR="00ED6DA6" w:rsidRDefault="00ED6DA6" w:rsidP="00D30E34">
      <w:pPr>
        <w:spacing w:line="360" w:lineRule="auto"/>
        <w:outlineLvl w:val="1"/>
        <w:rPr>
          <w:rFonts w:eastAsia="Calibri" w:cs="Arial"/>
        </w:rPr>
      </w:pPr>
    </w:p>
    <w:p w:rsidR="00ED6DA6" w:rsidRDefault="00ED6DA6" w:rsidP="00D30E34">
      <w:pPr>
        <w:spacing w:line="360" w:lineRule="auto"/>
        <w:outlineLvl w:val="1"/>
        <w:rPr>
          <w:rFonts w:eastAsia="Calibri" w:cs="Arial"/>
        </w:rPr>
      </w:pPr>
    </w:p>
    <w:p w:rsidR="00ED6DA6" w:rsidRPr="00D30E34" w:rsidRDefault="00ED6DA6"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69" w:name="_Toc518401741"/>
      <w:r w:rsidRPr="00D30E34">
        <w:rPr>
          <w:rFonts w:eastAsia="Calibri" w:cs="Arial"/>
          <w:b/>
        </w:rPr>
        <w:lastRenderedPageBreak/>
        <w:t>Table 28: Results out of normal range at week 4 by study arm</w:t>
      </w:r>
      <w:bookmarkEnd w:id="69"/>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D30E34" w:rsidRPr="00D30E34" w:rsidTr="002B425C">
        <w:tc>
          <w:tcPr>
            <w:tcW w:w="3080" w:type="dxa"/>
            <w:vMerge w:val="restart"/>
            <w:shd w:val="clear" w:color="auto" w:fill="auto"/>
            <w:vAlign w:val="center"/>
          </w:tcPr>
          <w:p w:rsidR="00D30E34" w:rsidRPr="00D30E34" w:rsidRDefault="00D30E34" w:rsidP="00D30E34">
            <w:pPr>
              <w:spacing w:line="360" w:lineRule="auto"/>
              <w:outlineLvl w:val="1"/>
              <w:rPr>
                <w:rFonts w:cs="Arial"/>
                <w:b/>
              </w:rPr>
            </w:pPr>
            <w:r w:rsidRPr="00D30E34">
              <w:rPr>
                <w:rFonts w:cs="Arial"/>
                <w:b/>
              </w:rPr>
              <w:t>Parameter</w:t>
            </w:r>
          </w:p>
        </w:tc>
        <w:tc>
          <w:tcPr>
            <w:tcW w:w="6162" w:type="dxa"/>
            <w:gridSpan w:val="2"/>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Result</w:t>
            </w:r>
          </w:p>
        </w:tc>
      </w:tr>
      <w:tr w:rsidR="00D30E34" w:rsidRPr="00D30E34" w:rsidTr="002B425C">
        <w:tc>
          <w:tcPr>
            <w:tcW w:w="3080"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Normal</w:t>
            </w: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Clinically significant</w:t>
            </w:r>
          </w:p>
        </w:tc>
      </w:tr>
      <w:tr w:rsidR="00D30E34" w:rsidRPr="00D30E34" w:rsidTr="002B425C">
        <w:tc>
          <w:tcPr>
            <w:tcW w:w="3080" w:type="dxa"/>
            <w:tcBorders>
              <w:top w:val="single" w:sz="4" w:space="0" w:color="auto"/>
              <w:bottom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Haemoglobin</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27</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tcBorders>
              <w:top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White Blood Cells</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Platelets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25</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Haematocrit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Neutrophils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4</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Lymphocytes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Monocytes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Eosinophils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Sodium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Potassium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Urea</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Creatinine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Total bilirubin</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4</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AST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20</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Alkaline phosphatase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26</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Glucose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bl>
    <w:p w:rsidR="00ED6DA6" w:rsidRDefault="00ED6DA6" w:rsidP="00D30E34">
      <w:pPr>
        <w:spacing w:line="360" w:lineRule="auto"/>
        <w:outlineLvl w:val="2"/>
        <w:rPr>
          <w:rFonts w:eastAsia="Calibri" w:cs="Arial"/>
          <w:b/>
        </w:rPr>
      </w:pPr>
      <w:bookmarkStart w:id="70" w:name="_Toc518401742"/>
    </w:p>
    <w:p w:rsidR="00D30E34" w:rsidRPr="00D30E34" w:rsidRDefault="00D30E34" w:rsidP="00D30E34">
      <w:pPr>
        <w:spacing w:line="360" w:lineRule="auto"/>
        <w:outlineLvl w:val="2"/>
        <w:rPr>
          <w:rFonts w:eastAsia="Calibri" w:cs="Arial"/>
          <w:b/>
        </w:rPr>
      </w:pPr>
      <w:r w:rsidRPr="00D30E34">
        <w:rPr>
          <w:rFonts w:eastAsia="Calibri" w:cs="Arial"/>
          <w:b/>
        </w:rPr>
        <w:t>Table 29: Results out of normal range at week 8 by study arm</w:t>
      </w:r>
      <w:bookmarkEnd w:id="70"/>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D30E34" w:rsidRPr="00D30E34" w:rsidTr="002B425C">
        <w:tc>
          <w:tcPr>
            <w:tcW w:w="3080" w:type="dxa"/>
            <w:vMerge w:val="restart"/>
            <w:shd w:val="clear" w:color="auto" w:fill="auto"/>
            <w:vAlign w:val="center"/>
          </w:tcPr>
          <w:p w:rsidR="00D30E34" w:rsidRPr="00D30E34" w:rsidRDefault="00D30E34" w:rsidP="00D30E34">
            <w:pPr>
              <w:spacing w:line="360" w:lineRule="auto"/>
              <w:outlineLvl w:val="1"/>
              <w:rPr>
                <w:rFonts w:cs="Arial"/>
                <w:b/>
              </w:rPr>
            </w:pPr>
            <w:r w:rsidRPr="00D30E34">
              <w:rPr>
                <w:rFonts w:cs="Arial"/>
                <w:b/>
              </w:rPr>
              <w:t>Parameter</w:t>
            </w:r>
          </w:p>
        </w:tc>
        <w:tc>
          <w:tcPr>
            <w:tcW w:w="6162" w:type="dxa"/>
            <w:gridSpan w:val="2"/>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Result</w:t>
            </w:r>
          </w:p>
        </w:tc>
      </w:tr>
      <w:tr w:rsidR="00D30E34" w:rsidRPr="00D30E34" w:rsidTr="002B425C">
        <w:tc>
          <w:tcPr>
            <w:tcW w:w="3080"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Normal</w:t>
            </w: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Clinically significant</w:t>
            </w:r>
          </w:p>
        </w:tc>
      </w:tr>
      <w:tr w:rsidR="00D30E34" w:rsidRPr="00BF0CF6" w:rsidTr="002B425C">
        <w:tc>
          <w:tcPr>
            <w:tcW w:w="3080" w:type="dxa"/>
            <w:tcBorders>
              <w:top w:val="single" w:sz="4" w:space="0" w:color="auto"/>
              <w:bottom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Haemoglobin</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tcBorders>
              <w:top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White Blood Cells</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Platelets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21</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Haematocrit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Neutrophils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20</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Lymphocytes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Monocytes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Eosinophils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Sodium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Potassium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Urea</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19</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Creatinine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Total bilirubin</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5</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AST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13</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5</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Alkaline phosphatase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BF0CF6"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Glucose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17</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71" w:name="_Table_32:_Results"/>
      <w:bookmarkStart w:id="72" w:name="_Toc518401743"/>
      <w:bookmarkEnd w:id="71"/>
      <w:r w:rsidRPr="00D30E34">
        <w:rPr>
          <w:rFonts w:eastAsia="Calibri" w:cs="Arial"/>
          <w:b/>
        </w:rPr>
        <w:t>Table 30: Results out of normal range at week 12 by study arm</w:t>
      </w:r>
      <w:bookmarkEnd w:id="72"/>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D30E34" w:rsidRPr="00D30E34" w:rsidTr="002B425C">
        <w:tc>
          <w:tcPr>
            <w:tcW w:w="3080" w:type="dxa"/>
            <w:vMerge w:val="restart"/>
            <w:shd w:val="clear" w:color="auto" w:fill="auto"/>
            <w:vAlign w:val="center"/>
          </w:tcPr>
          <w:p w:rsidR="00D30E34" w:rsidRPr="00D30E34" w:rsidRDefault="00D30E34" w:rsidP="00D30E34">
            <w:pPr>
              <w:spacing w:line="360" w:lineRule="auto"/>
              <w:outlineLvl w:val="1"/>
              <w:rPr>
                <w:rFonts w:cs="Arial"/>
                <w:b/>
              </w:rPr>
            </w:pPr>
            <w:r w:rsidRPr="00D30E34">
              <w:rPr>
                <w:rFonts w:cs="Arial"/>
                <w:b/>
              </w:rPr>
              <w:t>Parameter</w:t>
            </w:r>
          </w:p>
        </w:tc>
        <w:tc>
          <w:tcPr>
            <w:tcW w:w="6162" w:type="dxa"/>
            <w:gridSpan w:val="2"/>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Result</w:t>
            </w:r>
          </w:p>
        </w:tc>
      </w:tr>
      <w:tr w:rsidR="00D30E34" w:rsidRPr="00D30E34" w:rsidTr="002B425C">
        <w:tc>
          <w:tcPr>
            <w:tcW w:w="3080"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Normal</w:t>
            </w:r>
          </w:p>
        </w:tc>
        <w:tc>
          <w:tcPr>
            <w:tcW w:w="308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Clinically significant</w:t>
            </w:r>
          </w:p>
        </w:tc>
      </w:tr>
      <w:tr w:rsidR="00D30E34" w:rsidRPr="00D30E34" w:rsidTr="002B425C">
        <w:tc>
          <w:tcPr>
            <w:tcW w:w="3080" w:type="dxa"/>
            <w:tcBorders>
              <w:top w:val="single" w:sz="4" w:space="0" w:color="auto"/>
              <w:bottom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Haemoglobin</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tcBorders>
              <w:top w:val="single" w:sz="4" w:space="0" w:color="auto"/>
              <w:bottom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tcBorders>
              <w:top w:val="nil"/>
            </w:tcBorders>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White Blood Cells</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tcBorders>
              <w:top w:val="nil"/>
            </w:tcBorders>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Platelets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21</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Haematocrit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 xml:space="preserve">Neutrophils </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21</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Lymphocytes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23</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Monocytes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23</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Eosinophils</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23</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Sodium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Potassium</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Urea</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20</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Creatinine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Total bilirubin</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19</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AST</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18</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1</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Alkaline phosphatase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r w:rsidR="00D30E34" w:rsidRPr="00D30E34" w:rsidTr="002B425C">
        <w:tc>
          <w:tcPr>
            <w:tcW w:w="3080" w:type="dxa"/>
            <w:shd w:val="clear" w:color="auto" w:fill="auto"/>
          </w:tcPr>
          <w:p w:rsidR="00D30E34" w:rsidRPr="00BF0CF6" w:rsidRDefault="00D30E34" w:rsidP="00D30E34">
            <w:pPr>
              <w:spacing w:line="360" w:lineRule="auto"/>
              <w:outlineLvl w:val="1"/>
              <w:rPr>
                <w:rFonts w:cs="Arial"/>
                <w:sz w:val="21"/>
                <w:szCs w:val="21"/>
              </w:rPr>
            </w:pPr>
            <w:r w:rsidRPr="00BF0CF6">
              <w:rPr>
                <w:rFonts w:cs="Arial"/>
                <w:sz w:val="21"/>
                <w:szCs w:val="21"/>
              </w:rPr>
              <w:t>Glucose</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22</w:t>
            </w:r>
          </w:p>
        </w:tc>
        <w:tc>
          <w:tcPr>
            <w:tcW w:w="3081" w:type="dxa"/>
            <w:shd w:val="clear" w:color="auto" w:fill="auto"/>
          </w:tcPr>
          <w:p w:rsidR="00D30E34" w:rsidRPr="00BF0CF6" w:rsidRDefault="00D30E34" w:rsidP="00D30E34">
            <w:pPr>
              <w:spacing w:line="360" w:lineRule="auto"/>
              <w:jc w:val="right"/>
              <w:outlineLvl w:val="1"/>
              <w:rPr>
                <w:rFonts w:cs="Arial"/>
                <w:sz w:val="21"/>
                <w:szCs w:val="21"/>
              </w:rPr>
            </w:pPr>
            <w:r w:rsidRPr="00BF0CF6">
              <w:rPr>
                <w:rFonts w:cs="Arial"/>
                <w:sz w:val="21"/>
                <w:szCs w:val="21"/>
              </w:rPr>
              <w:t>0</w:t>
            </w:r>
          </w:p>
        </w:tc>
      </w:tr>
    </w:tbl>
    <w:p w:rsidR="00D30E34" w:rsidRPr="00D30E34" w:rsidRDefault="00D30E34" w:rsidP="00D30E34">
      <w:pPr>
        <w:spacing w:line="360" w:lineRule="auto"/>
        <w:outlineLvl w:val="1"/>
        <w:rPr>
          <w:rFonts w:eastAsia="Calibri" w:cs="Arial"/>
        </w:rPr>
      </w:pPr>
    </w:p>
    <w:p w:rsidR="00D30E34" w:rsidRPr="00BF0CF6" w:rsidRDefault="00D30E34" w:rsidP="00D30E34">
      <w:pPr>
        <w:spacing w:line="360" w:lineRule="auto"/>
        <w:outlineLvl w:val="2"/>
        <w:rPr>
          <w:rFonts w:eastAsia="Calibri" w:cs="Arial"/>
          <w:b/>
          <w:sz w:val="24"/>
          <w:szCs w:val="24"/>
        </w:rPr>
      </w:pPr>
      <w:bookmarkStart w:id="73" w:name="_Toc518401744"/>
      <w:r w:rsidRPr="00BF0CF6">
        <w:rPr>
          <w:rFonts w:eastAsia="Calibri" w:cs="Arial"/>
          <w:b/>
          <w:sz w:val="24"/>
          <w:szCs w:val="24"/>
        </w:rPr>
        <w:t>Adverse events</w:t>
      </w:r>
      <w:bookmarkEnd w:id="73"/>
    </w:p>
    <w:p w:rsidR="00D30E34" w:rsidRPr="00D30E34" w:rsidRDefault="00D30E34" w:rsidP="00D30E34">
      <w:pPr>
        <w:spacing w:line="360" w:lineRule="auto"/>
        <w:outlineLvl w:val="1"/>
        <w:rPr>
          <w:rFonts w:eastAsia="Calibri" w:cs="Arial"/>
        </w:rPr>
      </w:pPr>
      <w:r w:rsidRPr="00D30E34">
        <w:rPr>
          <w:rFonts w:eastAsia="Calibri" w:cs="Arial"/>
        </w:rPr>
        <w:t xml:space="preserve">There were no serious AEs reported during the trial in either study arm.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A total of 26 trial subjects reported having AEs during the trial; these are summarised in </w:t>
      </w:r>
      <w:hyperlink w:anchor="_Table_33:_Number" w:history="1">
        <w:r w:rsidRPr="00D30E34">
          <w:rPr>
            <w:rFonts w:eastAsia="Calibri" w:cs="Arial"/>
            <w:b/>
            <w:color w:val="000000"/>
          </w:rPr>
          <w:t>Table 31</w:t>
        </w:r>
      </w:hyperlink>
      <w:r w:rsidRPr="00D30E34">
        <w:rPr>
          <w:rFonts w:eastAsia="Calibri" w:cs="Arial"/>
        </w:rPr>
        <w:t>. Of these, 15 (55.6%) were in the experimental treatment arm, and 11 (44.0%) in the standard treatment arm.</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74" w:name="_Table_33:_Number"/>
      <w:bookmarkStart w:id="75" w:name="_Toc518401745"/>
      <w:bookmarkEnd w:id="74"/>
      <w:r w:rsidRPr="00D30E34">
        <w:rPr>
          <w:rFonts w:eastAsia="Calibri" w:cs="Arial"/>
          <w:b/>
        </w:rPr>
        <w:t>Table 31: Number and percentage of subjects experiencing at least one adverse event by study arm</w:t>
      </w:r>
      <w:bookmarkEnd w:id="75"/>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vMerge w:val="restart"/>
            <w:shd w:val="clear" w:color="auto" w:fill="auto"/>
          </w:tcPr>
          <w:p w:rsidR="00D30E34" w:rsidRPr="00D30E34" w:rsidRDefault="00D30E34" w:rsidP="00D30E34">
            <w:pPr>
              <w:spacing w:line="360" w:lineRule="auto"/>
              <w:outlineLvl w:val="1"/>
              <w:rPr>
                <w:rFonts w:cs="Arial"/>
                <w:b/>
              </w:rPr>
            </w:pPr>
            <w:r w:rsidRPr="00D30E34">
              <w:rPr>
                <w:rFonts w:cs="Arial"/>
                <w:b/>
              </w:rPr>
              <w:t>Experienced an adverse event</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Randomised Group</w:t>
            </w:r>
          </w:p>
        </w:tc>
      </w:tr>
      <w:tr w:rsidR="00D30E34" w:rsidRPr="00D30E34" w:rsidTr="002B425C">
        <w:tc>
          <w:tcPr>
            <w:tcW w:w="2310"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Total</w:t>
            </w:r>
          </w:p>
        </w:tc>
      </w:tr>
      <w:tr w:rsidR="00D30E34" w:rsidRPr="00D30E34" w:rsidTr="002B425C">
        <w:tc>
          <w:tcPr>
            <w:tcW w:w="2310" w:type="dxa"/>
            <w:tcBorders>
              <w:top w:val="single" w:sz="4" w:space="0" w:color="auto"/>
              <w:bottom w:val="nil"/>
            </w:tcBorders>
          </w:tcPr>
          <w:p w:rsidR="00D30E34" w:rsidRPr="00D30E34" w:rsidRDefault="00D30E34" w:rsidP="00D30E34">
            <w:pPr>
              <w:spacing w:line="360" w:lineRule="auto"/>
              <w:outlineLvl w:val="1"/>
              <w:rPr>
                <w:rFonts w:cs="Arial"/>
              </w:rPr>
            </w:pPr>
            <w:r w:rsidRPr="00D30E34">
              <w:rPr>
                <w:rFonts w:cs="Arial"/>
              </w:rPr>
              <w:t>No</w:t>
            </w:r>
          </w:p>
        </w:tc>
        <w:tc>
          <w:tcPr>
            <w:tcW w:w="2310"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12</w:t>
            </w: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14</w:t>
            </w:r>
          </w:p>
        </w:tc>
        <w:tc>
          <w:tcPr>
            <w:tcW w:w="2311" w:type="dxa"/>
            <w:tcBorders>
              <w:top w:val="single" w:sz="4" w:space="0" w:color="auto"/>
              <w:bottom w:val="nil"/>
            </w:tcBorders>
          </w:tcPr>
          <w:p w:rsidR="00D30E34" w:rsidRPr="00D30E34" w:rsidRDefault="00D30E34" w:rsidP="00D30E34">
            <w:pPr>
              <w:spacing w:line="360" w:lineRule="auto"/>
              <w:jc w:val="right"/>
              <w:outlineLvl w:val="1"/>
              <w:rPr>
                <w:rFonts w:cs="Arial"/>
              </w:rPr>
            </w:pPr>
            <w:r w:rsidRPr="00D30E34">
              <w:rPr>
                <w:rFonts w:cs="Arial"/>
              </w:rPr>
              <w:t xml:space="preserve">26 </w:t>
            </w:r>
          </w:p>
        </w:tc>
      </w:tr>
      <w:tr w:rsidR="00D30E34" w:rsidRPr="00D30E34" w:rsidTr="002B425C">
        <w:tc>
          <w:tcPr>
            <w:tcW w:w="2310" w:type="dxa"/>
            <w:tcBorders>
              <w:top w:val="nil"/>
              <w:bottom w:val="single" w:sz="4" w:space="0" w:color="auto"/>
            </w:tcBorders>
          </w:tcPr>
          <w:p w:rsidR="00D30E34" w:rsidRPr="00D30E34" w:rsidRDefault="00D30E34" w:rsidP="00D30E34">
            <w:pPr>
              <w:spacing w:line="360" w:lineRule="auto"/>
              <w:outlineLvl w:val="1"/>
              <w:rPr>
                <w:rFonts w:cs="Arial"/>
              </w:rPr>
            </w:pPr>
            <w:r w:rsidRPr="00D30E34">
              <w:rPr>
                <w:rFonts w:cs="Arial"/>
              </w:rPr>
              <w:t>Yes</w:t>
            </w:r>
          </w:p>
        </w:tc>
        <w:tc>
          <w:tcPr>
            <w:tcW w:w="2310"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15 (55.6%)</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11 (44.0%)</w:t>
            </w:r>
          </w:p>
        </w:tc>
        <w:tc>
          <w:tcPr>
            <w:tcW w:w="2311" w:type="dxa"/>
            <w:tcBorders>
              <w:top w:val="nil"/>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 xml:space="preserve">26 </w:t>
            </w:r>
          </w:p>
        </w:tc>
      </w:tr>
      <w:tr w:rsidR="00D30E34" w:rsidRPr="00D30E34" w:rsidTr="002B425C">
        <w:tc>
          <w:tcPr>
            <w:tcW w:w="2310" w:type="dxa"/>
            <w:tcBorders>
              <w:top w:val="single" w:sz="4" w:space="0" w:color="auto"/>
              <w:bottom w:val="single" w:sz="4" w:space="0" w:color="auto"/>
            </w:tcBorders>
          </w:tcPr>
          <w:p w:rsidR="00D30E34" w:rsidRPr="00D30E34" w:rsidRDefault="00D30E34" w:rsidP="00D30E34">
            <w:pPr>
              <w:spacing w:line="360" w:lineRule="auto"/>
              <w:outlineLvl w:val="1"/>
              <w:rPr>
                <w:rFonts w:cs="Arial"/>
              </w:rPr>
            </w:pPr>
            <w:r w:rsidRPr="00D30E34">
              <w:rPr>
                <w:rFonts w:cs="Arial"/>
              </w:rPr>
              <w:t>Total</w:t>
            </w:r>
          </w:p>
        </w:tc>
        <w:tc>
          <w:tcPr>
            <w:tcW w:w="2310"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27</w:t>
            </w:r>
          </w:p>
        </w:tc>
        <w:tc>
          <w:tcPr>
            <w:tcW w:w="2311"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25</w:t>
            </w:r>
          </w:p>
        </w:tc>
        <w:tc>
          <w:tcPr>
            <w:tcW w:w="2311" w:type="dxa"/>
            <w:tcBorders>
              <w:top w:val="single" w:sz="4" w:space="0" w:color="auto"/>
              <w:bottom w:val="single" w:sz="4" w:space="0" w:color="auto"/>
            </w:tcBorders>
          </w:tcPr>
          <w:p w:rsidR="00D30E34" w:rsidRPr="00D30E34" w:rsidRDefault="00D30E34" w:rsidP="00D30E34">
            <w:pPr>
              <w:spacing w:line="360" w:lineRule="auto"/>
              <w:jc w:val="right"/>
              <w:outlineLvl w:val="1"/>
              <w:rPr>
                <w:rFonts w:cs="Arial"/>
              </w:rPr>
            </w:pPr>
            <w:r w:rsidRPr="00D30E34">
              <w:rPr>
                <w:rFonts w:cs="Arial"/>
              </w:rPr>
              <w:t xml:space="preserve">52 </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Of the 38 subjects that completed the trial, 20 (52.6%) reported at least one AE, compared to 6 (42.9%) of the 14 that withdrew from the trial.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lastRenderedPageBreak/>
        <w:t>There were a total of 122 AEs reported during the trial. The relationship to the study drugs were considered probably for 25 (20.5%), possibly for 53 (43.4%), unlikely for 35 (28.7%), and not related for 7 (5.7%) of events. Of the two AEs that were not attributed a relationship, in one subject the description ‘felt dizzy after taking rifampicin and isoniazid. Felt better after pyridoxine’, and for the other ‘developed cold and headache. Paracetamol 2x4 times given, [patient] feels better’.</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Sixteen (13.2%) of the AEs were considered to be of moderate severity, and 105 of mild severity. For one severity was not recorded.</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 xml:space="preserve">The 25 AEs that were probably the result of the study drugs occurred in nine subjects and are described in </w:t>
      </w:r>
      <w:hyperlink w:anchor="_Table_34:_Number" w:history="1">
        <w:r w:rsidRPr="00D30E34">
          <w:rPr>
            <w:rFonts w:eastAsia="Calibri" w:cs="Arial"/>
            <w:b/>
            <w:color w:val="000000"/>
          </w:rPr>
          <w:t>Table 32</w:t>
        </w:r>
      </w:hyperlink>
      <w:r w:rsidRPr="00D30E34">
        <w:rPr>
          <w:rFonts w:eastAsia="Calibri" w:cs="Arial"/>
        </w:rPr>
        <w:t>.</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76" w:name="_Table_34:_Number"/>
      <w:bookmarkStart w:id="77" w:name="_Toc518401746"/>
      <w:bookmarkEnd w:id="76"/>
      <w:r w:rsidRPr="00D30E34">
        <w:rPr>
          <w:rFonts w:eastAsia="Calibri" w:cs="Arial"/>
          <w:b/>
        </w:rPr>
        <w:t>Table 32: Number and percentage of subject experiencing at least one adverse event probably due to the study treatment, by study arm</w:t>
      </w:r>
      <w:bookmarkEnd w:id="77"/>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311"/>
        <w:gridCol w:w="2311"/>
      </w:tblGrid>
      <w:tr w:rsidR="00D30E34" w:rsidRPr="00D30E34" w:rsidTr="002B425C">
        <w:tc>
          <w:tcPr>
            <w:tcW w:w="2310" w:type="dxa"/>
            <w:vMerge w:val="restart"/>
            <w:shd w:val="clear" w:color="auto" w:fill="auto"/>
          </w:tcPr>
          <w:p w:rsidR="00D30E34" w:rsidRPr="00D30E34" w:rsidRDefault="00D30E34" w:rsidP="00D30E34">
            <w:pPr>
              <w:spacing w:line="360" w:lineRule="auto"/>
              <w:outlineLvl w:val="1"/>
              <w:rPr>
                <w:rFonts w:cs="Arial"/>
                <w:b/>
              </w:rPr>
            </w:pPr>
            <w:r w:rsidRPr="00D30E34">
              <w:rPr>
                <w:rFonts w:cs="Arial"/>
                <w:b/>
              </w:rPr>
              <w:t>Experienced an adverse event</w:t>
            </w:r>
          </w:p>
        </w:tc>
        <w:tc>
          <w:tcPr>
            <w:tcW w:w="6932" w:type="dxa"/>
            <w:gridSpan w:val="3"/>
            <w:tcBorders>
              <w:bottom w:val="single" w:sz="4" w:space="0" w:color="auto"/>
            </w:tcBorders>
            <w:shd w:val="clear" w:color="auto" w:fill="auto"/>
          </w:tcPr>
          <w:p w:rsidR="00D30E34" w:rsidRPr="00D30E34" w:rsidRDefault="00D30E34" w:rsidP="00D30E34">
            <w:pPr>
              <w:spacing w:line="360" w:lineRule="auto"/>
              <w:jc w:val="center"/>
              <w:outlineLvl w:val="1"/>
              <w:rPr>
                <w:rFonts w:cs="Arial"/>
                <w:b/>
              </w:rPr>
            </w:pPr>
            <w:r w:rsidRPr="00D30E34">
              <w:rPr>
                <w:rFonts w:cs="Arial"/>
                <w:b/>
              </w:rPr>
              <w:t>Randomised Group</w:t>
            </w:r>
          </w:p>
        </w:tc>
      </w:tr>
      <w:tr w:rsidR="00D30E34" w:rsidRPr="00D30E34" w:rsidTr="002B425C">
        <w:tc>
          <w:tcPr>
            <w:tcW w:w="2310" w:type="dxa"/>
            <w:vMerge/>
            <w:tcBorders>
              <w:bottom w:val="single" w:sz="4" w:space="0" w:color="auto"/>
            </w:tcBorders>
            <w:shd w:val="clear" w:color="auto" w:fill="auto"/>
          </w:tcPr>
          <w:p w:rsidR="00D30E34" w:rsidRPr="00D30E34" w:rsidRDefault="00D30E34" w:rsidP="00D30E34">
            <w:pPr>
              <w:spacing w:line="360" w:lineRule="auto"/>
              <w:outlineLvl w:val="1"/>
              <w:rPr>
                <w:rFonts w:cs="Arial"/>
                <w:b/>
              </w:rPr>
            </w:pP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Experimental</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Standard</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b/>
              </w:rPr>
            </w:pPr>
            <w:r w:rsidRPr="00D30E34">
              <w:rPr>
                <w:rFonts w:cs="Arial"/>
                <w:b/>
              </w:rPr>
              <w:t>Total</w:t>
            </w:r>
          </w:p>
        </w:tc>
      </w:tr>
      <w:tr w:rsidR="00D30E34" w:rsidRPr="00D30E34" w:rsidTr="002B425C">
        <w:tc>
          <w:tcPr>
            <w:tcW w:w="2310" w:type="dxa"/>
            <w:tcBorders>
              <w:top w:val="single" w:sz="4" w:space="0" w:color="auto"/>
              <w:bottom w:val="nil"/>
            </w:tcBorders>
            <w:shd w:val="clear" w:color="auto" w:fill="auto"/>
          </w:tcPr>
          <w:p w:rsidR="00D30E34" w:rsidRPr="00D30E34" w:rsidRDefault="00D30E34" w:rsidP="00D30E34">
            <w:pPr>
              <w:spacing w:line="360" w:lineRule="auto"/>
              <w:outlineLvl w:val="1"/>
              <w:rPr>
                <w:rFonts w:cs="Arial"/>
              </w:rPr>
            </w:pPr>
            <w:r w:rsidRPr="00D30E34">
              <w:rPr>
                <w:rFonts w:cs="Arial"/>
              </w:rPr>
              <w:t>No</w:t>
            </w:r>
          </w:p>
        </w:tc>
        <w:tc>
          <w:tcPr>
            <w:tcW w:w="2310"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23</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20</w:t>
            </w:r>
          </w:p>
        </w:tc>
        <w:tc>
          <w:tcPr>
            <w:tcW w:w="2311" w:type="dxa"/>
            <w:tcBorders>
              <w:top w:val="single" w:sz="4" w:space="0" w:color="auto"/>
              <w:bottom w:val="nil"/>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43 </w:t>
            </w:r>
          </w:p>
        </w:tc>
      </w:tr>
      <w:tr w:rsidR="00D30E34" w:rsidRPr="00D30E34" w:rsidTr="002B425C">
        <w:tc>
          <w:tcPr>
            <w:tcW w:w="2310" w:type="dxa"/>
            <w:tcBorders>
              <w:top w:val="nil"/>
              <w:bottom w:val="single" w:sz="4" w:space="0" w:color="auto"/>
            </w:tcBorders>
            <w:shd w:val="clear" w:color="auto" w:fill="auto"/>
          </w:tcPr>
          <w:p w:rsidR="00D30E34" w:rsidRPr="00D30E34" w:rsidRDefault="00D30E34" w:rsidP="00D30E34">
            <w:pPr>
              <w:spacing w:line="360" w:lineRule="auto"/>
              <w:outlineLvl w:val="1"/>
              <w:rPr>
                <w:rFonts w:cs="Arial"/>
              </w:rPr>
            </w:pPr>
            <w:r w:rsidRPr="00D30E34">
              <w:rPr>
                <w:rFonts w:cs="Arial"/>
              </w:rPr>
              <w:t>Yes</w:t>
            </w:r>
          </w:p>
        </w:tc>
        <w:tc>
          <w:tcPr>
            <w:tcW w:w="2310" w:type="dxa"/>
            <w:tcBorders>
              <w:top w:val="nil"/>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4 (14.8%)</w:t>
            </w:r>
          </w:p>
        </w:tc>
        <w:tc>
          <w:tcPr>
            <w:tcW w:w="2311" w:type="dxa"/>
            <w:tcBorders>
              <w:top w:val="nil"/>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5 (20.0%)</w:t>
            </w:r>
          </w:p>
        </w:tc>
        <w:tc>
          <w:tcPr>
            <w:tcW w:w="2311" w:type="dxa"/>
            <w:tcBorders>
              <w:top w:val="nil"/>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9 </w:t>
            </w:r>
          </w:p>
        </w:tc>
      </w:tr>
      <w:tr w:rsidR="00D30E34" w:rsidRPr="00D30E34" w:rsidTr="002B425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outlineLvl w:val="1"/>
              <w:rPr>
                <w:rFonts w:cs="Arial"/>
              </w:rPr>
            </w:pPr>
            <w:r w:rsidRPr="00D30E34">
              <w:rPr>
                <w:rFonts w:cs="Arial"/>
              </w:rPr>
              <w:t>Total</w:t>
            </w:r>
          </w:p>
        </w:tc>
        <w:tc>
          <w:tcPr>
            <w:tcW w:w="2310"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27</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25</w:t>
            </w:r>
          </w:p>
        </w:tc>
        <w:tc>
          <w:tcPr>
            <w:tcW w:w="2311" w:type="dxa"/>
            <w:tcBorders>
              <w:top w:val="single" w:sz="4" w:space="0" w:color="auto"/>
              <w:bottom w:val="single" w:sz="4" w:space="0" w:color="auto"/>
            </w:tcBorders>
            <w:shd w:val="clear" w:color="auto" w:fill="auto"/>
          </w:tcPr>
          <w:p w:rsidR="00D30E34" w:rsidRPr="00D30E34" w:rsidRDefault="00D30E34" w:rsidP="00D30E34">
            <w:pPr>
              <w:spacing w:line="360" w:lineRule="auto"/>
              <w:jc w:val="right"/>
              <w:outlineLvl w:val="1"/>
              <w:rPr>
                <w:rFonts w:cs="Arial"/>
              </w:rPr>
            </w:pPr>
            <w:r w:rsidRPr="00D30E34">
              <w:rPr>
                <w:rFonts w:cs="Arial"/>
              </w:rPr>
              <w:t xml:space="preserve">52 </w:t>
            </w:r>
          </w:p>
        </w:tc>
      </w:tr>
    </w:tbl>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Again, there appears to be no strong link between such AEs and trial completion, with six (15.8%) of those completing, and three (21.4%) of those withdrawn, reporting AEs probably due to the study treatment.</w:t>
      </w:r>
    </w:p>
    <w:p w:rsidR="00D30E34" w:rsidRPr="00D30E34" w:rsidRDefault="00D30E34" w:rsidP="00D30E34">
      <w:pPr>
        <w:spacing w:line="360" w:lineRule="auto"/>
        <w:outlineLvl w:val="1"/>
        <w:rPr>
          <w:rFonts w:eastAsia="Calibri" w:cs="Arial"/>
        </w:rPr>
      </w:pPr>
    </w:p>
    <w:p w:rsidR="00BF0CF6" w:rsidRDefault="00D30E34" w:rsidP="00BF0CF6">
      <w:pPr>
        <w:spacing w:line="360" w:lineRule="auto"/>
        <w:outlineLvl w:val="1"/>
        <w:rPr>
          <w:rFonts w:eastAsia="Calibri" w:cs="Arial"/>
        </w:rPr>
      </w:pPr>
      <w:r w:rsidRPr="00D30E34">
        <w:rPr>
          <w:rFonts w:eastAsia="Calibri" w:cs="Arial"/>
        </w:rPr>
        <w:t xml:space="preserve">There were a total of 20 recorded AEs in five subjects which were reported as not resolved. All but one of these subjects completed the trial. These are recorded in </w:t>
      </w:r>
      <w:hyperlink w:anchor="_Table_35:_Description" w:history="1">
        <w:r w:rsidRPr="00D30E34">
          <w:rPr>
            <w:rFonts w:eastAsia="Calibri" w:cs="Arial"/>
            <w:b/>
            <w:color w:val="000000"/>
          </w:rPr>
          <w:t>Table 33</w:t>
        </w:r>
      </w:hyperlink>
      <w:r w:rsidRPr="00D30E34">
        <w:rPr>
          <w:rFonts w:eastAsia="Calibri" w:cs="Arial"/>
        </w:rPr>
        <w:t>. In this table the AEs are grouped by subject and delineated by horizontal lines within the table.</w:t>
      </w:r>
      <w:bookmarkStart w:id="78" w:name="_Table_35:_Description"/>
      <w:bookmarkStart w:id="79" w:name="_Toc518401747"/>
      <w:bookmarkEnd w:id="78"/>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ED6DA6" w:rsidRDefault="00ED6DA6" w:rsidP="00BF0CF6">
      <w:pPr>
        <w:spacing w:line="360" w:lineRule="auto"/>
        <w:outlineLvl w:val="1"/>
        <w:rPr>
          <w:rFonts w:eastAsia="Calibri" w:cs="Arial"/>
        </w:rPr>
      </w:pPr>
    </w:p>
    <w:p w:rsidR="00BF0CF6" w:rsidRDefault="00BF0CF6" w:rsidP="00BF0CF6">
      <w:pPr>
        <w:spacing w:line="360" w:lineRule="auto"/>
        <w:outlineLvl w:val="1"/>
        <w:rPr>
          <w:rFonts w:eastAsia="Calibri" w:cs="Arial"/>
        </w:rPr>
      </w:pPr>
    </w:p>
    <w:p w:rsidR="00D30E34" w:rsidRPr="00D30E34" w:rsidRDefault="00D30E34" w:rsidP="00BF0CF6">
      <w:pPr>
        <w:spacing w:line="360" w:lineRule="auto"/>
        <w:outlineLvl w:val="1"/>
        <w:rPr>
          <w:rFonts w:eastAsia="Calibri" w:cs="Arial"/>
          <w:b/>
        </w:rPr>
      </w:pPr>
      <w:r w:rsidRPr="00D30E34">
        <w:rPr>
          <w:rFonts w:eastAsia="Calibri" w:cs="Arial"/>
          <w:b/>
        </w:rPr>
        <w:lastRenderedPageBreak/>
        <w:t>Table 33: Description of the adverse events recorded as not resolved</w:t>
      </w:r>
      <w:bookmarkEnd w:id="79"/>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417"/>
        <w:gridCol w:w="5670"/>
      </w:tblGrid>
      <w:tr w:rsidR="00D30E34" w:rsidRPr="00D30E34" w:rsidTr="002B425C">
        <w:tc>
          <w:tcPr>
            <w:tcW w:w="1526"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Arm</w:t>
            </w:r>
          </w:p>
        </w:tc>
        <w:tc>
          <w:tcPr>
            <w:tcW w:w="1417"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Status</w:t>
            </w:r>
          </w:p>
        </w:tc>
        <w:tc>
          <w:tcPr>
            <w:tcW w:w="5670" w:type="dxa"/>
            <w:tcBorders>
              <w:bottom w:val="single" w:sz="4" w:space="0" w:color="auto"/>
            </w:tcBorders>
            <w:shd w:val="clear" w:color="auto" w:fill="auto"/>
          </w:tcPr>
          <w:p w:rsidR="00D30E34" w:rsidRPr="00D30E34" w:rsidRDefault="00D30E34" w:rsidP="00D30E34">
            <w:pPr>
              <w:spacing w:line="360" w:lineRule="auto"/>
              <w:outlineLvl w:val="1"/>
              <w:rPr>
                <w:rFonts w:cs="Arial"/>
                <w:b/>
                <w:sz w:val="20"/>
                <w:szCs w:val="20"/>
              </w:rPr>
            </w:pPr>
            <w:r w:rsidRPr="00D30E34">
              <w:rPr>
                <w:rFonts w:cs="Arial"/>
                <w:b/>
                <w:sz w:val="20"/>
                <w:szCs w:val="20"/>
              </w:rPr>
              <w:t>Description</w:t>
            </w:r>
          </w:p>
        </w:tc>
      </w:tr>
      <w:tr w:rsidR="00D30E34" w:rsidRPr="00D30E34" w:rsidTr="002B425C">
        <w:tc>
          <w:tcPr>
            <w:tcW w:w="1526" w:type="dxa"/>
            <w:tcBorders>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Borders>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Borders>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Rash (acne) on chest persists but some improvement</w:t>
            </w:r>
          </w:p>
        </w:tc>
      </w:tr>
      <w:tr w:rsidR="00D30E34" w:rsidRPr="00D30E34" w:rsidTr="002B425C">
        <w:tc>
          <w:tcPr>
            <w:tcW w:w="1526"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Experimental </w:t>
            </w:r>
          </w:p>
        </w:tc>
        <w:tc>
          <w:tcPr>
            <w:tcW w:w="1417"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Borders>
              <w:top w:val="single" w:sz="4" w:space="0" w:color="auto"/>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Neutrophil count low 1.54</w:t>
            </w:r>
          </w:p>
        </w:tc>
      </w:tr>
      <w:tr w:rsidR="00D30E34" w:rsidRPr="00D30E34" w:rsidTr="002B425C">
        <w:tc>
          <w:tcPr>
            <w:tcW w:w="1526"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ALT remains raised</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Continued low neutrophil count</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Continuing low neutrophil count but higher than before 1.37</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Continuing low neutrophil count 0.88</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dropped since 26/05/2015 0.88</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0.79</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AST raised to 87</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continuing low neutrophil count 0.79</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Continued low neutrophil count but raised since 24/06/2015 1.59</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White cell count low 3.05</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ALT raised to 167</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AST remains raised but lower than 24/07/2015 43</w:t>
            </w:r>
          </w:p>
        </w:tc>
      </w:tr>
      <w:tr w:rsidR="00D30E34" w:rsidRPr="00D30E34" w:rsidTr="002B425C">
        <w:tc>
          <w:tcPr>
            <w:tcW w:w="1526"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Borders>
              <w:top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0.98</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1.25</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1.41</w:t>
            </w:r>
          </w:p>
        </w:tc>
      </w:tr>
      <w:tr w:rsidR="00D30E34" w:rsidRPr="00D30E34" w:rsidTr="002B425C">
        <w:tc>
          <w:tcPr>
            <w:tcW w:w="1526" w:type="dxa"/>
          </w:tcPr>
          <w:p w:rsidR="00D30E34" w:rsidRPr="00D30E34" w:rsidRDefault="00D30E34" w:rsidP="00D30E34">
            <w:pPr>
              <w:spacing w:line="360" w:lineRule="auto"/>
              <w:outlineLvl w:val="1"/>
              <w:rPr>
                <w:rFonts w:cs="Arial"/>
                <w:sz w:val="20"/>
                <w:szCs w:val="20"/>
              </w:rPr>
            </w:pPr>
            <w:r w:rsidRPr="00D30E34">
              <w:rPr>
                <w:rFonts w:cs="Arial"/>
                <w:sz w:val="20"/>
                <w:szCs w:val="20"/>
              </w:rPr>
              <w:t xml:space="preserve">Standard </w:t>
            </w:r>
          </w:p>
        </w:tc>
        <w:tc>
          <w:tcPr>
            <w:tcW w:w="1417" w:type="dxa"/>
          </w:tcPr>
          <w:p w:rsidR="00D30E34" w:rsidRPr="00D30E34" w:rsidRDefault="00D30E34" w:rsidP="00D30E34">
            <w:pPr>
              <w:spacing w:line="360" w:lineRule="auto"/>
              <w:outlineLvl w:val="1"/>
              <w:rPr>
                <w:rFonts w:cs="Arial"/>
                <w:sz w:val="20"/>
                <w:szCs w:val="20"/>
              </w:rPr>
            </w:pPr>
            <w:r w:rsidRPr="00D30E34">
              <w:rPr>
                <w:rFonts w:cs="Arial"/>
                <w:sz w:val="20"/>
                <w:szCs w:val="20"/>
              </w:rPr>
              <w:t>Completed</w:t>
            </w:r>
          </w:p>
        </w:tc>
        <w:tc>
          <w:tcPr>
            <w:tcW w:w="5670" w:type="dxa"/>
          </w:tcPr>
          <w:p w:rsidR="00D30E34" w:rsidRPr="00D30E34" w:rsidRDefault="00D30E34" w:rsidP="00D30E34">
            <w:pPr>
              <w:spacing w:line="360" w:lineRule="auto"/>
              <w:outlineLvl w:val="1"/>
              <w:rPr>
                <w:rFonts w:cs="Arial"/>
                <w:sz w:val="20"/>
                <w:szCs w:val="20"/>
              </w:rPr>
            </w:pPr>
            <w:r w:rsidRPr="00D30E34">
              <w:rPr>
                <w:rFonts w:cs="Arial"/>
                <w:sz w:val="20"/>
                <w:szCs w:val="20"/>
              </w:rPr>
              <w:t>Low neutrophil count 1.37</w:t>
            </w:r>
          </w:p>
        </w:tc>
      </w:tr>
      <w:tr w:rsidR="00D30E34" w:rsidRPr="00D30E34" w:rsidTr="002B425C">
        <w:tc>
          <w:tcPr>
            <w:tcW w:w="1526"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Experimental</w:t>
            </w:r>
          </w:p>
        </w:tc>
        <w:tc>
          <w:tcPr>
            <w:tcW w:w="1417"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Withdrawn</w:t>
            </w:r>
          </w:p>
        </w:tc>
        <w:tc>
          <w:tcPr>
            <w:tcW w:w="5670" w:type="dxa"/>
            <w:tcBorders>
              <w:top w:val="single" w:sz="4" w:space="0" w:color="auto"/>
              <w:bottom w:val="nil"/>
            </w:tcBorders>
          </w:tcPr>
          <w:p w:rsidR="00D30E34" w:rsidRPr="00D30E34" w:rsidRDefault="00D30E34" w:rsidP="00D30E34">
            <w:pPr>
              <w:spacing w:line="360" w:lineRule="auto"/>
              <w:outlineLvl w:val="1"/>
              <w:rPr>
                <w:rFonts w:cs="Arial"/>
                <w:sz w:val="20"/>
                <w:szCs w:val="20"/>
              </w:rPr>
            </w:pPr>
            <w:r w:rsidRPr="00D30E34">
              <w:rPr>
                <w:rFonts w:cs="Arial"/>
                <w:sz w:val="20"/>
                <w:szCs w:val="20"/>
              </w:rPr>
              <w:t>Blood sugar remains high</w:t>
            </w:r>
          </w:p>
        </w:tc>
      </w:tr>
      <w:tr w:rsidR="00D30E34" w:rsidRPr="00D30E34" w:rsidTr="002B425C">
        <w:tc>
          <w:tcPr>
            <w:tcW w:w="1526"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Experimental</w:t>
            </w:r>
          </w:p>
        </w:tc>
        <w:tc>
          <w:tcPr>
            <w:tcW w:w="1417"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Withdrawn</w:t>
            </w:r>
          </w:p>
        </w:tc>
        <w:tc>
          <w:tcPr>
            <w:tcW w:w="5670" w:type="dxa"/>
            <w:tcBorders>
              <w:top w:val="nil"/>
              <w:bottom w:val="single" w:sz="4" w:space="0" w:color="auto"/>
            </w:tcBorders>
          </w:tcPr>
          <w:p w:rsidR="00D30E34" w:rsidRPr="00D30E34" w:rsidRDefault="00D30E34" w:rsidP="00D30E34">
            <w:pPr>
              <w:spacing w:line="360" w:lineRule="auto"/>
              <w:outlineLvl w:val="1"/>
              <w:rPr>
                <w:rFonts w:cs="Arial"/>
                <w:sz w:val="20"/>
                <w:szCs w:val="20"/>
              </w:rPr>
            </w:pPr>
            <w:r w:rsidRPr="00D30E34">
              <w:rPr>
                <w:rFonts w:cs="Arial"/>
                <w:sz w:val="20"/>
                <w:szCs w:val="20"/>
              </w:rPr>
              <w:t>Raised high blood sugars</w:t>
            </w:r>
          </w:p>
        </w:tc>
      </w:tr>
    </w:tbl>
    <w:p w:rsidR="00D30E34" w:rsidRDefault="00D30E34" w:rsidP="00D30E34">
      <w:pPr>
        <w:spacing w:line="360" w:lineRule="auto"/>
        <w:outlineLvl w:val="1"/>
        <w:rPr>
          <w:rFonts w:eastAsia="Calibri" w:cs="Arial"/>
        </w:rPr>
      </w:pPr>
    </w:p>
    <w:p w:rsidR="00BF0CF6" w:rsidRPr="00D30E34" w:rsidRDefault="00BF0CF6"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80" w:name="_Toc518401748"/>
      <w:r w:rsidRPr="00D30E34">
        <w:rPr>
          <w:rFonts w:eastAsia="Calibri" w:cs="Arial"/>
          <w:b/>
          <w:sz w:val="24"/>
          <w:szCs w:val="24"/>
        </w:rPr>
        <w:t>Health economics analysis</w:t>
      </w:r>
      <w:bookmarkEnd w:id="80"/>
    </w:p>
    <w:p w:rsidR="00D30E34" w:rsidRDefault="00D30E34" w:rsidP="00D30E34">
      <w:pPr>
        <w:spacing w:line="360" w:lineRule="auto"/>
        <w:outlineLvl w:val="1"/>
        <w:rPr>
          <w:rFonts w:eastAsia="Calibri" w:cs="Arial"/>
        </w:rPr>
      </w:pPr>
      <w:r w:rsidRPr="00D30E34">
        <w:rPr>
          <w:rFonts w:eastAsia="Calibri" w:cs="Arial"/>
        </w:rPr>
        <w:t>Data from the statistical analysis were used to calculate the counts and probabilities for adherence for the two study arms (</w:t>
      </w:r>
      <w:hyperlink w:anchor="_Table_36:_Counts" w:history="1">
        <w:r w:rsidRPr="00D30E34">
          <w:rPr>
            <w:rFonts w:eastAsia="Calibri" w:cs="Arial"/>
            <w:b/>
            <w:color w:val="000000"/>
          </w:rPr>
          <w:t>Table 34</w:t>
        </w:r>
      </w:hyperlink>
      <w:r w:rsidRPr="00D30E34">
        <w:rPr>
          <w:rFonts w:eastAsia="Calibri" w:cs="Arial"/>
        </w:rPr>
        <w:t>). Crucially, 17/25 individuals completed the standard regimen and 19 received at least 90% of doses, versus 21/27 for both measures in the experimental arm.</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81" w:name="_Table_36:_Counts"/>
      <w:bookmarkStart w:id="82" w:name="_Toc518401749"/>
      <w:bookmarkEnd w:id="81"/>
      <w:r w:rsidRPr="00D30E34">
        <w:rPr>
          <w:rFonts w:eastAsia="Calibri" w:cs="Arial"/>
          <w:b/>
        </w:rPr>
        <w:t>Table 34: Counts and probabilities of adherence for standard and experimental drug regimens</w:t>
      </w:r>
      <w:bookmarkEnd w:id="82"/>
    </w:p>
    <w:p w:rsidR="00D30E34" w:rsidRPr="00D30E34" w:rsidRDefault="00D30E34" w:rsidP="00D30E34">
      <w:pPr>
        <w:spacing w:line="360" w:lineRule="auto"/>
        <w:outlineLvl w:val="1"/>
        <w:rPr>
          <w:rFonts w:eastAsia="Calibri" w:cs="Arial"/>
        </w:rPr>
      </w:pPr>
      <w:r w:rsidRPr="00D30E34">
        <w:rPr>
          <w:rFonts w:eastAsia="Calibri" w:cs="Arial"/>
        </w:rPr>
        <w:t xml:space="preserve">Binomial 95% confidence intervals are shown in square parentheses using </w:t>
      </w:r>
      <m:oMath>
        <m:r>
          <m:rPr>
            <m:sty m:val="bi"/>
          </m:rPr>
          <w:rPr>
            <w:rFonts w:ascii="Cambria Math" w:eastAsia="Calibri" w:hAnsi="Cambria Math" w:cs="Arial"/>
          </w:rPr>
          <m:t>p</m:t>
        </m:r>
        <m:r>
          <m:rPr>
            <m:sty m:val="p"/>
          </m:rPr>
          <w:rPr>
            <w:rFonts w:ascii="Cambria Math" w:eastAsia="Calibri" w:hAnsi="Cambria Math" w:cs="Arial"/>
          </w:rPr>
          <m:t>±</m:t>
        </m:r>
        <m:r>
          <m:rPr>
            <m:sty m:val="b"/>
          </m:rPr>
          <w:rPr>
            <w:rFonts w:ascii="Cambria Math" w:eastAsia="Calibri" w:hAnsi="Cambria Math" w:cs="Arial"/>
          </w:rPr>
          <m:t>1</m:t>
        </m:r>
        <m:r>
          <m:rPr>
            <m:sty m:val="p"/>
          </m:rPr>
          <w:rPr>
            <w:rFonts w:ascii="Cambria Math" w:eastAsia="Calibri" w:hAnsi="Cambria Math" w:cs="Arial"/>
          </w:rPr>
          <m:t>.</m:t>
        </m:r>
        <m:r>
          <m:rPr>
            <m:sty m:val="b"/>
          </m:rPr>
          <w:rPr>
            <w:rFonts w:ascii="Cambria Math" w:eastAsia="Calibri" w:hAnsi="Cambria Math" w:cs="Arial"/>
          </w:rPr>
          <m:t>96</m:t>
        </m:r>
        <m:rad>
          <m:radPr>
            <m:degHide m:val="1"/>
            <m:ctrlPr>
              <w:rPr>
                <w:rFonts w:ascii="Cambria Math" w:eastAsia="Calibri" w:hAnsi="Cambria Math" w:cs="Arial"/>
              </w:rPr>
            </m:ctrlPr>
          </m:radPr>
          <m:deg/>
          <m:e>
            <m:r>
              <m:rPr>
                <m:sty m:val="bi"/>
              </m:rPr>
              <w:rPr>
                <w:rFonts w:ascii="Cambria Math" w:eastAsia="Calibri" w:hAnsi="Cambria Math" w:cs="Arial"/>
              </w:rPr>
              <m:t>p</m:t>
            </m:r>
            <m:d>
              <m:dPr>
                <m:ctrlPr>
                  <w:rPr>
                    <w:rFonts w:ascii="Cambria Math" w:eastAsia="Calibri" w:hAnsi="Cambria Math" w:cs="Arial"/>
                  </w:rPr>
                </m:ctrlPr>
              </m:dPr>
              <m:e>
                <m:r>
                  <m:rPr>
                    <m:sty m:val="b"/>
                  </m:rPr>
                  <w:rPr>
                    <w:rFonts w:ascii="Cambria Math" w:eastAsia="Calibri" w:hAnsi="Cambria Math" w:cs="Arial"/>
                  </w:rPr>
                  <m:t>1</m:t>
                </m:r>
                <m:r>
                  <m:rPr>
                    <m:sty m:val="p"/>
                  </m:rPr>
                  <w:rPr>
                    <w:rFonts w:ascii="Cambria Math" w:eastAsia="Calibri" w:hAnsi="Cambria Math" w:cs="Arial"/>
                  </w:rPr>
                  <m:t>-</m:t>
                </m:r>
                <m:r>
                  <m:rPr>
                    <m:sty m:val="bi"/>
                  </m:rPr>
                  <w:rPr>
                    <w:rFonts w:ascii="Cambria Math" w:eastAsia="Calibri" w:hAnsi="Cambria Math" w:cs="Arial"/>
                  </w:rPr>
                  <m:t>p</m:t>
                </m:r>
              </m:e>
            </m:d>
            <m:r>
              <m:rPr>
                <m:sty m:val="p"/>
              </m:rPr>
              <w:rPr>
                <w:rFonts w:ascii="Cambria Math" w:eastAsia="Calibri" w:hAnsi="Cambria Math" w:cs="Arial"/>
              </w:rPr>
              <m:t>/</m:t>
            </m:r>
            <m:r>
              <m:rPr>
                <m:sty m:val="bi"/>
              </m:rPr>
              <w:rPr>
                <w:rFonts w:ascii="Cambria Math" w:eastAsia="Calibri" w:hAnsi="Cambria Math" w:cs="Arial"/>
              </w:rPr>
              <m:t>n</m:t>
            </m:r>
          </m:e>
        </m:rad>
      </m:oMath>
      <w:r w:rsidRPr="00D30E34">
        <w:rPr>
          <w:rFonts w:eastAsia="Calibri" w:cs="Arial"/>
        </w:rPr>
        <w:t>.</w:t>
      </w:r>
    </w:p>
    <w:tbl>
      <w:tblPr>
        <w:tblW w:w="8936" w:type="dxa"/>
        <w:jc w:val="center"/>
        <w:tblLook w:val="04A0" w:firstRow="1" w:lastRow="0" w:firstColumn="1" w:lastColumn="0" w:noHBand="0" w:noVBand="1"/>
      </w:tblPr>
      <w:tblGrid>
        <w:gridCol w:w="4176"/>
        <w:gridCol w:w="2343"/>
        <w:gridCol w:w="2417"/>
      </w:tblGrid>
      <w:tr w:rsidR="00D30E34" w:rsidRPr="00D30E34" w:rsidTr="002B425C">
        <w:trPr>
          <w:trHeight w:val="293"/>
          <w:jc w:val="center"/>
        </w:trPr>
        <w:tc>
          <w:tcPr>
            <w:tcW w:w="4176" w:type="dxa"/>
            <w:tcBorders>
              <w:top w:val="single" w:sz="4" w:space="0" w:color="auto"/>
              <w:left w:val="single" w:sz="4" w:space="0" w:color="auto"/>
              <w:bottom w:val="single" w:sz="4" w:space="0" w:color="auto"/>
              <w:right w:val="single" w:sz="4" w:space="0" w:color="auto"/>
            </w:tcBorders>
          </w:tcPr>
          <w:p w:rsidR="00D30E34" w:rsidRPr="00D30E34" w:rsidRDefault="00D30E34" w:rsidP="00D30E34">
            <w:pPr>
              <w:outlineLvl w:val="1"/>
              <w:rPr>
                <w:rFonts w:eastAsia="Calibri" w:cs="Arial"/>
                <w:b/>
              </w:rPr>
            </w:pPr>
            <w:r w:rsidRPr="00D30E34">
              <w:rPr>
                <w:rFonts w:eastAsia="Calibri" w:cs="Arial"/>
                <w:b/>
              </w:rPr>
              <w:t>Metric</w:t>
            </w:r>
          </w:p>
        </w:tc>
        <w:tc>
          <w:tcPr>
            <w:tcW w:w="2343" w:type="dxa"/>
            <w:tcBorders>
              <w:top w:val="single" w:sz="4" w:space="0" w:color="auto"/>
              <w:left w:val="single" w:sz="4" w:space="0" w:color="auto"/>
              <w:bottom w:val="single" w:sz="4" w:space="0" w:color="auto"/>
              <w:right w:val="single" w:sz="4" w:space="0" w:color="auto"/>
            </w:tcBorders>
          </w:tcPr>
          <w:p w:rsidR="00D30E34" w:rsidRPr="00D30E34" w:rsidRDefault="00D30E34" w:rsidP="00D30E34">
            <w:pPr>
              <w:jc w:val="center"/>
              <w:outlineLvl w:val="1"/>
              <w:rPr>
                <w:rFonts w:eastAsia="Calibri" w:cs="Arial"/>
                <w:b/>
              </w:rPr>
            </w:pPr>
            <w:r w:rsidRPr="00D30E34">
              <w:rPr>
                <w:rFonts w:eastAsia="Calibri" w:cs="Arial"/>
                <w:b/>
              </w:rPr>
              <w:t>Standard</w:t>
            </w:r>
          </w:p>
        </w:tc>
        <w:tc>
          <w:tcPr>
            <w:tcW w:w="2417" w:type="dxa"/>
            <w:tcBorders>
              <w:top w:val="single" w:sz="4" w:space="0" w:color="auto"/>
              <w:left w:val="single" w:sz="4" w:space="0" w:color="auto"/>
              <w:bottom w:val="single" w:sz="4" w:space="0" w:color="auto"/>
              <w:right w:val="single" w:sz="4" w:space="0" w:color="auto"/>
            </w:tcBorders>
          </w:tcPr>
          <w:p w:rsidR="00D30E34" w:rsidRPr="00D30E34" w:rsidRDefault="00D30E34" w:rsidP="00D30E34">
            <w:pPr>
              <w:jc w:val="center"/>
              <w:outlineLvl w:val="1"/>
              <w:rPr>
                <w:rFonts w:eastAsia="Calibri" w:cs="Arial"/>
                <w:b/>
              </w:rPr>
            </w:pPr>
            <w:r w:rsidRPr="00D30E34">
              <w:rPr>
                <w:rFonts w:eastAsia="Calibri" w:cs="Arial"/>
                <w:b/>
              </w:rPr>
              <w:t>Experimental</w:t>
            </w:r>
          </w:p>
        </w:tc>
      </w:tr>
      <w:tr w:rsidR="00D30E34" w:rsidRPr="00D30E34" w:rsidTr="002B425C">
        <w:trPr>
          <w:jc w:val="center"/>
        </w:trPr>
        <w:tc>
          <w:tcPr>
            <w:tcW w:w="4176" w:type="dxa"/>
            <w:tcBorders>
              <w:top w:val="single" w:sz="4" w:space="0" w:color="auto"/>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color w:val="000000"/>
                <w:shd w:val="clear" w:color="auto" w:fill="FFFFFF"/>
              </w:rPr>
              <w:t>Number allocated to group</w:t>
            </w:r>
          </w:p>
        </w:tc>
        <w:tc>
          <w:tcPr>
            <w:tcW w:w="2343" w:type="dxa"/>
            <w:tcBorders>
              <w:top w:val="single" w:sz="4" w:space="0" w:color="auto"/>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25</w:t>
            </w:r>
          </w:p>
        </w:tc>
        <w:tc>
          <w:tcPr>
            <w:tcW w:w="2417" w:type="dxa"/>
            <w:tcBorders>
              <w:top w:val="single" w:sz="4" w:space="0" w:color="auto"/>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27</w:t>
            </w:r>
          </w:p>
        </w:tc>
      </w:tr>
      <w:tr w:rsidR="00D30E34" w:rsidRPr="00D30E34" w:rsidTr="002B425C">
        <w:trPr>
          <w:jc w:val="center"/>
        </w:trPr>
        <w:tc>
          <w:tcPr>
            <w:tcW w:w="4176" w:type="dxa"/>
            <w:tcBorders>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color w:val="000000"/>
                <w:shd w:val="clear" w:color="auto" w:fill="FFFFFF"/>
              </w:rPr>
              <w:t>Number completed the trial</w:t>
            </w:r>
          </w:p>
        </w:tc>
        <w:tc>
          <w:tcPr>
            <w:tcW w:w="2343" w:type="dxa"/>
            <w:tcBorders>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17 (0.68) [0.50, 0.86]</w:t>
            </w:r>
          </w:p>
        </w:tc>
        <w:tc>
          <w:tcPr>
            <w:tcW w:w="2417" w:type="dxa"/>
            <w:tcBorders>
              <w:left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21 (0.78) [0.62, 0.93]</w:t>
            </w:r>
          </w:p>
        </w:tc>
      </w:tr>
      <w:tr w:rsidR="00D30E34" w:rsidRPr="00D30E34" w:rsidTr="002B425C">
        <w:trPr>
          <w:jc w:val="center"/>
        </w:trPr>
        <w:tc>
          <w:tcPr>
            <w:tcW w:w="4176" w:type="dxa"/>
            <w:tcBorders>
              <w:left w:val="single" w:sz="4" w:space="0" w:color="auto"/>
              <w:bottom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color w:val="000000"/>
                <w:shd w:val="clear" w:color="auto" w:fill="FFFFFF"/>
              </w:rPr>
              <w:t xml:space="preserve">Number received at least 90% of prescribed doses </w:t>
            </w:r>
          </w:p>
        </w:tc>
        <w:tc>
          <w:tcPr>
            <w:tcW w:w="2343" w:type="dxa"/>
            <w:tcBorders>
              <w:left w:val="single" w:sz="4" w:space="0" w:color="auto"/>
              <w:bottom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19 (0.76) [0.59, 0.93]</w:t>
            </w:r>
          </w:p>
        </w:tc>
        <w:tc>
          <w:tcPr>
            <w:tcW w:w="2417" w:type="dxa"/>
            <w:tcBorders>
              <w:left w:val="single" w:sz="4" w:space="0" w:color="auto"/>
              <w:bottom w:val="single" w:sz="4" w:space="0" w:color="auto"/>
              <w:right w:val="single" w:sz="4" w:space="0" w:color="auto"/>
            </w:tcBorders>
          </w:tcPr>
          <w:p w:rsidR="00D30E34" w:rsidRPr="00D30E34" w:rsidRDefault="00D30E34" w:rsidP="00D30E34">
            <w:pPr>
              <w:outlineLvl w:val="1"/>
              <w:rPr>
                <w:rFonts w:eastAsia="Calibri" w:cs="Arial"/>
              </w:rPr>
            </w:pPr>
            <w:r w:rsidRPr="00D30E34">
              <w:rPr>
                <w:rFonts w:eastAsia="Calibri" w:cs="Arial"/>
              </w:rPr>
              <w:t>21 (0.78) [0.62, 0.93]</w:t>
            </w:r>
          </w:p>
        </w:tc>
      </w:tr>
    </w:tbl>
    <w:p w:rsidR="00D30E34" w:rsidRPr="00D30E34" w:rsidRDefault="00D30E34" w:rsidP="00D30E34">
      <w:pPr>
        <w:spacing w:line="360" w:lineRule="auto"/>
        <w:outlineLvl w:val="1"/>
        <w:rPr>
          <w:rFonts w:eastAsia="Calibri" w:cs="Arial"/>
        </w:rPr>
      </w:pPr>
    </w:p>
    <w:p w:rsidR="00D30E34" w:rsidRDefault="00D30E34" w:rsidP="00D30E34">
      <w:pPr>
        <w:spacing w:line="360" w:lineRule="auto"/>
        <w:outlineLvl w:val="1"/>
        <w:rPr>
          <w:rFonts w:eastAsia="Calibri" w:cs="Arial"/>
        </w:rPr>
      </w:pPr>
      <w:r w:rsidRPr="00D30E34">
        <w:rPr>
          <w:rFonts w:eastAsia="Calibri" w:cs="Arial"/>
        </w:rPr>
        <w:t>Costs and QALYs were calculated. In our analysis, the scenario using the weekly regimen has the largest net cost (</w:t>
      </w:r>
      <w:hyperlink w:anchor="_Table_37:_Cost-effectiveness" w:history="1">
        <w:r w:rsidRPr="00D30E34">
          <w:rPr>
            <w:rFonts w:eastAsia="Calibri" w:cs="Arial"/>
            <w:b/>
            <w:color w:val="000000"/>
          </w:rPr>
          <w:t>Table 35</w:t>
        </w:r>
      </w:hyperlink>
      <w:r w:rsidRPr="00D30E34">
        <w:rPr>
          <w:rFonts w:eastAsia="Calibri" w:cs="Arial"/>
        </w:rPr>
        <w:t xml:space="preserve">). However, the intervention was relatively more beneficial to health than the standard regimen, with a larger QALY gain. Whether the weekly regimen scenario would be considered cost-effective depends on the value of a QALY, represented by the WTP threshold. The weekly regimen would be considered more cost-effective than the standard regimen for a WTP of £30,000/QALY but not </w:t>
      </w:r>
      <w:r w:rsidRPr="00D30E34">
        <w:rPr>
          <w:rFonts w:eastAsia="Calibri" w:cs="Arial"/>
        </w:rPr>
        <w:lastRenderedPageBreak/>
        <w:t>for a WTP of £20,000/QALY (</w:t>
      </w:r>
      <w:hyperlink w:anchor="_Figure_12:_Cost-effectiveness" w:history="1">
        <w:r w:rsidRPr="00D30E34">
          <w:rPr>
            <w:rFonts w:eastAsia="Calibri" w:cs="Arial"/>
            <w:b/>
            <w:color w:val="000000"/>
          </w:rPr>
          <w:t>Figures 12</w:t>
        </w:r>
      </w:hyperlink>
      <w:r w:rsidRPr="00D30E34">
        <w:rPr>
          <w:rFonts w:eastAsia="Calibri" w:cs="Arial"/>
        </w:rPr>
        <w:t xml:space="preserve"> and </w:t>
      </w:r>
      <w:hyperlink w:anchor="_Figure_13:_Cost-effectiveness" w:history="1">
        <w:r w:rsidRPr="00D30E34">
          <w:rPr>
            <w:rFonts w:eastAsia="Calibri" w:cs="Arial"/>
            <w:b/>
            <w:color w:val="000000"/>
          </w:rPr>
          <w:t>13</w:t>
        </w:r>
      </w:hyperlink>
      <w:r w:rsidRPr="00D30E34">
        <w:rPr>
          <w:rFonts w:eastAsia="Calibri" w:cs="Arial"/>
        </w:rPr>
        <w:t>). We note, however, that that there is a large range of uncertainty in estimated incremental costs and QALYs.</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2"/>
        <w:rPr>
          <w:rFonts w:eastAsia="Calibri" w:cs="Arial"/>
          <w:b/>
        </w:rPr>
      </w:pPr>
      <w:bookmarkStart w:id="83" w:name="_Table_37:_Cost-effectiveness"/>
      <w:bookmarkStart w:id="84" w:name="_Toc518401750"/>
      <w:bookmarkEnd w:id="83"/>
      <w:r w:rsidRPr="00D30E34">
        <w:rPr>
          <w:rFonts w:eastAsia="Calibri" w:cs="Arial"/>
          <w:b/>
        </w:rPr>
        <w:t>Table 35: Cost-effectiveness analysis results of comparing weekly and standard LTBI treatment regimens in the LTBI screening programme</w:t>
      </w:r>
      <w:bookmarkEnd w:id="84"/>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9"/>
        <w:gridCol w:w="1275"/>
        <w:gridCol w:w="1165"/>
        <w:gridCol w:w="1559"/>
        <w:gridCol w:w="1321"/>
        <w:gridCol w:w="1617"/>
      </w:tblGrid>
      <w:tr w:rsidR="00D30E34" w:rsidRPr="00D30E34" w:rsidTr="00BF0CF6">
        <w:trPr>
          <w:jc w:val="center"/>
        </w:trPr>
        <w:tc>
          <w:tcPr>
            <w:tcW w:w="2609" w:type="dxa"/>
            <w:vMerge w:val="restart"/>
            <w:shd w:val="clear" w:color="auto" w:fill="auto"/>
          </w:tcPr>
          <w:p w:rsidR="00D30E34" w:rsidRPr="00D30E34" w:rsidRDefault="00D30E34" w:rsidP="00D30E34">
            <w:pPr>
              <w:outlineLvl w:val="1"/>
              <w:rPr>
                <w:rFonts w:eastAsia="Calibri" w:cs="Arial"/>
                <w:b/>
              </w:rPr>
            </w:pPr>
            <w:r w:rsidRPr="00D30E34">
              <w:rPr>
                <w:rFonts w:eastAsia="Calibri" w:cs="Arial"/>
                <w:b/>
              </w:rPr>
              <w:t>Scenario</w:t>
            </w:r>
          </w:p>
        </w:tc>
        <w:tc>
          <w:tcPr>
            <w:tcW w:w="1275" w:type="dxa"/>
            <w:vMerge w:val="restart"/>
            <w:shd w:val="clear" w:color="auto" w:fill="auto"/>
          </w:tcPr>
          <w:p w:rsidR="00D30E34" w:rsidRPr="00D30E34" w:rsidRDefault="00D30E34" w:rsidP="00D30E34">
            <w:pPr>
              <w:jc w:val="center"/>
              <w:outlineLvl w:val="1"/>
              <w:rPr>
                <w:rFonts w:eastAsia="Calibri" w:cs="Arial"/>
                <w:b/>
              </w:rPr>
            </w:pPr>
            <w:r w:rsidRPr="00D30E34">
              <w:rPr>
                <w:rFonts w:eastAsia="Calibri" w:cs="Arial"/>
                <w:b/>
              </w:rPr>
              <w:t>Cost</w:t>
            </w:r>
          </w:p>
          <w:p w:rsidR="00D30E34" w:rsidRPr="00D30E34" w:rsidRDefault="00D30E34" w:rsidP="00D30E34">
            <w:pPr>
              <w:jc w:val="center"/>
              <w:outlineLvl w:val="1"/>
              <w:rPr>
                <w:rFonts w:eastAsia="Calibri" w:cs="Arial"/>
                <w:b/>
              </w:rPr>
            </w:pPr>
            <w:r w:rsidRPr="00D30E34">
              <w:rPr>
                <w:rFonts w:eastAsia="Calibri" w:cs="Arial"/>
                <w:b/>
              </w:rPr>
              <w:t>(£)</w:t>
            </w:r>
          </w:p>
        </w:tc>
        <w:tc>
          <w:tcPr>
            <w:tcW w:w="1165" w:type="dxa"/>
            <w:vMerge w:val="restart"/>
            <w:shd w:val="clear" w:color="auto" w:fill="auto"/>
          </w:tcPr>
          <w:p w:rsidR="00D30E34" w:rsidRPr="00D30E34" w:rsidRDefault="00D30E34" w:rsidP="00D30E34">
            <w:pPr>
              <w:jc w:val="center"/>
              <w:outlineLvl w:val="1"/>
              <w:rPr>
                <w:rFonts w:eastAsia="Calibri" w:cs="Arial"/>
                <w:b/>
              </w:rPr>
            </w:pPr>
            <w:r w:rsidRPr="00D30E34">
              <w:rPr>
                <w:rFonts w:eastAsia="Calibri" w:cs="Arial"/>
                <w:b/>
              </w:rPr>
              <w:t>Total QALY gain</w:t>
            </w:r>
          </w:p>
          <w:p w:rsidR="00D30E34" w:rsidRPr="00D30E34" w:rsidRDefault="00D30E34" w:rsidP="00D30E34">
            <w:pPr>
              <w:jc w:val="center"/>
              <w:outlineLvl w:val="1"/>
              <w:rPr>
                <w:rFonts w:eastAsia="Calibri" w:cs="Arial"/>
                <w:b/>
              </w:rPr>
            </w:pPr>
          </w:p>
        </w:tc>
        <w:tc>
          <w:tcPr>
            <w:tcW w:w="4497" w:type="dxa"/>
            <w:gridSpan w:val="3"/>
            <w:shd w:val="clear" w:color="auto" w:fill="auto"/>
          </w:tcPr>
          <w:p w:rsidR="00D30E34" w:rsidRPr="00D30E34" w:rsidRDefault="00D30E34" w:rsidP="00D30E34">
            <w:pPr>
              <w:jc w:val="center"/>
              <w:outlineLvl w:val="1"/>
              <w:rPr>
                <w:rFonts w:eastAsia="Calibri" w:cs="Arial"/>
                <w:b/>
              </w:rPr>
            </w:pPr>
            <w:r w:rsidRPr="00D30E34">
              <w:rPr>
                <w:rFonts w:eastAsia="Calibri" w:cs="Arial"/>
                <w:b/>
              </w:rPr>
              <w:t>Compared with weekly</w:t>
            </w:r>
          </w:p>
        </w:tc>
      </w:tr>
      <w:tr w:rsidR="00D30E34" w:rsidRPr="00D30E34" w:rsidTr="00BF0CF6">
        <w:trPr>
          <w:jc w:val="center"/>
        </w:trPr>
        <w:tc>
          <w:tcPr>
            <w:tcW w:w="2609" w:type="dxa"/>
            <w:vMerge/>
            <w:shd w:val="clear" w:color="auto" w:fill="auto"/>
          </w:tcPr>
          <w:p w:rsidR="00D30E34" w:rsidRPr="00D30E34" w:rsidRDefault="00D30E34" w:rsidP="00D30E34">
            <w:pPr>
              <w:outlineLvl w:val="1"/>
              <w:rPr>
                <w:rFonts w:eastAsia="Calibri" w:cs="Arial"/>
                <w:b/>
              </w:rPr>
            </w:pPr>
          </w:p>
        </w:tc>
        <w:tc>
          <w:tcPr>
            <w:tcW w:w="1275" w:type="dxa"/>
            <w:vMerge/>
            <w:shd w:val="clear" w:color="auto" w:fill="auto"/>
          </w:tcPr>
          <w:p w:rsidR="00D30E34" w:rsidRPr="00D30E34" w:rsidRDefault="00D30E34" w:rsidP="00D30E34">
            <w:pPr>
              <w:outlineLvl w:val="1"/>
              <w:rPr>
                <w:rFonts w:eastAsia="Calibri" w:cs="Arial"/>
                <w:b/>
              </w:rPr>
            </w:pPr>
          </w:p>
        </w:tc>
        <w:tc>
          <w:tcPr>
            <w:tcW w:w="1165" w:type="dxa"/>
            <w:vMerge/>
            <w:shd w:val="clear" w:color="auto" w:fill="auto"/>
          </w:tcPr>
          <w:p w:rsidR="00D30E34" w:rsidRPr="00D30E34" w:rsidRDefault="00D30E34" w:rsidP="00D30E34">
            <w:pPr>
              <w:outlineLvl w:val="1"/>
              <w:rPr>
                <w:rFonts w:eastAsia="Calibri" w:cs="Arial"/>
                <w:b/>
              </w:rPr>
            </w:pPr>
          </w:p>
        </w:tc>
        <w:tc>
          <w:tcPr>
            <w:tcW w:w="1559" w:type="dxa"/>
            <w:shd w:val="clear" w:color="auto" w:fill="auto"/>
          </w:tcPr>
          <w:p w:rsidR="00D30E34" w:rsidRPr="00D30E34" w:rsidRDefault="00D30E34" w:rsidP="00D30E34">
            <w:pPr>
              <w:jc w:val="center"/>
              <w:outlineLvl w:val="1"/>
              <w:rPr>
                <w:rFonts w:eastAsia="Calibri" w:cs="Arial"/>
                <w:b/>
              </w:rPr>
            </w:pPr>
            <w:r w:rsidRPr="00D30E34">
              <w:rPr>
                <w:rFonts w:eastAsia="Calibri" w:cs="Arial"/>
                <w:b/>
              </w:rPr>
              <w:t>Incremental cost (£)</w:t>
            </w:r>
          </w:p>
        </w:tc>
        <w:tc>
          <w:tcPr>
            <w:tcW w:w="1321" w:type="dxa"/>
            <w:shd w:val="clear" w:color="auto" w:fill="auto"/>
          </w:tcPr>
          <w:p w:rsidR="00D30E34" w:rsidRPr="00D30E34" w:rsidRDefault="00D30E34" w:rsidP="00D30E34">
            <w:pPr>
              <w:jc w:val="center"/>
              <w:outlineLvl w:val="1"/>
              <w:rPr>
                <w:rFonts w:eastAsia="Calibri" w:cs="Arial"/>
                <w:b/>
              </w:rPr>
            </w:pPr>
            <w:r w:rsidRPr="00D30E34">
              <w:rPr>
                <w:rFonts w:eastAsia="Calibri" w:cs="Arial"/>
                <w:b/>
              </w:rPr>
              <w:t>Incremental QALYs</w:t>
            </w:r>
          </w:p>
        </w:tc>
        <w:tc>
          <w:tcPr>
            <w:tcW w:w="1617" w:type="dxa"/>
            <w:shd w:val="clear" w:color="auto" w:fill="auto"/>
          </w:tcPr>
          <w:p w:rsidR="00D30E34" w:rsidRPr="00D30E34" w:rsidRDefault="00D30E34" w:rsidP="00D30E34">
            <w:pPr>
              <w:jc w:val="center"/>
              <w:outlineLvl w:val="1"/>
              <w:rPr>
                <w:rFonts w:eastAsia="Calibri" w:cs="Arial"/>
                <w:b/>
              </w:rPr>
            </w:pPr>
            <w:r w:rsidRPr="00D30E34">
              <w:rPr>
                <w:rFonts w:eastAsia="Calibri" w:cs="Arial"/>
                <w:b/>
              </w:rPr>
              <w:t>ICER (£/QALY)</w:t>
            </w:r>
          </w:p>
        </w:tc>
      </w:tr>
      <w:tr w:rsidR="00D30E34" w:rsidRPr="00D30E34" w:rsidTr="00BF0CF6">
        <w:trPr>
          <w:jc w:val="center"/>
        </w:trPr>
        <w:tc>
          <w:tcPr>
            <w:tcW w:w="2609" w:type="dxa"/>
            <w:shd w:val="clear" w:color="auto" w:fill="auto"/>
          </w:tcPr>
          <w:p w:rsidR="00D30E34" w:rsidRPr="00D30E34" w:rsidRDefault="00D30E34" w:rsidP="00D30E34">
            <w:pPr>
              <w:outlineLvl w:val="1"/>
              <w:rPr>
                <w:rFonts w:eastAsia="Calibri" w:cs="Arial"/>
              </w:rPr>
            </w:pPr>
            <w:r w:rsidRPr="00D30E34">
              <w:rPr>
                <w:rFonts w:eastAsia="Calibri" w:cs="Arial"/>
              </w:rPr>
              <w:t>Standard regimen</w:t>
            </w:r>
          </w:p>
        </w:tc>
        <w:tc>
          <w:tcPr>
            <w:tcW w:w="1275" w:type="dxa"/>
            <w:shd w:val="clear" w:color="auto" w:fill="auto"/>
            <w:vAlign w:val="bottom"/>
          </w:tcPr>
          <w:p w:rsidR="00D30E34" w:rsidRPr="00D30E34" w:rsidRDefault="00D30E34" w:rsidP="00D30E34">
            <w:pPr>
              <w:jc w:val="center"/>
              <w:outlineLvl w:val="1"/>
              <w:rPr>
                <w:rFonts w:eastAsia="Calibri" w:cs="Arial"/>
              </w:rPr>
            </w:pPr>
            <w:r w:rsidRPr="00D30E34">
              <w:rPr>
                <w:rFonts w:eastAsia="Calibri" w:cs="Arial"/>
              </w:rPr>
              <w:t>33.05</w:t>
            </w:r>
          </w:p>
        </w:tc>
        <w:tc>
          <w:tcPr>
            <w:tcW w:w="1165" w:type="dxa"/>
            <w:shd w:val="clear" w:color="auto" w:fill="auto"/>
            <w:vAlign w:val="bottom"/>
          </w:tcPr>
          <w:p w:rsidR="00D30E34" w:rsidRPr="00D30E34" w:rsidRDefault="00D30E34" w:rsidP="00D30E34">
            <w:pPr>
              <w:jc w:val="center"/>
              <w:outlineLvl w:val="1"/>
              <w:rPr>
                <w:rFonts w:eastAsia="Calibri" w:cs="Arial"/>
              </w:rPr>
            </w:pPr>
            <w:r w:rsidRPr="00D30E34">
              <w:rPr>
                <w:rFonts w:eastAsia="Calibri" w:cs="Arial"/>
              </w:rPr>
              <w:t>8.65x10</w:t>
            </w:r>
            <w:r w:rsidRPr="00D30E34">
              <w:rPr>
                <w:rFonts w:eastAsia="Calibri" w:cs="Arial"/>
                <w:vertAlign w:val="superscript"/>
              </w:rPr>
              <w:t>-4</w:t>
            </w:r>
          </w:p>
        </w:tc>
        <w:tc>
          <w:tcPr>
            <w:tcW w:w="1559" w:type="dxa"/>
            <w:shd w:val="clear" w:color="auto" w:fill="auto"/>
          </w:tcPr>
          <w:p w:rsidR="00D30E34" w:rsidRPr="00D30E34" w:rsidRDefault="00D30E34" w:rsidP="00D30E34">
            <w:pPr>
              <w:jc w:val="center"/>
              <w:outlineLvl w:val="1"/>
              <w:rPr>
                <w:rFonts w:eastAsia="Calibri" w:cs="Arial"/>
              </w:rPr>
            </w:pPr>
            <w:r w:rsidRPr="00D30E34">
              <w:rPr>
                <w:rFonts w:eastAsia="Calibri" w:cs="Arial"/>
              </w:rPr>
              <w:t>-</w:t>
            </w:r>
          </w:p>
        </w:tc>
        <w:tc>
          <w:tcPr>
            <w:tcW w:w="1321" w:type="dxa"/>
            <w:shd w:val="clear" w:color="auto" w:fill="auto"/>
          </w:tcPr>
          <w:p w:rsidR="00D30E34" w:rsidRPr="00D30E34" w:rsidRDefault="00D30E34" w:rsidP="00D30E34">
            <w:pPr>
              <w:jc w:val="center"/>
              <w:outlineLvl w:val="1"/>
              <w:rPr>
                <w:rFonts w:eastAsia="Calibri" w:cs="Arial"/>
              </w:rPr>
            </w:pPr>
            <w:r w:rsidRPr="00D30E34">
              <w:rPr>
                <w:rFonts w:eastAsia="Calibri" w:cs="Arial"/>
              </w:rPr>
              <w:t>-</w:t>
            </w:r>
          </w:p>
        </w:tc>
        <w:tc>
          <w:tcPr>
            <w:tcW w:w="1617" w:type="dxa"/>
            <w:shd w:val="clear" w:color="auto" w:fill="auto"/>
          </w:tcPr>
          <w:p w:rsidR="00D30E34" w:rsidRPr="00D30E34" w:rsidRDefault="00D30E34" w:rsidP="00D30E34">
            <w:pPr>
              <w:jc w:val="center"/>
              <w:outlineLvl w:val="1"/>
              <w:rPr>
                <w:rFonts w:eastAsia="Calibri" w:cs="Arial"/>
              </w:rPr>
            </w:pPr>
            <w:r w:rsidRPr="00D30E34">
              <w:rPr>
                <w:rFonts w:eastAsia="Calibri" w:cs="Arial"/>
              </w:rPr>
              <w:t>-</w:t>
            </w:r>
          </w:p>
        </w:tc>
      </w:tr>
      <w:tr w:rsidR="00D30E34" w:rsidRPr="00D30E34" w:rsidTr="00BF0CF6">
        <w:trPr>
          <w:jc w:val="center"/>
        </w:trPr>
        <w:tc>
          <w:tcPr>
            <w:tcW w:w="2609" w:type="dxa"/>
            <w:shd w:val="clear" w:color="auto" w:fill="auto"/>
            <w:vAlign w:val="center"/>
          </w:tcPr>
          <w:p w:rsidR="00D30E34" w:rsidRPr="00D30E34" w:rsidRDefault="00D30E34" w:rsidP="00D30E34">
            <w:pPr>
              <w:outlineLvl w:val="1"/>
              <w:rPr>
                <w:rFonts w:eastAsia="Calibri" w:cs="Arial"/>
              </w:rPr>
            </w:pPr>
            <w:r w:rsidRPr="00D30E34">
              <w:rPr>
                <w:rFonts w:eastAsia="Calibri" w:cs="Arial"/>
              </w:rPr>
              <w:t>Weekly regimen</w:t>
            </w:r>
          </w:p>
        </w:tc>
        <w:tc>
          <w:tcPr>
            <w:tcW w:w="1275" w:type="dxa"/>
            <w:shd w:val="clear" w:color="auto" w:fill="auto"/>
            <w:vAlign w:val="center"/>
          </w:tcPr>
          <w:p w:rsidR="00D30E34" w:rsidRPr="00D30E34" w:rsidRDefault="00D30E34" w:rsidP="00D30E34">
            <w:pPr>
              <w:spacing w:line="360" w:lineRule="auto"/>
              <w:jc w:val="center"/>
              <w:outlineLvl w:val="1"/>
              <w:rPr>
                <w:rFonts w:eastAsia="Calibri" w:cs="Arial"/>
              </w:rPr>
            </w:pPr>
            <w:r w:rsidRPr="00D30E34">
              <w:rPr>
                <w:rFonts w:eastAsia="Calibri" w:cs="Arial"/>
              </w:rPr>
              <w:t>36.31</w:t>
            </w:r>
          </w:p>
        </w:tc>
        <w:tc>
          <w:tcPr>
            <w:tcW w:w="1165" w:type="dxa"/>
            <w:shd w:val="clear" w:color="auto" w:fill="auto"/>
            <w:vAlign w:val="center"/>
          </w:tcPr>
          <w:p w:rsidR="00D30E34" w:rsidRPr="00D30E34" w:rsidRDefault="00D30E34" w:rsidP="00D30E34">
            <w:pPr>
              <w:spacing w:line="360" w:lineRule="auto"/>
              <w:jc w:val="center"/>
              <w:outlineLvl w:val="1"/>
              <w:rPr>
                <w:rFonts w:eastAsia="Calibri" w:cs="Arial"/>
              </w:rPr>
            </w:pPr>
            <w:r w:rsidRPr="00D30E34">
              <w:rPr>
                <w:rFonts w:eastAsia="Calibri" w:cs="Arial"/>
              </w:rPr>
              <w:t>9.94 x10</w:t>
            </w:r>
            <w:r w:rsidRPr="00D30E34">
              <w:rPr>
                <w:rFonts w:eastAsia="Calibri" w:cs="Arial"/>
                <w:vertAlign w:val="superscript"/>
              </w:rPr>
              <w:t>-4</w:t>
            </w:r>
          </w:p>
        </w:tc>
        <w:tc>
          <w:tcPr>
            <w:tcW w:w="1559" w:type="dxa"/>
            <w:shd w:val="clear" w:color="auto" w:fill="auto"/>
            <w:vAlign w:val="center"/>
          </w:tcPr>
          <w:p w:rsidR="00D30E34" w:rsidRPr="00D30E34" w:rsidRDefault="00D30E34" w:rsidP="00D30E34">
            <w:pPr>
              <w:spacing w:line="360" w:lineRule="auto"/>
              <w:jc w:val="center"/>
              <w:outlineLvl w:val="1"/>
              <w:rPr>
                <w:rFonts w:eastAsia="Calibri" w:cs="Arial"/>
              </w:rPr>
            </w:pPr>
            <w:r w:rsidRPr="00D30E34">
              <w:rPr>
                <w:rFonts w:eastAsia="Calibri" w:cs="Arial"/>
              </w:rPr>
              <w:t>3.26</w:t>
            </w:r>
          </w:p>
        </w:tc>
        <w:tc>
          <w:tcPr>
            <w:tcW w:w="1321" w:type="dxa"/>
            <w:shd w:val="clear" w:color="auto" w:fill="auto"/>
            <w:vAlign w:val="center"/>
          </w:tcPr>
          <w:p w:rsidR="00D30E34" w:rsidRPr="00D30E34" w:rsidRDefault="00D30E34" w:rsidP="00D30E34">
            <w:pPr>
              <w:spacing w:line="360" w:lineRule="auto"/>
              <w:jc w:val="center"/>
              <w:outlineLvl w:val="1"/>
              <w:rPr>
                <w:rFonts w:eastAsia="Calibri" w:cs="Arial"/>
              </w:rPr>
            </w:pPr>
            <w:r w:rsidRPr="00D30E34">
              <w:rPr>
                <w:rFonts w:eastAsia="Calibri" w:cs="Arial"/>
              </w:rPr>
              <w:t>1.29 x10</w:t>
            </w:r>
            <w:r w:rsidRPr="00D30E34">
              <w:rPr>
                <w:rFonts w:eastAsia="Calibri" w:cs="Arial"/>
                <w:vertAlign w:val="superscript"/>
              </w:rPr>
              <w:t>-4</w:t>
            </w:r>
          </w:p>
        </w:tc>
        <w:tc>
          <w:tcPr>
            <w:tcW w:w="1617" w:type="dxa"/>
            <w:shd w:val="clear" w:color="auto" w:fill="auto"/>
            <w:vAlign w:val="center"/>
          </w:tcPr>
          <w:p w:rsidR="00D30E34" w:rsidRPr="00D30E34" w:rsidRDefault="00D30E34" w:rsidP="00D30E34">
            <w:pPr>
              <w:spacing w:line="360" w:lineRule="auto"/>
              <w:jc w:val="center"/>
              <w:outlineLvl w:val="1"/>
              <w:rPr>
                <w:rFonts w:eastAsia="Calibri" w:cs="Arial"/>
              </w:rPr>
            </w:pPr>
            <w:r w:rsidRPr="00D30E34">
              <w:rPr>
                <w:rFonts w:eastAsia="Calibri" w:cs="Arial"/>
              </w:rPr>
              <w:t>25,184.27</w:t>
            </w:r>
          </w:p>
        </w:tc>
      </w:tr>
    </w:tbl>
    <w:p w:rsidR="00D30E34" w:rsidRPr="00D30E34" w:rsidRDefault="00D30E34" w:rsidP="00D30E34">
      <w:pPr>
        <w:spacing w:line="360" w:lineRule="auto"/>
        <w:outlineLvl w:val="1"/>
        <w:rPr>
          <w:rFonts w:eastAsia="Calibri" w:cs="Arial"/>
        </w:rPr>
      </w:pPr>
    </w:p>
    <w:p w:rsidR="00BF0CF6" w:rsidRDefault="00BF0CF6" w:rsidP="00D30E34">
      <w:pPr>
        <w:spacing w:line="360" w:lineRule="auto"/>
        <w:outlineLvl w:val="2"/>
        <w:rPr>
          <w:rFonts w:eastAsia="Calibri" w:cs="Arial"/>
          <w:b/>
        </w:rPr>
      </w:pPr>
      <w:bookmarkStart w:id="85" w:name="_Figure_12:_Cost-effectiveness"/>
      <w:bookmarkStart w:id="86" w:name="_Ref482604410"/>
      <w:bookmarkStart w:id="87" w:name="_Toc518401751"/>
      <w:bookmarkEnd w:id="85"/>
    </w:p>
    <w:p w:rsidR="00D30E34" w:rsidRPr="00D30E34" w:rsidRDefault="00D30E34" w:rsidP="00D30E34">
      <w:pPr>
        <w:spacing w:line="360" w:lineRule="auto"/>
        <w:outlineLvl w:val="2"/>
        <w:rPr>
          <w:rFonts w:eastAsia="Calibri" w:cs="Arial"/>
          <w:b/>
        </w:rPr>
      </w:pPr>
      <w:r w:rsidRPr="00D30E34">
        <w:rPr>
          <w:rFonts w:eastAsia="Calibri" w:cs="Arial"/>
          <w:b/>
        </w:rPr>
        <w:t>Figure</w:t>
      </w:r>
      <w:bookmarkEnd w:id="86"/>
      <w:r w:rsidRPr="00D30E34">
        <w:rPr>
          <w:rFonts w:eastAsia="Calibri" w:cs="Arial"/>
          <w:b/>
        </w:rPr>
        <w:t xml:space="preserve"> 12: Cost-effectiveness plane for a LTBI screening programme, comparing current practice of a standard regimen with a weekly regimen.</w:t>
      </w:r>
      <w:bookmarkEnd w:id="87"/>
    </w:p>
    <w:p w:rsidR="00D30E34" w:rsidRDefault="00D30E34" w:rsidP="00D30E34">
      <w:pPr>
        <w:widowControl w:val="0"/>
        <w:tabs>
          <w:tab w:val="left" w:pos="2595"/>
        </w:tabs>
        <w:outlineLvl w:val="1"/>
        <w:rPr>
          <w:rFonts w:eastAsia="Calibri" w:cs="Arial"/>
        </w:rPr>
      </w:pPr>
      <w:r w:rsidRPr="00D30E34">
        <w:rPr>
          <w:rFonts w:eastAsia="Calibri" w:cs="Arial"/>
        </w:rPr>
        <w:t>The points show incremental costs and incremental QALYs from individual model realisations. The larger red point shows the overall mean value. Diagonal lines show the cost-effectiveness thresholds if a QALY is valued at £30,000 (thin line) or £20,000 (bold line).</w:t>
      </w:r>
    </w:p>
    <w:p w:rsidR="00BF0CF6" w:rsidRPr="00D30E34" w:rsidRDefault="00BF0CF6" w:rsidP="00D30E34">
      <w:pPr>
        <w:widowControl w:val="0"/>
        <w:tabs>
          <w:tab w:val="left" w:pos="2595"/>
        </w:tabs>
        <w:outlineLvl w:val="1"/>
        <w:rPr>
          <w:rFonts w:eastAsia="Calibri" w:cs="Arial"/>
        </w:rPr>
      </w:pPr>
    </w:p>
    <w:p w:rsidR="00D30E34" w:rsidRPr="00D30E34" w:rsidRDefault="00D30E34" w:rsidP="00D30E34">
      <w:pPr>
        <w:spacing w:line="360" w:lineRule="auto"/>
        <w:jc w:val="center"/>
        <w:outlineLvl w:val="1"/>
        <w:rPr>
          <w:rFonts w:eastAsia="Calibri" w:cs="Arial"/>
        </w:rPr>
      </w:pPr>
      <w:r w:rsidRPr="00D30E34">
        <w:rPr>
          <w:rFonts w:eastAsia="Calibri" w:cs="Arial"/>
          <w:noProof/>
          <w:lang w:eastAsia="en-GB"/>
        </w:rPr>
        <w:drawing>
          <wp:inline distT="0" distB="0" distL="0" distR="0" wp14:anchorId="69F5B443" wp14:editId="121164A8">
            <wp:extent cx="4657725" cy="4343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4403"/>
                    <a:stretch/>
                  </pic:blipFill>
                  <pic:spPr bwMode="auto">
                    <a:xfrm>
                      <a:off x="0" y="0"/>
                      <a:ext cx="4657143" cy="4342857"/>
                    </a:xfrm>
                    <a:prstGeom prst="rect">
                      <a:avLst/>
                    </a:prstGeom>
                    <a:ln>
                      <a:noFill/>
                    </a:ln>
                    <a:extLst>
                      <a:ext uri="{53640926-AAD7-44D8-BBD7-CCE9431645EC}">
                        <a14:shadowObscured xmlns:a14="http://schemas.microsoft.com/office/drawing/2010/main"/>
                      </a:ext>
                    </a:extLst>
                  </pic:spPr>
                </pic:pic>
              </a:graphicData>
            </a:graphic>
          </wp:inline>
        </w:drawing>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noProof/>
          <w:lang w:eastAsia="en-GB"/>
        </w:rPr>
      </w:pPr>
    </w:p>
    <w:p w:rsidR="00D30E34" w:rsidRPr="00D30E34" w:rsidRDefault="00D30E34" w:rsidP="00D30E34">
      <w:pPr>
        <w:spacing w:line="360" w:lineRule="auto"/>
        <w:outlineLvl w:val="1"/>
        <w:rPr>
          <w:rFonts w:eastAsia="Calibri" w:cs="Arial"/>
          <w:noProof/>
          <w:lang w:eastAsia="en-GB"/>
        </w:rPr>
      </w:pPr>
    </w:p>
    <w:p w:rsidR="00D30E34" w:rsidRPr="00D30E34" w:rsidRDefault="00D30E34" w:rsidP="00D30E34">
      <w:pPr>
        <w:spacing w:after="160" w:line="259" w:lineRule="auto"/>
        <w:rPr>
          <w:rFonts w:eastAsia="Calibri" w:cs="Arial"/>
          <w:b/>
        </w:rPr>
      </w:pPr>
      <w:bookmarkStart w:id="88" w:name="_Ref482604533"/>
      <w:r w:rsidRPr="00D30E34">
        <w:rPr>
          <w:rFonts w:eastAsia="Calibri" w:cs="Arial"/>
        </w:rPr>
        <w:br w:type="page"/>
      </w:r>
    </w:p>
    <w:p w:rsidR="00D30E34" w:rsidRPr="00D30E34" w:rsidRDefault="00D30E34" w:rsidP="00D30E34">
      <w:pPr>
        <w:spacing w:line="360" w:lineRule="auto"/>
        <w:outlineLvl w:val="2"/>
        <w:rPr>
          <w:rFonts w:eastAsia="Calibri" w:cs="Arial"/>
          <w:b/>
        </w:rPr>
      </w:pPr>
      <w:bookmarkStart w:id="89" w:name="_Figure_13:_Cost-effectiveness"/>
      <w:bookmarkStart w:id="90" w:name="_Toc518401752"/>
      <w:bookmarkEnd w:id="89"/>
      <w:r w:rsidRPr="00D30E34">
        <w:rPr>
          <w:rFonts w:eastAsia="Calibri" w:cs="Arial"/>
          <w:b/>
        </w:rPr>
        <w:lastRenderedPageBreak/>
        <w:t xml:space="preserve">Figure </w:t>
      </w:r>
      <w:bookmarkEnd w:id="88"/>
      <w:r w:rsidRPr="00D30E34">
        <w:rPr>
          <w:rFonts w:eastAsia="Calibri" w:cs="Arial"/>
          <w:b/>
        </w:rPr>
        <w:t>13: Cost-effectiveness acceptability curve for a LTBI screening programme, comparing current practice of a standard regimen with a weekly regimen.</w:t>
      </w:r>
      <w:bookmarkEnd w:id="90"/>
    </w:p>
    <w:p w:rsidR="00D30E34" w:rsidRPr="00D30E34" w:rsidRDefault="00D30E34" w:rsidP="00D30E34">
      <w:pPr>
        <w:widowControl w:val="0"/>
        <w:tabs>
          <w:tab w:val="left" w:pos="2595"/>
        </w:tabs>
        <w:outlineLvl w:val="1"/>
        <w:rPr>
          <w:rFonts w:eastAsia="Calibri" w:cs="Arial"/>
        </w:rPr>
      </w:pPr>
      <w:r w:rsidRPr="00D30E34">
        <w:rPr>
          <w:rFonts w:eastAsia="Calibri" w:cs="Arial"/>
        </w:rPr>
        <w:t>Vertical lines show the cost-effectiveness thresholds if a QALY is valued at £30,000 (thin line) or £20,000 (bold line). The horizontal dashed line indicates no preference between regimens.</w:t>
      </w:r>
    </w:p>
    <w:p w:rsidR="00D30E34" w:rsidRPr="00D30E34" w:rsidRDefault="00D30E34" w:rsidP="00D30E34">
      <w:pPr>
        <w:spacing w:line="360" w:lineRule="auto"/>
        <w:jc w:val="center"/>
        <w:outlineLvl w:val="1"/>
        <w:rPr>
          <w:rFonts w:eastAsia="Calibri" w:cs="Arial"/>
        </w:rPr>
      </w:pPr>
      <w:r w:rsidRPr="00D30E34">
        <w:rPr>
          <w:rFonts w:eastAsia="Calibri" w:cs="Arial"/>
          <w:noProof/>
          <w:lang w:eastAsia="en-GB"/>
        </w:rPr>
        <w:drawing>
          <wp:inline distT="0" distB="0" distL="0" distR="0" wp14:anchorId="404F2D3D" wp14:editId="38875D72">
            <wp:extent cx="4115298" cy="3629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113931" cy="3627819"/>
                    </a:xfrm>
                    <a:prstGeom prst="rect">
                      <a:avLst/>
                    </a:prstGeom>
                  </pic:spPr>
                </pic:pic>
              </a:graphicData>
            </a:graphic>
          </wp:inline>
        </w:drawing>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p>
    <w:p w:rsidR="00D30E34" w:rsidRPr="00455BAD" w:rsidRDefault="00D30E34" w:rsidP="00D30E34">
      <w:pPr>
        <w:widowControl w:val="0"/>
        <w:spacing w:line="360" w:lineRule="auto"/>
        <w:outlineLvl w:val="0"/>
        <w:rPr>
          <w:rFonts w:asciiTheme="majorHAnsi" w:eastAsia="Calibri" w:hAnsiTheme="majorHAnsi" w:cstheme="majorHAnsi"/>
          <w:b/>
          <w:caps/>
          <w:sz w:val="28"/>
          <w:szCs w:val="28"/>
        </w:rPr>
      </w:pPr>
      <w:bookmarkStart w:id="91" w:name="_Toc518401753"/>
      <w:r w:rsidRPr="00455BAD">
        <w:rPr>
          <w:rFonts w:asciiTheme="majorHAnsi" w:eastAsia="Calibri" w:hAnsiTheme="majorHAnsi" w:cstheme="majorHAnsi"/>
          <w:b/>
          <w:caps/>
          <w:sz w:val="28"/>
          <w:szCs w:val="28"/>
        </w:rPr>
        <w:t>Discussion</w:t>
      </w:r>
      <w:bookmarkEnd w:id="91"/>
    </w:p>
    <w:p w:rsidR="00D30E34" w:rsidRPr="00D30E34" w:rsidRDefault="00D30E34" w:rsidP="00D30E34">
      <w:pPr>
        <w:widowControl w:val="0"/>
        <w:spacing w:line="360" w:lineRule="auto"/>
        <w:outlineLvl w:val="1"/>
        <w:rPr>
          <w:rFonts w:eastAsia="Calibri" w:cs="Arial"/>
          <w:b/>
          <w:sz w:val="24"/>
          <w:szCs w:val="24"/>
        </w:rPr>
      </w:pPr>
      <w:bookmarkStart w:id="92" w:name="_Toc518401754"/>
      <w:r w:rsidRPr="00D30E34">
        <w:rPr>
          <w:rFonts w:eastAsia="Calibri" w:cs="Arial"/>
          <w:b/>
          <w:sz w:val="24"/>
          <w:szCs w:val="24"/>
        </w:rPr>
        <w:t>Summary of findings</w:t>
      </w:r>
      <w:bookmarkEnd w:id="92"/>
    </w:p>
    <w:p w:rsidR="00D30E34" w:rsidRPr="00D30E34" w:rsidRDefault="00D30E34" w:rsidP="00D30E34">
      <w:pPr>
        <w:spacing w:line="360" w:lineRule="auto"/>
        <w:outlineLvl w:val="1"/>
        <w:rPr>
          <w:rFonts w:eastAsia="Calibri" w:cs="Arial"/>
        </w:rPr>
      </w:pPr>
      <w:r w:rsidRPr="00D30E34">
        <w:rPr>
          <w:rFonts w:eastAsia="Calibri" w:cs="Arial"/>
        </w:rPr>
        <w:t xml:space="preserve">After recruiting 52 participants we can conclude that it is feasible to undertake a fully powered trial to assess whether adherence can be enhanced by using a 12 dose weekly rifapentine regimen versus a UK standard of care. There were no major differences in AEs between the two arms of the trial </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Based on the observed levels of adherence, economic modelling suggests that if a fully powered trial were undertaken to detect a similar effect, this intervention will be cost-effective.</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93" w:name="_Toc518401755"/>
      <w:r w:rsidRPr="00D30E34">
        <w:rPr>
          <w:rFonts w:eastAsia="Calibri" w:cs="Arial"/>
          <w:b/>
          <w:sz w:val="24"/>
          <w:szCs w:val="24"/>
        </w:rPr>
        <w:t>Strengths and limitations</w:t>
      </w:r>
      <w:bookmarkEnd w:id="93"/>
    </w:p>
    <w:p w:rsidR="00D30E34" w:rsidRPr="00D30E34" w:rsidRDefault="00D30E34" w:rsidP="00D30E34">
      <w:pPr>
        <w:spacing w:line="360" w:lineRule="auto"/>
        <w:outlineLvl w:val="1"/>
        <w:rPr>
          <w:rFonts w:eastAsia="Calibri" w:cs="Arial"/>
        </w:rPr>
      </w:pPr>
      <w:r w:rsidRPr="00D30E34">
        <w:rPr>
          <w:rFonts w:eastAsia="Calibri" w:cs="Arial"/>
        </w:rPr>
        <w:t>This is the first UK based adherence studies assessing whether the weekly 12 dose rifapentine regimen will improve adherence. The small pilot size of the trial means that we were unable to assess the efficacy of the experimental weekly regimen. Nevertheless, we have demonstrated the feasibility of undertaking a full trial, which will form the basis of funding application. The study has identified the challenges of recruiting participants in one centre, while in the second centre it was relatively easy to recruit participants. We have also identified the list of inclusion and exclusion criteria that will support the design of the future trial, and ensure that the results are relevant to the NHS patients.</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94" w:name="_Toc518401756"/>
      <w:r w:rsidRPr="00D30E34">
        <w:rPr>
          <w:rFonts w:eastAsia="Calibri" w:cs="Arial"/>
          <w:b/>
          <w:sz w:val="24"/>
          <w:szCs w:val="24"/>
        </w:rPr>
        <w:lastRenderedPageBreak/>
        <w:t>Comparison with other studies</w:t>
      </w:r>
      <w:bookmarkEnd w:id="94"/>
    </w:p>
    <w:p w:rsidR="00D30E34" w:rsidRPr="00D30E34" w:rsidRDefault="00D30E34" w:rsidP="00D30E34">
      <w:pPr>
        <w:spacing w:line="360" w:lineRule="auto"/>
        <w:outlineLvl w:val="1"/>
        <w:rPr>
          <w:rFonts w:eastAsia="Calibri" w:cs="Arial"/>
        </w:rPr>
      </w:pPr>
      <w:r w:rsidRPr="00D30E34">
        <w:rPr>
          <w:rFonts w:eastAsia="Calibri" w:cs="Arial"/>
        </w:rPr>
        <w:t xml:space="preserve">There are no UK studies to compare to and, internationally, in countries with similar health systems to the UK, there is also paucity of data. Research from the US and other countries suggest that the new regimen is associated with good adherence (Study 33a). </w:t>
      </w:r>
    </w:p>
    <w:p w:rsidR="00D30E34" w:rsidRPr="00D30E34" w:rsidRDefault="00D30E34" w:rsidP="00D30E34">
      <w:pPr>
        <w:spacing w:line="360" w:lineRule="auto"/>
        <w:outlineLvl w:val="1"/>
        <w:rPr>
          <w:rFonts w:eastAsia="Calibri" w:cs="Arial"/>
        </w:rPr>
      </w:pPr>
    </w:p>
    <w:p w:rsidR="00D30E34" w:rsidRPr="00D30E34" w:rsidRDefault="00D30E34" w:rsidP="00D30E34">
      <w:pPr>
        <w:widowControl w:val="0"/>
        <w:spacing w:line="360" w:lineRule="auto"/>
        <w:outlineLvl w:val="1"/>
        <w:rPr>
          <w:rFonts w:eastAsia="Calibri" w:cs="Arial"/>
          <w:b/>
          <w:sz w:val="24"/>
          <w:szCs w:val="24"/>
        </w:rPr>
      </w:pPr>
      <w:bookmarkStart w:id="95" w:name="_Toc518401757"/>
      <w:r w:rsidRPr="00D30E34">
        <w:rPr>
          <w:rFonts w:eastAsia="Calibri" w:cs="Arial"/>
          <w:b/>
          <w:sz w:val="24"/>
          <w:szCs w:val="24"/>
        </w:rPr>
        <w:t>Relevance to policy</w:t>
      </w:r>
      <w:bookmarkEnd w:id="95"/>
    </w:p>
    <w:p w:rsidR="00D30E34" w:rsidRPr="00D30E34" w:rsidRDefault="00D30E34" w:rsidP="00D30E34">
      <w:pPr>
        <w:spacing w:line="360" w:lineRule="auto"/>
        <w:jc w:val="both"/>
        <w:outlineLvl w:val="1"/>
        <w:rPr>
          <w:rFonts w:eastAsia="Calibri" w:cs="Arial"/>
        </w:rPr>
      </w:pPr>
      <w:r w:rsidRPr="00D30E34">
        <w:rPr>
          <w:rFonts w:eastAsia="Calibri" w:cs="Arial"/>
        </w:rPr>
        <w:t>Future research should evaluate the effectiveness of the 12 dose weekly rifapentine based regimen compared to daily rifampicin and INH for three months. Such research should consider including adherence support measures such as electronic reminders, dossett boxes and other patient support mechanisms. Importantly, the cost of the weekly regimen in the UK is not known, and the estimated drug cost used in this analysis was 59% more than the drug cost of the standard regimen; a lower cost would make the regimen more likely to be considered cost-effective. It is also possible that the requirement for weekly rather than daily dosing might increase the willingness of patients to accept LTBI screening and/or accept treatment after testing positive for LTBI. Both effects would contribute to increasing the effectiveness and cost-effectiveness of the LTBI screening programme. In addition, the pill burden for the weekly regimen is high, and any future change in formulation that decreases the number of pills will increase the ease with which patients can adhere this regimen.</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rPr>
      </w:pPr>
      <w:r w:rsidRPr="00D30E34">
        <w:rPr>
          <w:rFonts w:eastAsia="Calibri" w:cs="Arial"/>
        </w:rPr>
        <w:t>The national LTBI screening programme should evaluate whether additional simpler regimen may be useful within the migrant screening programme currently being implemented by PHE.</w:t>
      </w:r>
    </w:p>
    <w:p w:rsidR="00D30E34" w:rsidRPr="00D30E34" w:rsidRDefault="00D30E34" w:rsidP="00D30E34">
      <w:pPr>
        <w:spacing w:line="360" w:lineRule="auto"/>
        <w:outlineLvl w:val="1"/>
        <w:rPr>
          <w:rFonts w:eastAsia="Calibri" w:cs="Arial"/>
        </w:rPr>
      </w:pPr>
    </w:p>
    <w:p w:rsidR="00D30E34" w:rsidRPr="00D30E34" w:rsidRDefault="00D30E34" w:rsidP="00D30E34">
      <w:pPr>
        <w:spacing w:line="360" w:lineRule="auto"/>
        <w:outlineLvl w:val="1"/>
        <w:rPr>
          <w:rFonts w:eastAsia="Calibri" w:cs="Arial"/>
          <w:b/>
          <w:sz w:val="24"/>
          <w:szCs w:val="24"/>
        </w:rPr>
      </w:pPr>
      <w:bookmarkStart w:id="96" w:name="_Toc518401758"/>
      <w:r w:rsidRPr="00D30E34">
        <w:rPr>
          <w:rFonts w:eastAsia="Calibri" w:cs="Arial"/>
          <w:b/>
          <w:sz w:val="24"/>
          <w:szCs w:val="24"/>
        </w:rPr>
        <w:t>Conclusion</w:t>
      </w:r>
      <w:bookmarkEnd w:id="96"/>
    </w:p>
    <w:p w:rsidR="00D30E34" w:rsidRPr="00D30E34" w:rsidRDefault="00D30E34" w:rsidP="00D30E34">
      <w:pPr>
        <w:spacing w:line="360" w:lineRule="auto"/>
        <w:outlineLvl w:val="1"/>
        <w:rPr>
          <w:rFonts w:eastAsia="Calibri" w:cs="Arial"/>
        </w:rPr>
      </w:pPr>
      <w:r w:rsidRPr="00D30E34">
        <w:rPr>
          <w:rFonts w:eastAsia="Calibri" w:cs="Arial"/>
        </w:rPr>
        <w:t>Our work demonstrates the feasibility of running a full RCT in the UK of a novel regimen for the treatment of LTBI that is likely to prove cost-effective.</w:t>
      </w:r>
    </w:p>
    <w:p w:rsidR="00040DCC" w:rsidRDefault="00040DCC">
      <w:pPr>
        <w:rPr>
          <w:rFonts w:ascii="Calibri" w:hAnsi="Calibri"/>
          <w:sz w:val="28"/>
          <w:szCs w:val="28"/>
        </w:rPr>
      </w:pPr>
      <w:r>
        <w:rPr>
          <w:rFonts w:ascii="Calibri" w:hAnsi="Calibri"/>
          <w:sz w:val="28"/>
          <w:szCs w:val="28"/>
        </w:rPr>
        <w:br w:type="page"/>
      </w:r>
    </w:p>
    <w:p w:rsidR="00790C9D" w:rsidRPr="00455BAD" w:rsidRDefault="00790C9D" w:rsidP="00FF3D7A">
      <w:pPr>
        <w:widowControl w:val="0"/>
        <w:spacing w:line="360" w:lineRule="auto"/>
        <w:outlineLvl w:val="1"/>
        <w:rPr>
          <w:rFonts w:asciiTheme="majorHAnsi" w:eastAsia="Calibri" w:hAnsiTheme="majorHAnsi" w:cstheme="majorHAnsi"/>
          <w:b/>
          <w:sz w:val="28"/>
          <w:szCs w:val="28"/>
        </w:rPr>
      </w:pPr>
      <w:bookmarkStart w:id="97" w:name="_Appendix_1-_Data"/>
      <w:bookmarkStart w:id="98" w:name="_Toc518401762"/>
      <w:bookmarkEnd w:id="97"/>
      <w:r w:rsidRPr="00455BAD">
        <w:rPr>
          <w:rFonts w:asciiTheme="majorHAnsi" w:eastAsia="Calibri" w:hAnsiTheme="majorHAnsi" w:cstheme="majorHAnsi"/>
          <w:b/>
          <w:sz w:val="28"/>
          <w:szCs w:val="28"/>
        </w:rPr>
        <w:lastRenderedPageBreak/>
        <w:t>Monitoring</w:t>
      </w:r>
    </w:p>
    <w:p w:rsidR="00790C9D" w:rsidRDefault="00790C9D" w:rsidP="00FF3D7A">
      <w:pPr>
        <w:widowControl w:val="0"/>
        <w:spacing w:line="360" w:lineRule="auto"/>
        <w:outlineLvl w:val="1"/>
        <w:rPr>
          <w:rFonts w:eastAsia="Calibri" w:cs="Arial"/>
          <w:b/>
          <w:sz w:val="24"/>
          <w:szCs w:val="24"/>
        </w:rPr>
      </w:pPr>
    </w:p>
    <w:p w:rsidR="00FF3D7A" w:rsidRPr="00FF3D7A" w:rsidRDefault="00FF3D7A" w:rsidP="00FF3D7A">
      <w:pPr>
        <w:widowControl w:val="0"/>
        <w:spacing w:line="360" w:lineRule="auto"/>
        <w:outlineLvl w:val="1"/>
        <w:rPr>
          <w:rFonts w:eastAsia="Calibri" w:cs="Arial"/>
          <w:b/>
          <w:sz w:val="24"/>
          <w:szCs w:val="24"/>
        </w:rPr>
      </w:pPr>
      <w:r w:rsidRPr="00FF3D7A">
        <w:rPr>
          <w:rFonts w:eastAsia="Calibri" w:cs="Arial"/>
          <w:b/>
          <w:sz w:val="24"/>
          <w:szCs w:val="24"/>
        </w:rPr>
        <w:t>Data Monitoring Committee and Trial Steering Committee</w:t>
      </w:r>
      <w:bookmarkEnd w:id="98"/>
    </w:p>
    <w:p w:rsidR="00FF3D7A" w:rsidRPr="00FF3D7A" w:rsidRDefault="00FF3D7A" w:rsidP="00FF3D7A">
      <w:pPr>
        <w:widowControl w:val="0"/>
        <w:spacing w:line="360" w:lineRule="auto"/>
        <w:outlineLvl w:val="2"/>
        <w:rPr>
          <w:rFonts w:eastAsia="Calibri" w:cs="Arial"/>
          <w:b/>
        </w:rPr>
      </w:pPr>
      <w:bookmarkStart w:id="99" w:name="_Toc518401763"/>
      <w:r w:rsidRPr="00FF3D7A">
        <w:rPr>
          <w:rFonts w:eastAsia="Calibri" w:cs="Arial"/>
          <w:b/>
        </w:rPr>
        <w:t>Purpose of the Data Monitoring Committee</w:t>
      </w:r>
      <w:bookmarkEnd w:id="99"/>
    </w:p>
    <w:p w:rsidR="00FF3D7A" w:rsidRPr="00FF3D7A" w:rsidRDefault="00FF3D7A" w:rsidP="00FF3D7A">
      <w:pPr>
        <w:widowControl w:val="0"/>
        <w:spacing w:line="360" w:lineRule="auto"/>
        <w:outlineLvl w:val="1"/>
        <w:rPr>
          <w:rFonts w:eastAsia="Calibri" w:cs="Arial"/>
        </w:rPr>
      </w:pPr>
      <w:r w:rsidRPr="00FF3D7A">
        <w:rPr>
          <w:rFonts w:eastAsia="Calibri" w:cs="Arial"/>
        </w:rPr>
        <w:t xml:space="preserve">At the commencement of the HALT study both a Data Monitoring Committee (DMC) and Trial Steering Committee (TSC) were formed. The DMC’s role was to safeguard the interests of trial participants, assess the safety and efficacy of the interventions during and for a defined period after the end of the trial, and also to monitor the overall conduct of the trial. It reviewed the results of the </w:t>
      </w:r>
      <w:hyperlink w:anchor="_Interim_analysis" w:history="1">
        <w:r w:rsidRPr="00FF3D7A">
          <w:rPr>
            <w:rFonts w:eastAsia="Calibri" w:cs="Arial"/>
            <w:b/>
          </w:rPr>
          <w:t>interim analysis</w:t>
        </w:r>
      </w:hyperlink>
      <w:r w:rsidRPr="00FF3D7A">
        <w:rPr>
          <w:rFonts w:eastAsia="Calibri" w:cs="Arial"/>
        </w:rPr>
        <w:t xml:space="preserve"> and reported on them to the TSC. The DMC could not make decisions about the trial, but rather could make recommendations to the TSC. The DMC was independent of, but reported to, the TSC. The DMC operated to a set of Terms of Reference.</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2"/>
        <w:rPr>
          <w:rFonts w:eastAsia="Calibri" w:cs="Arial"/>
          <w:b/>
        </w:rPr>
      </w:pPr>
      <w:bookmarkStart w:id="100" w:name="_Toc518401764"/>
      <w:r w:rsidRPr="00FF3D7A">
        <w:rPr>
          <w:rFonts w:eastAsia="Calibri" w:cs="Arial"/>
          <w:b/>
        </w:rPr>
        <w:t>Membership of the Data Monitoring Committee</w:t>
      </w:r>
      <w:bookmarkEnd w:id="100"/>
    </w:p>
    <w:p w:rsidR="00FF3D7A" w:rsidRPr="00FF3D7A" w:rsidRDefault="00FF3D7A" w:rsidP="00FF3D7A">
      <w:pPr>
        <w:widowControl w:val="0"/>
        <w:spacing w:line="360" w:lineRule="auto"/>
        <w:jc w:val="both"/>
        <w:outlineLvl w:val="1"/>
        <w:rPr>
          <w:rFonts w:eastAsia="Calibri" w:cs="Arial"/>
        </w:rPr>
      </w:pPr>
      <w:r w:rsidRPr="00FF3D7A">
        <w:rPr>
          <w:rFonts w:eastAsia="Calibri" w:cs="Arial"/>
        </w:rPr>
        <w:t>Dr. Mark Kroese, PHG Foundation</w:t>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t>Chair</w:t>
      </w:r>
    </w:p>
    <w:p w:rsidR="00FF3D7A" w:rsidRPr="00FF3D7A" w:rsidRDefault="00FF3D7A" w:rsidP="00FF3D7A">
      <w:pPr>
        <w:widowControl w:val="0"/>
        <w:spacing w:line="360" w:lineRule="auto"/>
        <w:jc w:val="both"/>
        <w:outlineLvl w:val="1"/>
        <w:rPr>
          <w:rFonts w:eastAsia="Calibri" w:cs="Arial"/>
        </w:rPr>
      </w:pPr>
      <w:r w:rsidRPr="00FF3D7A">
        <w:rPr>
          <w:rFonts w:eastAsia="Calibri" w:cs="Arial"/>
        </w:rPr>
        <w:t>Dr. Cono Ariti, London School of Hygiene and Tropical Medicine</w:t>
      </w:r>
      <w:r w:rsidRPr="00FF3D7A">
        <w:rPr>
          <w:rFonts w:eastAsia="Calibri" w:cs="Arial"/>
        </w:rPr>
        <w:tab/>
      </w:r>
      <w:r w:rsidRPr="00FF3D7A">
        <w:rPr>
          <w:rFonts w:eastAsia="Calibri" w:cs="Arial"/>
        </w:rPr>
        <w:tab/>
        <w:t>Statistician</w:t>
      </w:r>
    </w:p>
    <w:p w:rsidR="00FF3D7A" w:rsidRPr="00FF3D7A" w:rsidRDefault="00FF3D7A" w:rsidP="00FF3D7A">
      <w:pPr>
        <w:widowControl w:val="0"/>
        <w:spacing w:line="360" w:lineRule="auto"/>
        <w:jc w:val="both"/>
        <w:outlineLvl w:val="1"/>
        <w:rPr>
          <w:rFonts w:eastAsia="Calibri" w:cs="Arial"/>
        </w:rPr>
      </w:pPr>
      <w:r w:rsidRPr="00FF3D7A">
        <w:rPr>
          <w:rFonts w:eastAsia="Calibri" w:cs="Arial"/>
        </w:rPr>
        <w:t>Dr. David Adeboyeku, Central Middlesex Hospital</w:t>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t>Clinician</w:t>
      </w:r>
    </w:p>
    <w:p w:rsidR="00FF3D7A" w:rsidRPr="00FF3D7A" w:rsidRDefault="00FF3D7A" w:rsidP="00FF3D7A">
      <w:pPr>
        <w:widowControl w:val="0"/>
        <w:spacing w:line="360" w:lineRule="auto"/>
        <w:jc w:val="both"/>
        <w:outlineLvl w:val="1"/>
        <w:rPr>
          <w:rFonts w:eastAsia="Calibri" w:cs="Arial"/>
        </w:rPr>
      </w:pPr>
      <w:r w:rsidRPr="00FF3D7A">
        <w:rPr>
          <w:rFonts w:eastAsia="Calibri" w:cs="Arial"/>
        </w:rPr>
        <w:t>Dr André Charlett, National Infection Service, Public Health England</w:t>
      </w:r>
      <w:r w:rsidRPr="00FF3D7A">
        <w:rPr>
          <w:rFonts w:eastAsia="Calibri" w:cs="Arial"/>
        </w:rPr>
        <w:tab/>
        <w:t>Statistician</w:t>
      </w:r>
    </w:p>
    <w:p w:rsidR="00FF3D7A" w:rsidRPr="00FF3D7A" w:rsidRDefault="00FF3D7A" w:rsidP="00FF3D7A">
      <w:pPr>
        <w:widowControl w:val="0"/>
        <w:spacing w:line="360" w:lineRule="auto"/>
        <w:jc w:val="both"/>
        <w:outlineLvl w:val="1"/>
        <w:rPr>
          <w:rFonts w:eastAsia="Calibri" w:cs="Arial"/>
        </w:rPr>
      </w:pPr>
    </w:p>
    <w:p w:rsidR="00FF3D7A" w:rsidRPr="00FF3D7A" w:rsidRDefault="00FF3D7A" w:rsidP="00FF3D7A">
      <w:pPr>
        <w:widowControl w:val="0"/>
        <w:spacing w:line="360" w:lineRule="auto"/>
        <w:outlineLvl w:val="2"/>
        <w:rPr>
          <w:rFonts w:eastAsia="Calibri" w:cs="Arial"/>
          <w:b/>
        </w:rPr>
      </w:pPr>
      <w:bookmarkStart w:id="101" w:name="_Meetings_of_the"/>
      <w:bookmarkStart w:id="102" w:name="_Toc518401765"/>
      <w:bookmarkEnd w:id="101"/>
      <w:r w:rsidRPr="00FF3D7A">
        <w:rPr>
          <w:rFonts w:eastAsia="Calibri" w:cs="Arial"/>
          <w:b/>
        </w:rPr>
        <w:t>Meetings of the Data Monitoring Committee</w:t>
      </w:r>
      <w:bookmarkEnd w:id="102"/>
    </w:p>
    <w:p w:rsidR="00FF3D7A" w:rsidRPr="00FF3D7A" w:rsidRDefault="00FF3D7A" w:rsidP="00FF3D7A">
      <w:pPr>
        <w:widowControl w:val="0"/>
        <w:spacing w:line="360" w:lineRule="auto"/>
        <w:outlineLvl w:val="1"/>
        <w:rPr>
          <w:rFonts w:eastAsia="Calibri" w:cs="Arial"/>
        </w:rPr>
      </w:pPr>
      <w:r w:rsidRPr="00FF3D7A">
        <w:rPr>
          <w:rFonts w:eastAsia="Calibri" w:cs="Arial"/>
        </w:rPr>
        <w:t xml:space="preserve">The DMC met four times during the study- in January 2014, February 2015, January 2016, and July 2017. </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1"/>
        <w:rPr>
          <w:rFonts w:eastAsia="Calibri" w:cs="Arial"/>
        </w:rPr>
      </w:pPr>
      <w:r w:rsidRPr="00FF3D7A">
        <w:rPr>
          <w:rFonts w:eastAsia="Calibri" w:cs="Arial"/>
        </w:rPr>
        <w:t xml:space="preserve">At the DMC initiation meeting in January 2014 key discussion topics included </w:t>
      </w:r>
      <w:r>
        <w:rPr>
          <w:rFonts w:eastAsia="Calibri" w:cs="Arial"/>
        </w:rPr>
        <w:t xml:space="preserve">the </w:t>
      </w:r>
      <w:r w:rsidRPr="00FF3D7A">
        <w:rPr>
          <w:rFonts w:eastAsia="Calibri" w:cs="Arial"/>
        </w:rPr>
        <w:t>protocol for HALT: LTBI, including the requirement for an analysis plan to be written and agreed</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1"/>
        <w:rPr>
          <w:rFonts w:eastAsia="Calibri" w:cs="Arial"/>
        </w:rPr>
      </w:pPr>
      <w:r w:rsidRPr="00FF3D7A">
        <w:rPr>
          <w:rFonts w:eastAsia="Calibri" w:cs="Arial"/>
        </w:rPr>
        <w:t>At the second meeting in February 2015 the progress of the HALT</w:t>
      </w:r>
      <w:r>
        <w:rPr>
          <w:rFonts w:eastAsia="Calibri" w:cs="Arial"/>
        </w:rPr>
        <w:t xml:space="preserve"> LTBI study was reviewed</w:t>
      </w:r>
      <w:r w:rsidRPr="00FF3D7A">
        <w:rPr>
          <w:rFonts w:eastAsia="Calibri" w:cs="Arial"/>
        </w:rPr>
        <w:t xml:space="preserve">. A revised protocol </w:t>
      </w:r>
      <w:r>
        <w:rPr>
          <w:rFonts w:eastAsia="Calibri" w:cs="Arial"/>
        </w:rPr>
        <w:t>w</w:t>
      </w:r>
      <w:r w:rsidRPr="00FF3D7A">
        <w:rPr>
          <w:rFonts w:eastAsia="Calibri" w:cs="Arial"/>
        </w:rPr>
        <w:t>as approved, including expanding recruitment to the Barts Health Trust and the inclusion of individuals with LTBI detected through occupational health screening as well as non-migrants in the eligible trial population. Proposed changes to the analysis plan were discussed.</w:t>
      </w:r>
    </w:p>
    <w:p w:rsidR="00FF3D7A" w:rsidRPr="00FF3D7A" w:rsidRDefault="00FF3D7A" w:rsidP="00FF3D7A">
      <w:pPr>
        <w:widowControl w:val="0"/>
        <w:spacing w:line="360" w:lineRule="auto"/>
        <w:outlineLvl w:val="1"/>
        <w:rPr>
          <w:rFonts w:eastAsia="Calibri" w:cs="Arial"/>
        </w:rPr>
      </w:pPr>
    </w:p>
    <w:p w:rsidR="00FF3D7A" w:rsidRDefault="00FF3D7A" w:rsidP="00FF3D7A">
      <w:pPr>
        <w:widowControl w:val="0"/>
        <w:spacing w:line="360" w:lineRule="auto"/>
        <w:outlineLvl w:val="1"/>
        <w:rPr>
          <w:rFonts w:eastAsia="Calibri" w:cs="Arial"/>
        </w:rPr>
      </w:pPr>
      <w:r w:rsidRPr="00FF3D7A">
        <w:rPr>
          <w:rFonts w:eastAsia="Calibri" w:cs="Arial"/>
        </w:rPr>
        <w:t>At the third meeting in January 2016 interim data was reviewed and progress of the HALT</w:t>
      </w:r>
      <w:r>
        <w:rPr>
          <w:rFonts w:eastAsia="Calibri" w:cs="Arial"/>
        </w:rPr>
        <w:t xml:space="preserve"> LTBi study</w:t>
      </w:r>
      <w:r w:rsidRPr="00FF3D7A">
        <w:rPr>
          <w:rFonts w:eastAsia="Calibri" w:cs="Arial"/>
        </w:rPr>
        <w:t xml:space="preserve">. Highlighted recruitment challenges in the HALT: LTBI Study necessitated a decision. The DMC agreed to a change in the focus of the study to completing the pilot phase with a reduced target of 50 participants, which would still enable the study to achieve the outcomes and objectives outlined in the study protocol particularly the qualitative outcomes. Following the meeting, the HALT: LTBI protocol and analysis plan were reviewed with reference to the lower level of participants and the DMC confirmed that these were robust and recommended that the study continue. </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1"/>
        <w:rPr>
          <w:rFonts w:eastAsia="Calibri" w:cs="Arial"/>
        </w:rPr>
      </w:pPr>
      <w:r w:rsidRPr="00FF3D7A">
        <w:rPr>
          <w:rFonts w:eastAsia="Calibri" w:cs="Arial"/>
        </w:rPr>
        <w:lastRenderedPageBreak/>
        <w:t>At the fourth and last meeting in July 2017 the final statistical analysis and economic analysis of the HALT</w:t>
      </w:r>
      <w:r>
        <w:rPr>
          <w:rFonts w:eastAsia="Calibri" w:cs="Arial"/>
        </w:rPr>
        <w:t xml:space="preserve"> LTBI study was</w:t>
      </w:r>
      <w:r w:rsidRPr="00FF3D7A">
        <w:rPr>
          <w:rFonts w:eastAsia="Calibri" w:cs="Arial"/>
        </w:rPr>
        <w:t xml:space="preserve"> presented by the Study Statistician and reviewed by the DMC.</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2"/>
        <w:rPr>
          <w:rFonts w:eastAsia="Calibri" w:cs="Arial"/>
          <w:b/>
        </w:rPr>
      </w:pPr>
      <w:bookmarkStart w:id="103" w:name="_Toc518401766"/>
      <w:r w:rsidRPr="00FF3D7A">
        <w:rPr>
          <w:rFonts w:eastAsia="Calibri" w:cs="Arial"/>
          <w:b/>
        </w:rPr>
        <w:t>Purpose of the Trial Steering Committee</w:t>
      </w:r>
      <w:bookmarkEnd w:id="103"/>
    </w:p>
    <w:p w:rsidR="00FF3D7A" w:rsidRPr="00FF3D7A" w:rsidRDefault="00FF3D7A" w:rsidP="00FF3D7A">
      <w:pPr>
        <w:widowControl w:val="0"/>
        <w:spacing w:line="360" w:lineRule="auto"/>
        <w:outlineLvl w:val="1"/>
        <w:rPr>
          <w:rFonts w:eastAsia="Calibri" w:cs="Arial"/>
        </w:rPr>
      </w:pPr>
      <w:r w:rsidRPr="00FF3D7A">
        <w:rPr>
          <w:rFonts w:eastAsia="Calibri" w:cs="Arial"/>
        </w:rPr>
        <w:t xml:space="preserve">The TSC’s role was to independently monitor and supervise the progress of the study towards its objectives, given the reports received from the DMC. This included any decision for early cessation of the trial, based upon recruitment rates or the results of the </w:t>
      </w:r>
      <w:hyperlink w:anchor="_Interim_analysis" w:history="1">
        <w:r w:rsidRPr="00FF3D7A">
          <w:rPr>
            <w:rFonts w:eastAsia="Calibri" w:cs="Arial"/>
            <w:b/>
          </w:rPr>
          <w:t>interim analysis</w:t>
        </w:r>
      </w:hyperlink>
      <w:r w:rsidRPr="00FF3D7A">
        <w:rPr>
          <w:rFonts w:eastAsia="Calibri" w:cs="Arial"/>
        </w:rPr>
        <w:t>. The TSC operated to a set of Terms of Reference.</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2"/>
        <w:rPr>
          <w:rFonts w:eastAsia="Calibri" w:cs="Arial"/>
          <w:b/>
        </w:rPr>
      </w:pPr>
      <w:bookmarkStart w:id="104" w:name="_Toc518401767"/>
      <w:r w:rsidRPr="00FF3D7A">
        <w:rPr>
          <w:rFonts w:eastAsia="Calibri" w:cs="Arial"/>
          <w:b/>
        </w:rPr>
        <w:t>Membership of the Trial Steering Committee</w:t>
      </w:r>
      <w:bookmarkEnd w:id="104"/>
    </w:p>
    <w:p w:rsidR="00FF3D7A" w:rsidRPr="00FF3D7A" w:rsidRDefault="00FF3D7A" w:rsidP="00FF3D7A">
      <w:pPr>
        <w:widowControl w:val="0"/>
        <w:spacing w:line="360" w:lineRule="auto"/>
        <w:jc w:val="both"/>
        <w:outlineLvl w:val="1"/>
        <w:rPr>
          <w:rFonts w:eastAsia="Calibri" w:cs="Arial"/>
        </w:rPr>
      </w:pPr>
      <w:r w:rsidRPr="00FF3D7A">
        <w:rPr>
          <w:rFonts w:eastAsia="Calibri" w:cs="Arial"/>
        </w:rPr>
        <w:t>Professor Paul Hunter, University of East Anglia</w:t>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t>Chair</w:t>
      </w:r>
    </w:p>
    <w:p w:rsidR="00FF3D7A" w:rsidRPr="00FF3D7A" w:rsidRDefault="00FF3D7A" w:rsidP="00FF3D7A">
      <w:pPr>
        <w:widowControl w:val="0"/>
        <w:spacing w:line="360" w:lineRule="auto"/>
        <w:jc w:val="both"/>
        <w:outlineLvl w:val="1"/>
        <w:rPr>
          <w:rFonts w:eastAsia="Calibri" w:cs="Arial"/>
        </w:rPr>
      </w:pPr>
      <w:r w:rsidRPr="00FF3D7A">
        <w:rPr>
          <w:rFonts w:eastAsia="Calibri" w:cs="Arial"/>
        </w:rPr>
        <w:t>Dr. Stefan Lozewicz, North Middlesex/Barts and the London Hospitals</w:t>
      </w:r>
      <w:r w:rsidRPr="00FF3D7A">
        <w:rPr>
          <w:rFonts w:eastAsia="Calibri" w:cs="Arial"/>
        </w:rPr>
        <w:tab/>
        <w:t>Clinician</w:t>
      </w:r>
    </w:p>
    <w:p w:rsidR="00FF3D7A" w:rsidRPr="00FF3D7A" w:rsidRDefault="00FF3D7A" w:rsidP="00FF3D7A">
      <w:pPr>
        <w:widowControl w:val="0"/>
        <w:spacing w:line="360" w:lineRule="auto"/>
        <w:jc w:val="both"/>
        <w:outlineLvl w:val="1"/>
        <w:rPr>
          <w:rFonts w:eastAsia="Calibri" w:cs="Arial"/>
        </w:rPr>
      </w:pPr>
      <w:r w:rsidRPr="00FF3D7A">
        <w:rPr>
          <w:rFonts w:eastAsia="Calibri" w:cs="Arial"/>
        </w:rPr>
        <w:t>Emma Ward/Rachel Halford, Hepatitis C Trust</w:t>
      </w:r>
      <w:r w:rsidRPr="00FF3D7A">
        <w:rPr>
          <w:rFonts w:eastAsia="Calibri" w:cs="Arial"/>
        </w:rPr>
        <w:tab/>
      </w:r>
      <w:r w:rsidRPr="00FF3D7A">
        <w:rPr>
          <w:rFonts w:eastAsia="Calibri" w:cs="Arial"/>
        </w:rPr>
        <w:tab/>
      </w:r>
      <w:r w:rsidRPr="00FF3D7A">
        <w:rPr>
          <w:rFonts w:eastAsia="Calibri" w:cs="Arial"/>
        </w:rPr>
        <w:tab/>
      </w:r>
      <w:r w:rsidRPr="00FF3D7A">
        <w:rPr>
          <w:rFonts w:eastAsia="Calibri" w:cs="Arial"/>
        </w:rPr>
        <w:tab/>
        <w:t>Lay member</w:t>
      </w:r>
    </w:p>
    <w:p w:rsidR="00FF3D7A" w:rsidRPr="00FF3D7A" w:rsidRDefault="00FF3D7A" w:rsidP="00FF3D7A">
      <w:pPr>
        <w:widowControl w:val="0"/>
        <w:spacing w:line="360" w:lineRule="auto"/>
        <w:outlineLvl w:val="1"/>
        <w:rPr>
          <w:rFonts w:eastAsia="Calibri" w:cs="Arial"/>
        </w:rPr>
      </w:pPr>
    </w:p>
    <w:p w:rsidR="00FF3D7A" w:rsidRPr="00FF3D7A" w:rsidRDefault="00FF3D7A" w:rsidP="00FF3D7A">
      <w:pPr>
        <w:widowControl w:val="0"/>
        <w:spacing w:line="360" w:lineRule="auto"/>
        <w:outlineLvl w:val="2"/>
        <w:rPr>
          <w:rFonts w:eastAsia="Calibri" w:cs="Arial"/>
          <w:b/>
        </w:rPr>
      </w:pPr>
      <w:bookmarkStart w:id="105" w:name="_Meetings_of_the_1"/>
      <w:bookmarkStart w:id="106" w:name="_Toc518401768"/>
      <w:bookmarkEnd w:id="105"/>
      <w:r w:rsidRPr="00FF3D7A">
        <w:rPr>
          <w:rFonts w:eastAsia="Calibri" w:cs="Arial"/>
          <w:b/>
        </w:rPr>
        <w:t>Meetings of the Trial Steering Committee</w:t>
      </w:r>
      <w:bookmarkEnd w:id="106"/>
    </w:p>
    <w:p w:rsidR="00FF3D7A" w:rsidRDefault="00FF3D7A" w:rsidP="00FF3D7A">
      <w:pPr>
        <w:widowControl w:val="0"/>
        <w:spacing w:line="360" w:lineRule="auto"/>
        <w:outlineLvl w:val="1"/>
        <w:rPr>
          <w:rFonts w:eastAsia="Calibri" w:cs="Arial"/>
        </w:rPr>
      </w:pPr>
      <w:r w:rsidRPr="00FF3D7A">
        <w:rPr>
          <w:rFonts w:eastAsia="Calibri" w:cs="Arial"/>
        </w:rPr>
        <w:t>The TSC met four times during the study- May 2014, April 2015, April 2016 and July 2017. The study protocol, recruitment to date and the analysis plan were discussed at the first meeting. At the second meeting recruitment was reviewed. During the third meeting progress to date the pragmatic decision to red</w:t>
      </w:r>
      <w:r w:rsidR="00790C9D">
        <w:rPr>
          <w:rFonts w:eastAsia="Calibri" w:cs="Arial"/>
        </w:rPr>
        <w:t>uce the sample size of the HALT</w:t>
      </w:r>
      <w:r w:rsidRPr="00FF3D7A">
        <w:rPr>
          <w:rFonts w:eastAsia="Calibri" w:cs="Arial"/>
        </w:rPr>
        <w:t xml:space="preserve"> LTBI pilot study was signed off and the </w:t>
      </w:r>
      <w:hyperlink w:anchor="_Interim_analysis" w:history="1">
        <w:r w:rsidRPr="00FF3D7A">
          <w:rPr>
            <w:rFonts w:eastAsia="Calibri" w:cs="Arial"/>
            <w:b/>
            <w:color w:val="000000"/>
          </w:rPr>
          <w:t>interim analysis</w:t>
        </w:r>
      </w:hyperlink>
      <w:r w:rsidRPr="00FF3D7A">
        <w:rPr>
          <w:rFonts w:eastAsia="Calibri" w:cs="Arial"/>
        </w:rPr>
        <w:t xml:space="preserve"> was discussed.</w:t>
      </w:r>
    </w:p>
    <w:p w:rsidR="003D647B" w:rsidRDefault="003D647B" w:rsidP="00FF3D7A">
      <w:pPr>
        <w:widowControl w:val="0"/>
        <w:spacing w:line="360" w:lineRule="auto"/>
        <w:outlineLvl w:val="1"/>
        <w:rPr>
          <w:rFonts w:eastAsia="Calibri" w:cs="Arial"/>
        </w:rPr>
      </w:pPr>
    </w:p>
    <w:p w:rsidR="003D647B" w:rsidRPr="003D647B" w:rsidRDefault="003D647B" w:rsidP="003D647B">
      <w:pPr>
        <w:spacing w:line="360" w:lineRule="auto"/>
        <w:outlineLvl w:val="0"/>
        <w:rPr>
          <w:rFonts w:eastAsia="Calibri" w:cs="Arial"/>
          <w:b/>
          <w:caps/>
          <w:sz w:val="24"/>
          <w:szCs w:val="24"/>
        </w:rPr>
      </w:pPr>
      <w:bookmarkStart w:id="107" w:name="_Toc518401773"/>
      <w:r w:rsidRPr="003D647B">
        <w:rPr>
          <w:rFonts w:eastAsia="Calibri" w:cs="Arial"/>
          <w:b/>
          <w:caps/>
          <w:sz w:val="24"/>
          <w:szCs w:val="24"/>
        </w:rPr>
        <w:t>Dissemination plans</w:t>
      </w:r>
      <w:bookmarkEnd w:id="107"/>
    </w:p>
    <w:p w:rsidR="003D647B" w:rsidRPr="003D647B" w:rsidRDefault="003D647B" w:rsidP="003D647B">
      <w:pPr>
        <w:widowControl w:val="0"/>
        <w:spacing w:after="160" w:line="259" w:lineRule="auto"/>
        <w:rPr>
          <w:rFonts w:eastAsia="Calibri" w:cs="Arial"/>
        </w:rPr>
      </w:pPr>
    </w:p>
    <w:p w:rsidR="003D647B" w:rsidRPr="003D647B" w:rsidRDefault="003D647B" w:rsidP="003D647B">
      <w:pPr>
        <w:widowControl w:val="0"/>
        <w:spacing w:after="160" w:line="259" w:lineRule="auto"/>
        <w:rPr>
          <w:rFonts w:eastAsia="Calibri" w:cs="Arial"/>
        </w:rPr>
      </w:pPr>
      <w:r w:rsidRPr="003D647B">
        <w:rPr>
          <w:rFonts w:eastAsia="Calibri" w:cs="Arial"/>
        </w:rPr>
        <w:t xml:space="preserve">This report and the findings of the </w:t>
      </w:r>
      <w:r>
        <w:rPr>
          <w:rFonts w:eastAsia="Calibri" w:cs="Arial"/>
        </w:rPr>
        <w:t>study</w:t>
      </w:r>
      <w:r w:rsidRPr="003D647B">
        <w:rPr>
          <w:rFonts w:eastAsia="Calibri" w:cs="Arial"/>
        </w:rPr>
        <w:t xml:space="preserve"> will be disseminated through a number of mechanisms:</w:t>
      </w:r>
    </w:p>
    <w:p w:rsidR="003D647B" w:rsidRDefault="003D647B" w:rsidP="003D647B">
      <w:pPr>
        <w:widowControl w:val="0"/>
        <w:numPr>
          <w:ilvl w:val="0"/>
          <w:numId w:val="44"/>
        </w:numPr>
        <w:spacing w:after="160" w:line="259" w:lineRule="auto"/>
        <w:contextualSpacing/>
        <w:jc w:val="both"/>
        <w:outlineLvl w:val="1"/>
        <w:rPr>
          <w:rFonts w:eastAsia="Calibri" w:cs="Arial"/>
          <w:color w:val="000000"/>
        </w:rPr>
      </w:pPr>
      <w:r w:rsidRPr="003D647B">
        <w:rPr>
          <w:rFonts w:eastAsia="Calibri" w:cs="Arial"/>
          <w:color w:val="000000"/>
        </w:rPr>
        <w:t>Peer reviewed publications in general medical journals and tuberculosis specialist journals.</w:t>
      </w:r>
    </w:p>
    <w:p w:rsidR="003D647B" w:rsidRPr="003D647B" w:rsidRDefault="003D647B" w:rsidP="003D647B">
      <w:pPr>
        <w:widowControl w:val="0"/>
        <w:spacing w:after="160" w:line="259" w:lineRule="auto"/>
        <w:ind w:left="720"/>
        <w:contextualSpacing/>
        <w:jc w:val="both"/>
        <w:outlineLvl w:val="1"/>
        <w:rPr>
          <w:rFonts w:eastAsia="Calibri" w:cs="Arial"/>
          <w:color w:val="000000"/>
        </w:rPr>
      </w:pPr>
    </w:p>
    <w:p w:rsidR="003D647B" w:rsidRDefault="003D647B" w:rsidP="003D647B">
      <w:pPr>
        <w:widowControl w:val="0"/>
        <w:numPr>
          <w:ilvl w:val="0"/>
          <w:numId w:val="44"/>
        </w:numPr>
        <w:spacing w:after="160" w:line="259" w:lineRule="auto"/>
        <w:contextualSpacing/>
        <w:jc w:val="both"/>
        <w:outlineLvl w:val="1"/>
        <w:rPr>
          <w:rFonts w:eastAsia="Calibri" w:cs="Arial"/>
          <w:color w:val="000000"/>
        </w:rPr>
      </w:pPr>
      <w:r w:rsidRPr="003D647B">
        <w:rPr>
          <w:rFonts w:eastAsia="Calibri" w:cs="Arial"/>
          <w:color w:val="000000"/>
        </w:rPr>
        <w:t>Presentation at International and national conferences targeting specialists who will benefit from the findings.</w:t>
      </w:r>
    </w:p>
    <w:p w:rsidR="003D647B" w:rsidRPr="003D647B" w:rsidRDefault="003D647B" w:rsidP="003D647B">
      <w:pPr>
        <w:widowControl w:val="0"/>
        <w:spacing w:after="160" w:line="259" w:lineRule="auto"/>
        <w:contextualSpacing/>
        <w:jc w:val="both"/>
        <w:outlineLvl w:val="1"/>
        <w:rPr>
          <w:rFonts w:eastAsia="Calibri" w:cs="Arial"/>
          <w:color w:val="000000"/>
        </w:rPr>
      </w:pPr>
    </w:p>
    <w:p w:rsidR="003D647B" w:rsidRDefault="003D647B" w:rsidP="003D647B">
      <w:pPr>
        <w:widowControl w:val="0"/>
        <w:numPr>
          <w:ilvl w:val="0"/>
          <w:numId w:val="44"/>
        </w:numPr>
        <w:spacing w:after="160" w:line="259" w:lineRule="auto"/>
        <w:contextualSpacing/>
        <w:jc w:val="both"/>
        <w:outlineLvl w:val="1"/>
        <w:rPr>
          <w:rFonts w:eastAsia="Calibri" w:cs="Arial"/>
          <w:color w:val="000000"/>
        </w:rPr>
      </w:pPr>
      <w:r w:rsidRPr="003D647B">
        <w:rPr>
          <w:rFonts w:eastAsia="Calibri" w:cs="Arial"/>
          <w:color w:val="000000"/>
        </w:rPr>
        <w:t>Policy brief for commissioners outlining the main findings.</w:t>
      </w:r>
    </w:p>
    <w:p w:rsidR="003D647B" w:rsidRPr="003D647B" w:rsidRDefault="003D647B" w:rsidP="003D647B">
      <w:pPr>
        <w:widowControl w:val="0"/>
        <w:spacing w:after="160" w:line="259" w:lineRule="auto"/>
        <w:contextualSpacing/>
        <w:jc w:val="both"/>
        <w:outlineLvl w:val="1"/>
        <w:rPr>
          <w:rFonts w:eastAsia="Calibri" w:cs="Arial"/>
          <w:color w:val="000000"/>
        </w:rPr>
      </w:pPr>
    </w:p>
    <w:p w:rsidR="003D647B" w:rsidRPr="003D647B" w:rsidRDefault="003D647B" w:rsidP="003D647B">
      <w:pPr>
        <w:widowControl w:val="0"/>
        <w:numPr>
          <w:ilvl w:val="0"/>
          <w:numId w:val="44"/>
        </w:numPr>
        <w:spacing w:after="160" w:line="259" w:lineRule="auto"/>
        <w:contextualSpacing/>
        <w:jc w:val="both"/>
        <w:outlineLvl w:val="1"/>
        <w:rPr>
          <w:rFonts w:eastAsia="Calibri" w:cs="Arial"/>
          <w:color w:val="000000"/>
        </w:rPr>
      </w:pPr>
      <w:r w:rsidRPr="003D647B">
        <w:rPr>
          <w:rFonts w:eastAsia="Calibri" w:cs="Arial"/>
          <w:color w:val="000000"/>
        </w:rPr>
        <w:t xml:space="preserve">Summary of the key results for lay stakeholders </w:t>
      </w:r>
    </w:p>
    <w:p w:rsidR="003D647B" w:rsidRPr="003D647B" w:rsidRDefault="003D647B" w:rsidP="003D647B">
      <w:pPr>
        <w:widowControl w:val="0"/>
        <w:spacing w:after="160" w:line="259" w:lineRule="auto"/>
        <w:ind w:left="720"/>
        <w:contextualSpacing/>
        <w:jc w:val="both"/>
        <w:rPr>
          <w:rFonts w:eastAsia="Calibri" w:cs="Arial"/>
          <w:color w:val="000000"/>
        </w:rPr>
      </w:pPr>
    </w:p>
    <w:p w:rsidR="003D647B" w:rsidRDefault="003D647B"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2E1041" w:rsidP="00FF3D7A">
      <w:pPr>
        <w:widowControl w:val="0"/>
        <w:spacing w:line="360" w:lineRule="auto"/>
        <w:outlineLvl w:val="1"/>
        <w:rPr>
          <w:rFonts w:eastAsia="Calibri" w:cs="Arial"/>
        </w:rPr>
      </w:pPr>
      <w:r w:rsidRPr="002E1041">
        <w:rPr>
          <w:rFonts w:eastAsia="Calibri" w:cs="Arial"/>
        </w:rPr>
        <w:t xml:space="preserve">▀  </w:t>
      </w:r>
      <w:r w:rsidRPr="002E1041">
        <w:rPr>
          <w:rFonts w:eastAsia="Calibri" w:cs="Arial"/>
          <w:sz w:val="18"/>
          <w:szCs w:val="18"/>
        </w:rPr>
        <w:t>Report dated:</w:t>
      </w:r>
      <w:r>
        <w:rPr>
          <w:rFonts w:eastAsia="Calibri" w:cs="Arial"/>
        </w:rPr>
        <w:t xml:space="preserve"> </w:t>
      </w:r>
      <w:r w:rsidRPr="002E1041">
        <w:rPr>
          <w:rFonts w:eastAsia="Calibri" w:cs="Arial"/>
          <w:sz w:val="18"/>
          <w:szCs w:val="18"/>
        </w:rPr>
        <w:t>31 August 2018</w:t>
      </w: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Default="00455BAD" w:rsidP="00FF3D7A">
      <w:pPr>
        <w:widowControl w:val="0"/>
        <w:spacing w:line="360" w:lineRule="auto"/>
        <w:outlineLvl w:val="1"/>
        <w:rPr>
          <w:rFonts w:eastAsia="Calibri" w:cs="Arial"/>
        </w:rPr>
      </w:pPr>
    </w:p>
    <w:p w:rsidR="00455BAD" w:rsidRPr="00040DCC" w:rsidRDefault="00455BAD" w:rsidP="00455BAD">
      <w:pPr>
        <w:widowControl w:val="0"/>
        <w:spacing w:line="360" w:lineRule="auto"/>
        <w:outlineLvl w:val="0"/>
        <w:rPr>
          <w:rFonts w:asciiTheme="majorHAnsi" w:eastAsia="Calibri" w:hAnsiTheme="majorHAnsi" w:cstheme="majorHAnsi"/>
          <w:b/>
          <w:caps/>
          <w:sz w:val="28"/>
          <w:szCs w:val="28"/>
        </w:rPr>
      </w:pPr>
      <w:bookmarkStart w:id="108" w:name="_Toc518401760"/>
      <w:r w:rsidRPr="00040DCC">
        <w:rPr>
          <w:rFonts w:asciiTheme="majorHAnsi" w:eastAsia="Calibri" w:hAnsiTheme="majorHAnsi" w:cstheme="majorHAnsi"/>
          <w:b/>
          <w:caps/>
          <w:sz w:val="28"/>
          <w:szCs w:val="28"/>
        </w:rPr>
        <w:t>References</w:t>
      </w:r>
      <w:bookmarkEnd w:id="108"/>
    </w:p>
    <w:p w:rsidR="00455BAD" w:rsidRPr="00040DCC" w:rsidRDefault="00455BAD" w:rsidP="00455BAD">
      <w:pPr>
        <w:tabs>
          <w:tab w:val="left" w:pos="360"/>
        </w:tabs>
        <w:ind w:left="360" w:hanging="360"/>
        <w:outlineLvl w:val="1"/>
        <w:rPr>
          <w:rFonts w:eastAsia="Calibri" w:cs="Arial"/>
          <w:noProof/>
        </w:rPr>
      </w:pPr>
      <w:r w:rsidRPr="00040DCC">
        <w:rPr>
          <w:rFonts w:eastAsia="Calibri" w:cs="Arial"/>
        </w:rPr>
        <w:fldChar w:fldCharType="begin"/>
      </w:r>
      <w:r w:rsidRPr="00040DCC">
        <w:rPr>
          <w:rFonts w:eastAsia="Calibri" w:cs="Arial"/>
        </w:rPr>
        <w:instrText xml:space="preserve"> ADDIN REFMGR.REFLIST </w:instrText>
      </w:r>
      <w:r w:rsidRPr="00040DCC">
        <w:rPr>
          <w:rFonts w:eastAsia="Calibri" w:cs="Arial"/>
        </w:rPr>
        <w:fldChar w:fldCharType="separate"/>
      </w: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4</w:t>
      </w:r>
      <w:r w:rsidRPr="00040DCC">
        <w:rPr>
          <w:rFonts w:eastAsia="Calibri" w:cs="Arial"/>
          <w:noProof/>
        </w:rPr>
        <w:tab/>
        <w:t>Peate I. Prisoner health: HIV infection and other blood-borne viral infections. Br J Nurs 2011; 20(10): 605-6, 608, 610.</w:t>
      </w:r>
    </w:p>
    <w:p w:rsidR="00455BAD" w:rsidRPr="00040DCC"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14</w:t>
      </w:r>
      <w:r w:rsidRPr="00040DCC">
        <w:rPr>
          <w:rFonts w:eastAsia="Calibri" w:cs="Arial"/>
          <w:noProof/>
        </w:rPr>
        <w:tab/>
        <w:t>Sterling TR,</w:t>
      </w:r>
      <w:r w:rsidRPr="00040DCC">
        <w:rPr>
          <w:rFonts w:eastAsia="Calibri" w:cs="Arial"/>
          <w:i/>
          <w:noProof/>
        </w:rPr>
        <w:t xml:space="preserve"> et al.</w:t>
      </w:r>
      <w:r w:rsidRPr="00040DCC">
        <w:rPr>
          <w:rFonts w:eastAsia="Calibri" w:cs="Arial"/>
          <w:noProof/>
        </w:rPr>
        <w:t xml:space="preserve"> Three months of rifapentine and isoniazid for latent tuberculosis infection. N Engl J Med 2011; 365(23): 2155-66.</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47</w:t>
      </w:r>
      <w:r w:rsidRPr="00040DCC">
        <w:rPr>
          <w:rFonts w:eastAsia="Calibri" w:cs="Arial"/>
          <w:noProof/>
        </w:rPr>
        <w:tab/>
        <w:t>Aldridge RW, Zenner D, White PJ, Muzyamba MC, Loutet M, Dhavan P, Mosca D, Hayward AC, Abubakar I. Prevalence of and risk factors for active tuberculosis in migrants screened before entry to the UK: a population-based cross-sectional study. Lancet Infect Dis 2016; 16(8): 962-70.</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48</w:t>
      </w:r>
      <w:r w:rsidRPr="00040DCC">
        <w:rPr>
          <w:rFonts w:eastAsia="Calibri" w:cs="Arial"/>
          <w:noProof/>
        </w:rPr>
        <w:tab/>
        <w:t>Aldridge RW,</w:t>
      </w:r>
      <w:r w:rsidRPr="00040DCC">
        <w:rPr>
          <w:rFonts w:eastAsia="Calibri" w:cs="Arial"/>
          <w:i/>
          <w:noProof/>
        </w:rPr>
        <w:t xml:space="preserve"> et al.</w:t>
      </w:r>
      <w:r w:rsidRPr="00040DCC">
        <w:rPr>
          <w:rFonts w:eastAsia="Calibri" w:cs="Arial"/>
          <w:noProof/>
        </w:rPr>
        <w:t xml:space="preserve"> Tuberculosis in migrants moving from high-incidence to low-incidence countries: a population-based cohort study of 519 955 migrants screened before entry to England, Wales, and Northern Ireland. Lancet 2016; 388(10059): 2510-8.</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49</w:t>
      </w:r>
      <w:r w:rsidRPr="00040DCC">
        <w:rPr>
          <w:rFonts w:eastAsia="Calibri" w:cs="Arial"/>
          <w:noProof/>
        </w:rPr>
        <w:tab/>
        <w:t>Sutherland I, Svandova E, Radhakrishna S. The development of clinical tuberculosis following infection with tubercle bacilli. 1. A theoretical model for the development of clinical tuberculosis following infection, linking from data on the risk of tuberculous infection and the incidence of clinical tuberculosis in the Netherlands. Tubercle 1982; 63(4): 255-68.</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50</w:t>
      </w:r>
      <w:r w:rsidRPr="00040DCC">
        <w:rPr>
          <w:rFonts w:eastAsia="Calibri" w:cs="Arial"/>
          <w:noProof/>
        </w:rPr>
        <w:tab/>
        <w:t xml:space="preserve">White PJ, Jit M. Appendix I: Imperial College- LTBI treatment report.  National Institute for Health and Care Excellence; 2015. </w:t>
      </w:r>
      <w:r w:rsidRPr="00040DCC">
        <w:rPr>
          <w:rFonts w:eastAsia="Calibri" w:cs="Arial"/>
          <w:noProof/>
          <w:u w:val="single"/>
        </w:rPr>
        <w:t>https://</w:t>
      </w:r>
      <w:hyperlink r:id="rId16" w:history="1">
        <w:r w:rsidRPr="00040DCC">
          <w:rPr>
            <w:rFonts w:eastAsia="Calibri" w:cs="Arial"/>
            <w:noProof/>
            <w:color w:val="0563C1"/>
            <w:u w:val="single"/>
          </w:rPr>
          <w:t>www.nice.org.uk/guidance/NG33/documents/tuberculosis-update-appendix-i2</w:t>
        </w:r>
      </w:hyperlink>
      <w:r w:rsidRPr="00040DCC">
        <w:rPr>
          <w:rFonts w:eastAsia="Calibri" w:cs="Arial"/>
          <w:noProof/>
        </w:rPr>
        <w:t xml:space="preserve">. </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51</w:t>
      </w:r>
      <w:r w:rsidRPr="00040DCC">
        <w:rPr>
          <w:rFonts w:eastAsia="Calibri" w:cs="Arial"/>
          <w:noProof/>
        </w:rPr>
        <w:tab/>
        <w:t>Pareek M, Abubakar I, White PJ, Garnett GP, Lalvani A. Tuberculosis screening of migrants to low-burden nations: insights from evaluation of UK practice. Eur Respir J 2011; 37(5): 1175-82.</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64</w:t>
      </w:r>
      <w:r w:rsidRPr="00040DCC">
        <w:rPr>
          <w:rFonts w:eastAsia="Calibri" w:cs="Arial"/>
          <w:noProof/>
        </w:rPr>
        <w:tab/>
        <w:t xml:space="preserve">Joint Formulary Committee. British National Formulary (69th edition).  London: BMJ Group and Pharmaceutical Press; 2015. </w:t>
      </w:r>
      <w:r w:rsidRPr="00040DCC">
        <w:rPr>
          <w:rFonts w:eastAsia="Calibri" w:cs="Arial"/>
          <w:noProof/>
          <w:u w:val="single"/>
        </w:rPr>
        <w:t>https://bnf.nice.org.uk/</w:t>
      </w:r>
      <w:r w:rsidRPr="00040DCC">
        <w:rPr>
          <w:rFonts w:eastAsia="Calibri" w:cs="Arial"/>
          <w:noProof/>
        </w:rPr>
        <w:t xml:space="preserve">. </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65</w:t>
      </w:r>
      <w:r w:rsidRPr="00040DCC">
        <w:rPr>
          <w:rFonts w:eastAsia="Calibri" w:cs="Arial"/>
          <w:noProof/>
        </w:rPr>
        <w:tab/>
        <w:t>DeLuca A, Frick M, Lessem E, Kanouse J, Wegener D, Mingote LR. Activism on rifapentine pricing: removing cost barriers to improve the uptake of tuberculosis research innovations. Public Health Action 2014; 4(4): 238-42.</w:t>
      </w:r>
    </w:p>
    <w:p w:rsidR="00455BAD" w:rsidRDefault="00455BAD" w:rsidP="00455BAD">
      <w:pPr>
        <w:tabs>
          <w:tab w:val="left" w:pos="360"/>
        </w:tabs>
        <w:ind w:left="360" w:hanging="360"/>
        <w:outlineLvl w:val="1"/>
        <w:rPr>
          <w:rFonts w:eastAsia="Calibri" w:cs="Arial"/>
          <w:noProof/>
        </w:rPr>
      </w:pPr>
    </w:p>
    <w:p w:rsidR="00455BAD" w:rsidRPr="00040DCC" w:rsidRDefault="00455BAD" w:rsidP="00455BAD">
      <w:pPr>
        <w:tabs>
          <w:tab w:val="left" w:pos="360"/>
        </w:tabs>
        <w:ind w:left="360" w:hanging="360"/>
        <w:outlineLvl w:val="1"/>
        <w:rPr>
          <w:rFonts w:eastAsia="Calibri" w:cs="Arial"/>
          <w:noProof/>
        </w:rPr>
      </w:pPr>
      <w:r w:rsidRPr="00040DCC">
        <w:rPr>
          <w:rFonts w:eastAsia="Calibri" w:cs="Arial"/>
          <w:noProof/>
        </w:rPr>
        <w:t>66</w:t>
      </w:r>
      <w:r w:rsidRPr="00040DCC">
        <w:rPr>
          <w:rFonts w:eastAsia="Calibri" w:cs="Arial"/>
          <w:noProof/>
        </w:rPr>
        <w:tab/>
        <w:t>Allignol A, Schumacher M, Beyersmann J. Empirical Transition Matrix of Multi-State Models?: The etm Package. The Journal of Statistical Software 2011; 38(4): 1-15.</w:t>
      </w:r>
    </w:p>
    <w:p w:rsidR="00455BAD" w:rsidRPr="00040DCC" w:rsidRDefault="00455BAD" w:rsidP="00455BAD">
      <w:pPr>
        <w:tabs>
          <w:tab w:val="left" w:pos="360"/>
        </w:tabs>
        <w:ind w:left="360" w:hanging="360"/>
        <w:outlineLvl w:val="1"/>
        <w:rPr>
          <w:rFonts w:eastAsia="Calibri" w:cs="Arial"/>
          <w:noProof/>
        </w:rPr>
      </w:pPr>
    </w:p>
    <w:p w:rsidR="00455BAD" w:rsidRDefault="00455BAD" w:rsidP="00455BAD">
      <w:pPr>
        <w:widowControl w:val="0"/>
        <w:spacing w:line="360" w:lineRule="auto"/>
        <w:outlineLvl w:val="1"/>
        <w:rPr>
          <w:rFonts w:eastAsia="Calibri" w:cs="Arial"/>
        </w:rPr>
      </w:pPr>
      <w:r w:rsidRPr="00040DCC">
        <w:rPr>
          <w:rFonts w:eastAsia="Calibri" w:cs="Arial"/>
        </w:rPr>
        <w:fldChar w:fldCharType="end"/>
      </w:r>
    </w:p>
    <w:sectPr w:rsidR="00455BAD" w:rsidSect="00707074">
      <w:headerReference w:type="first" r:id="rId17"/>
      <w:footerReference w:type="first" r:id="rId18"/>
      <w:type w:val="continuous"/>
      <w:pgSz w:w="11899" w:h="16838" w:code="9"/>
      <w:pgMar w:top="851" w:right="567" w:bottom="851" w:left="1134"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472" w:rsidRDefault="00335472">
      <w:r>
        <w:separator/>
      </w:r>
    </w:p>
  </w:endnote>
  <w:endnote w:type="continuationSeparator" w:id="0">
    <w:p w:rsidR="00335472" w:rsidRDefault="0033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472" w:rsidRDefault="00335472" w:rsidP="00912177">
    <w:pPr>
      <w:tabs>
        <w:tab w:val="left" w:pos="426"/>
        <w:tab w:val="left" w:pos="1418"/>
        <w:tab w:val="left" w:pos="1843"/>
        <w:tab w:val="left" w:pos="3544"/>
        <w:tab w:val="left" w:pos="3969"/>
        <w:tab w:val="left" w:pos="6237"/>
        <w:tab w:val="left" w:pos="6663"/>
      </w:tabs>
      <w:ind w:right="567"/>
      <w:rPr>
        <w:sz w:val="20"/>
      </w:rPr>
    </w:pPr>
    <w:r>
      <w:rPr>
        <w:sz w:val="20"/>
      </w:rPr>
      <w:t>______________________________________________________________________________________</w:t>
    </w:r>
  </w:p>
  <w:p w:rsidR="00C5204F" w:rsidRDefault="00C5204F" w:rsidP="00912177">
    <w:pPr>
      <w:tabs>
        <w:tab w:val="left" w:pos="426"/>
        <w:tab w:val="left" w:pos="1418"/>
        <w:tab w:val="left" w:pos="1843"/>
        <w:tab w:val="left" w:pos="3544"/>
        <w:tab w:val="left" w:pos="3969"/>
        <w:tab w:val="left" w:pos="6237"/>
        <w:tab w:val="left" w:pos="6663"/>
      </w:tabs>
      <w:ind w:right="567"/>
      <w:rPr>
        <w:rFonts w:ascii="Calibri" w:hAnsi="Calibri"/>
        <w:sz w:val="20"/>
      </w:rPr>
    </w:pPr>
    <w:r>
      <w:rPr>
        <w:rFonts w:ascii="Calibri" w:hAnsi="Calibri"/>
        <w:sz w:val="20"/>
      </w:rPr>
      <w:t>The HALT Study</w:t>
    </w:r>
    <w:r>
      <w:rPr>
        <w:rFonts w:ascii="Calibri" w:hAnsi="Calibri"/>
        <w:sz w:val="20"/>
      </w:rPr>
      <w:tab/>
    </w:r>
    <w:r>
      <w:rPr>
        <w:rFonts w:ascii="Calibri" w:hAnsi="Calibri"/>
        <w:sz w:val="20"/>
      </w:rPr>
      <w:tab/>
    </w:r>
    <w:r>
      <w:rPr>
        <w:rFonts w:ascii="Calibri" w:hAnsi="Calibri"/>
        <w:sz w:val="20"/>
      </w:rPr>
      <w:tab/>
    </w:r>
    <w:r>
      <w:rPr>
        <w:rFonts w:ascii="Calibri" w:hAnsi="Calibri"/>
        <w:sz w:val="20"/>
      </w:rPr>
      <w:tab/>
    </w:r>
    <w:r>
      <w:rPr>
        <w:rFonts w:ascii="Calibri" w:hAnsi="Calibri"/>
        <w:sz w:val="20"/>
      </w:rPr>
      <w:tab/>
    </w:r>
    <w:r>
      <w:rPr>
        <w:rFonts w:ascii="Calibri" w:hAnsi="Calibri"/>
        <w:sz w:val="20"/>
      </w:rPr>
      <w:tab/>
      <w:t xml:space="preserve">         Project Manager: Vanessa Hack</w:t>
    </w:r>
  </w:p>
  <w:p w:rsidR="00335472" w:rsidRDefault="00335472" w:rsidP="00912177">
    <w:pPr>
      <w:tabs>
        <w:tab w:val="left" w:pos="426"/>
        <w:tab w:val="left" w:pos="1418"/>
        <w:tab w:val="left" w:pos="1843"/>
        <w:tab w:val="left" w:pos="3544"/>
        <w:tab w:val="left" w:pos="3969"/>
        <w:tab w:val="left" w:pos="6237"/>
        <w:tab w:val="left" w:pos="6663"/>
      </w:tabs>
      <w:ind w:right="567"/>
      <w:rPr>
        <w:rFonts w:ascii="Calibri" w:hAnsi="Calibri"/>
        <w:sz w:val="20"/>
      </w:rPr>
    </w:pPr>
    <w:r w:rsidRPr="008A730A">
      <w:rPr>
        <w:rFonts w:ascii="Calibri" w:hAnsi="Calibri"/>
        <w:sz w:val="20"/>
      </w:rPr>
      <w:t>UCL Institute for Global Health</w:t>
    </w:r>
    <w:r w:rsidR="00C5204F">
      <w:rPr>
        <w:rFonts w:ascii="Calibri" w:hAnsi="Calibri"/>
        <w:sz w:val="20"/>
      </w:rPr>
      <w:tab/>
    </w:r>
    <w:r w:rsidR="00C5204F">
      <w:rPr>
        <w:rFonts w:ascii="Calibri" w:hAnsi="Calibri"/>
        <w:sz w:val="20"/>
      </w:rPr>
      <w:tab/>
    </w:r>
    <w:r w:rsidR="00C5204F">
      <w:rPr>
        <w:rFonts w:ascii="Calibri" w:hAnsi="Calibri"/>
        <w:sz w:val="20"/>
      </w:rPr>
      <w:tab/>
    </w:r>
    <w:r w:rsidR="00C5204F">
      <w:rPr>
        <w:rFonts w:ascii="Calibri" w:hAnsi="Calibri"/>
        <w:sz w:val="20"/>
      </w:rPr>
      <w:tab/>
      <w:t xml:space="preserve">         Research Nurse: Julian Surey</w:t>
    </w:r>
  </w:p>
  <w:p w:rsidR="00335472" w:rsidRDefault="00335472" w:rsidP="00B94E5E">
    <w:pPr>
      <w:tabs>
        <w:tab w:val="left" w:pos="426"/>
        <w:tab w:val="left" w:pos="1418"/>
        <w:tab w:val="left" w:pos="1843"/>
        <w:tab w:val="left" w:pos="3544"/>
        <w:tab w:val="left" w:pos="3969"/>
        <w:tab w:val="left" w:pos="6237"/>
        <w:tab w:val="left" w:pos="6663"/>
      </w:tabs>
      <w:ind w:right="567"/>
      <w:rPr>
        <w:rFonts w:ascii="Calibri" w:hAnsi="Calibri"/>
        <w:sz w:val="20"/>
      </w:rPr>
    </w:pPr>
    <w:r w:rsidRPr="00B94E5E">
      <w:rPr>
        <w:rFonts w:ascii="Calibri" w:hAnsi="Calibri"/>
        <w:sz w:val="20"/>
      </w:rPr>
      <w:t>4th Floor, Mortimer Market Centre, off Capper Street, London WC1E 6JB</w:t>
    </w:r>
    <w:r w:rsidR="00C5204F">
      <w:rPr>
        <w:rFonts w:ascii="Calibri" w:hAnsi="Calibri"/>
        <w:sz w:val="20"/>
      </w:rPr>
      <w:tab/>
    </w:r>
    <w:r w:rsidR="00C5204F">
      <w:rPr>
        <w:rFonts w:ascii="Calibri" w:hAnsi="Calibri"/>
        <w:sz w:val="20"/>
      </w:rPr>
      <w:tab/>
      <w:t xml:space="preserve">         Research Nurse: Marie Francis</w:t>
    </w:r>
  </w:p>
  <w:p w:rsidR="00335472" w:rsidRPr="008A730A" w:rsidRDefault="00335472" w:rsidP="00912177">
    <w:pPr>
      <w:tabs>
        <w:tab w:val="left" w:pos="426"/>
        <w:tab w:val="left" w:pos="1418"/>
        <w:tab w:val="left" w:pos="1843"/>
        <w:tab w:val="left" w:pos="3544"/>
        <w:tab w:val="left" w:pos="3969"/>
        <w:tab w:val="left" w:pos="6237"/>
        <w:tab w:val="left" w:pos="6663"/>
      </w:tabs>
      <w:ind w:right="567"/>
      <w:rPr>
        <w:rFonts w:ascii="Calibri" w:hAnsi="Calibri"/>
        <w:sz w:val="20"/>
      </w:rPr>
    </w:pPr>
    <w:r>
      <w:rPr>
        <w:rFonts w:ascii="Calibri" w:hAnsi="Calibri"/>
        <w:sz w:val="20"/>
      </w:rPr>
      <w:t xml:space="preserve">Telephone 0203 108 2095    </w:t>
    </w:r>
    <w:hyperlink r:id="rId1" w:history="1">
      <w:r w:rsidR="00C5204F" w:rsidRPr="00094632">
        <w:rPr>
          <w:rStyle w:val="Hyperlink"/>
          <w:rFonts w:ascii="Calibri" w:hAnsi="Calibri"/>
          <w:sz w:val="20"/>
        </w:rPr>
        <w:t>www.ucl.ac.uk/igh</w:t>
      </w:r>
    </w:hyperlink>
    <w:r w:rsidR="00C5204F">
      <w:rPr>
        <w:rFonts w:ascii="Calibri" w:hAnsi="Calibri"/>
        <w:sz w:val="20"/>
      </w:rPr>
      <w:tab/>
    </w:r>
    <w:r w:rsidR="00C5204F">
      <w:rPr>
        <w:rFonts w:ascii="Calibri" w:hAnsi="Calibri"/>
        <w:sz w:val="20"/>
      </w:rPr>
      <w:tab/>
    </w:r>
    <w:r w:rsidR="00C5204F">
      <w:rPr>
        <w:rFonts w:ascii="Calibri" w:hAnsi="Calibri"/>
        <w:sz w:val="20"/>
      </w:rPr>
      <w:tab/>
      <w:t xml:space="preserve">         Admin Assistant: Kay Musonda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472" w:rsidRDefault="00335472">
      <w:r>
        <w:separator/>
      </w:r>
    </w:p>
  </w:footnote>
  <w:footnote w:type="continuationSeparator" w:id="0">
    <w:p w:rsidR="00335472" w:rsidRDefault="00335472">
      <w:r>
        <w:continuationSeparator/>
      </w:r>
    </w:p>
  </w:footnote>
  <w:footnote w:id="1">
    <w:p w:rsidR="00335472" w:rsidRDefault="00335472" w:rsidP="00D30E34">
      <w:pPr>
        <w:pStyle w:val="FootnoteText"/>
      </w:pPr>
      <w:r>
        <w:rPr>
          <w:rStyle w:val="FootnoteReference"/>
        </w:rPr>
        <w:footnoteRef/>
      </w:r>
      <w:r>
        <w:t xml:space="preserve"> </w:t>
      </w:r>
      <w:r>
        <w:rPr>
          <w:sz w:val="20"/>
          <w:szCs w:val="20"/>
          <w:lang w:val="en-US"/>
        </w:rPr>
        <w:t>The focus of the trial was</w:t>
      </w:r>
      <w:r w:rsidRPr="0019080B">
        <w:rPr>
          <w:sz w:val="20"/>
          <w:szCs w:val="20"/>
          <w:lang w:val="en-US"/>
        </w:rPr>
        <w:t xml:space="preserve"> widened to include all patients</w:t>
      </w:r>
      <w:r>
        <w:rPr>
          <w:sz w:val="20"/>
          <w:szCs w:val="20"/>
          <w:lang w:val="en-US"/>
        </w:rPr>
        <w:t>, rather than just individuals from hard-to-reach groups, as adherence levels were</w:t>
      </w:r>
      <w:r w:rsidRPr="0019080B">
        <w:rPr>
          <w:sz w:val="20"/>
          <w:szCs w:val="20"/>
          <w:lang w:val="en-US"/>
        </w:rPr>
        <w:t xml:space="preserve"> identified to be a challenge among all patients being treated for </w:t>
      </w:r>
      <w:r>
        <w:rPr>
          <w:sz w:val="20"/>
          <w:szCs w:val="20"/>
          <w:lang w:val="en-US"/>
        </w:rPr>
        <w:t>LTBI</w:t>
      </w:r>
      <w:r w:rsidRPr="0019080B">
        <w:rPr>
          <w:sz w:val="20"/>
          <w:szCs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472" w:rsidRDefault="00335472">
    <w:pPr>
      <w:pStyle w:val="Header"/>
    </w:pPr>
    <w:r>
      <w:rPr>
        <w:noProof/>
        <w:lang w:eastAsia="en-GB"/>
      </w:rPr>
      <w:drawing>
        <wp:anchor distT="0" distB="0" distL="114300" distR="114300" simplePos="0" relativeHeight="251657728" behindDoc="1" locked="0" layoutInCell="1" allowOverlap="1">
          <wp:simplePos x="0" y="0"/>
          <wp:positionH relativeFrom="column">
            <wp:posOffset>-1767840</wp:posOffset>
          </wp:positionH>
          <wp:positionV relativeFrom="paragraph">
            <wp:posOffset>-448310</wp:posOffset>
          </wp:positionV>
          <wp:extent cx="8629015" cy="1476375"/>
          <wp:effectExtent l="0" t="0" r="6985" b="0"/>
          <wp:wrapNone/>
          <wp:docPr id="1" name="Picture 1" descr="Institute for global health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itute for global health 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901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4.7pt;height:22.3pt;visibility:visible" o:bullet="t">
        <v:imagedata r:id="rId1" o:title=""/>
      </v:shape>
    </w:pict>
  </w:numPicBullet>
  <w:abstractNum w:abstractNumId="0" w15:restartNumberingAfterBreak="0">
    <w:nsid w:val="FFFFFF1D"/>
    <w:multiLevelType w:val="multilevel"/>
    <w:tmpl w:val="738400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91AB3"/>
    <w:multiLevelType w:val="hybridMultilevel"/>
    <w:tmpl w:val="2B047E42"/>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E764A1"/>
    <w:multiLevelType w:val="hybridMultilevel"/>
    <w:tmpl w:val="829C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193789"/>
    <w:multiLevelType w:val="hybridMultilevel"/>
    <w:tmpl w:val="867E2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5644E1"/>
    <w:multiLevelType w:val="hybridMultilevel"/>
    <w:tmpl w:val="4ACA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3DA7"/>
    <w:multiLevelType w:val="hybridMultilevel"/>
    <w:tmpl w:val="F7DA27A4"/>
    <w:lvl w:ilvl="0" w:tplc="1A4ADECA">
      <w:start w:val="1"/>
      <w:numFmt w:val="bullet"/>
      <w:lvlText w:val=""/>
      <w:lvlPicBulletId w:val="0"/>
      <w:lvlJc w:val="left"/>
      <w:pPr>
        <w:tabs>
          <w:tab w:val="num" w:pos="720"/>
        </w:tabs>
        <w:ind w:left="720" w:hanging="360"/>
      </w:pPr>
      <w:rPr>
        <w:rFonts w:ascii="Symbol" w:hAnsi="Symbol" w:hint="default"/>
      </w:rPr>
    </w:lvl>
    <w:lvl w:ilvl="1" w:tplc="6AD03516" w:tentative="1">
      <w:start w:val="1"/>
      <w:numFmt w:val="bullet"/>
      <w:lvlText w:val=""/>
      <w:lvlJc w:val="left"/>
      <w:pPr>
        <w:tabs>
          <w:tab w:val="num" w:pos="1440"/>
        </w:tabs>
        <w:ind w:left="1440" w:hanging="360"/>
      </w:pPr>
      <w:rPr>
        <w:rFonts w:ascii="Symbol" w:hAnsi="Symbol" w:hint="default"/>
      </w:rPr>
    </w:lvl>
    <w:lvl w:ilvl="2" w:tplc="DD22E0A0" w:tentative="1">
      <w:start w:val="1"/>
      <w:numFmt w:val="bullet"/>
      <w:lvlText w:val=""/>
      <w:lvlJc w:val="left"/>
      <w:pPr>
        <w:tabs>
          <w:tab w:val="num" w:pos="2160"/>
        </w:tabs>
        <w:ind w:left="2160" w:hanging="360"/>
      </w:pPr>
      <w:rPr>
        <w:rFonts w:ascii="Symbol" w:hAnsi="Symbol" w:hint="default"/>
      </w:rPr>
    </w:lvl>
    <w:lvl w:ilvl="3" w:tplc="E490EE7C" w:tentative="1">
      <w:start w:val="1"/>
      <w:numFmt w:val="bullet"/>
      <w:lvlText w:val=""/>
      <w:lvlJc w:val="left"/>
      <w:pPr>
        <w:tabs>
          <w:tab w:val="num" w:pos="2880"/>
        </w:tabs>
        <w:ind w:left="2880" w:hanging="360"/>
      </w:pPr>
      <w:rPr>
        <w:rFonts w:ascii="Symbol" w:hAnsi="Symbol" w:hint="default"/>
      </w:rPr>
    </w:lvl>
    <w:lvl w:ilvl="4" w:tplc="9CA01BD8" w:tentative="1">
      <w:start w:val="1"/>
      <w:numFmt w:val="bullet"/>
      <w:lvlText w:val=""/>
      <w:lvlJc w:val="left"/>
      <w:pPr>
        <w:tabs>
          <w:tab w:val="num" w:pos="3600"/>
        </w:tabs>
        <w:ind w:left="3600" w:hanging="360"/>
      </w:pPr>
      <w:rPr>
        <w:rFonts w:ascii="Symbol" w:hAnsi="Symbol" w:hint="default"/>
      </w:rPr>
    </w:lvl>
    <w:lvl w:ilvl="5" w:tplc="B080A92A" w:tentative="1">
      <w:start w:val="1"/>
      <w:numFmt w:val="bullet"/>
      <w:lvlText w:val=""/>
      <w:lvlJc w:val="left"/>
      <w:pPr>
        <w:tabs>
          <w:tab w:val="num" w:pos="4320"/>
        </w:tabs>
        <w:ind w:left="4320" w:hanging="360"/>
      </w:pPr>
      <w:rPr>
        <w:rFonts w:ascii="Symbol" w:hAnsi="Symbol" w:hint="default"/>
      </w:rPr>
    </w:lvl>
    <w:lvl w:ilvl="6" w:tplc="56568AC8" w:tentative="1">
      <w:start w:val="1"/>
      <w:numFmt w:val="bullet"/>
      <w:lvlText w:val=""/>
      <w:lvlJc w:val="left"/>
      <w:pPr>
        <w:tabs>
          <w:tab w:val="num" w:pos="5040"/>
        </w:tabs>
        <w:ind w:left="5040" w:hanging="360"/>
      </w:pPr>
      <w:rPr>
        <w:rFonts w:ascii="Symbol" w:hAnsi="Symbol" w:hint="default"/>
      </w:rPr>
    </w:lvl>
    <w:lvl w:ilvl="7" w:tplc="A83217C4" w:tentative="1">
      <w:start w:val="1"/>
      <w:numFmt w:val="bullet"/>
      <w:lvlText w:val=""/>
      <w:lvlJc w:val="left"/>
      <w:pPr>
        <w:tabs>
          <w:tab w:val="num" w:pos="5760"/>
        </w:tabs>
        <w:ind w:left="5760" w:hanging="360"/>
      </w:pPr>
      <w:rPr>
        <w:rFonts w:ascii="Symbol" w:hAnsi="Symbol" w:hint="default"/>
      </w:rPr>
    </w:lvl>
    <w:lvl w:ilvl="8" w:tplc="0A62A7D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C5B2E63"/>
    <w:multiLevelType w:val="hybridMultilevel"/>
    <w:tmpl w:val="6C08F544"/>
    <w:lvl w:ilvl="0" w:tplc="0809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035F69"/>
    <w:multiLevelType w:val="hybridMultilevel"/>
    <w:tmpl w:val="C9903600"/>
    <w:lvl w:ilvl="0" w:tplc="BC06D23C">
      <w:numFmt w:val="bullet"/>
      <w:lvlText w:val="-"/>
      <w:lvlJc w:val="left"/>
      <w:pPr>
        <w:ind w:left="1080" w:hanging="360"/>
      </w:pPr>
      <w:rPr>
        <w:rFonts w:ascii="Arial" w:eastAsia="SimSu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BB7B8D"/>
    <w:multiLevelType w:val="hybridMultilevel"/>
    <w:tmpl w:val="ABD8F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F21116"/>
    <w:multiLevelType w:val="hybridMultilevel"/>
    <w:tmpl w:val="3B18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C15A5"/>
    <w:multiLevelType w:val="hybridMultilevel"/>
    <w:tmpl w:val="0BA4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D6F38"/>
    <w:multiLevelType w:val="hybridMultilevel"/>
    <w:tmpl w:val="FD12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337E9"/>
    <w:multiLevelType w:val="hybridMultilevel"/>
    <w:tmpl w:val="4668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46430"/>
    <w:multiLevelType w:val="hybridMultilevel"/>
    <w:tmpl w:val="2C60B29C"/>
    <w:lvl w:ilvl="0" w:tplc="6D3288B0">
      <w:start w:val="1"/>
      <w:numFmt w:val="decimal"/>
      <w:lvlText w:val="3.%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AFF26DD"/>
    <w:multiLevelType w:val="hybridMultilevel"/>
    <w:tmpl w:val="686A3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1F078A"/>
    <w:multiLevelType w:val="hybridMultilevel"/>
    <w:tmpl w:val="DF94EB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EC20924"/>
    <w:multiLevelType w:val="hybridMultilevel"/>
    <w:tmpl w:val="2A821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65221"/>
    <w:multiLevelType w:val="hybridMultilevel"/>
    <w:tmpl w:val="E40C54FC"/>
    <w:lvl w:ilvl="0" w:tplc="D2C8C618">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9BF0D0A"/>
    <w:multiLevelType w:val="hybridMultilevel"/>
    <w:tmpl w:val="D6DEB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CF3B89"/>
    <w:multiLevelType w:val="hybridMultilevel"/>
    <w:tmpl w:val="7574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E756A2"/>
    <w:multiLevelType w:val="hybridMultilevel"/>
    <w:tmpl w:val="A6B64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765DFB"/>
    <w:multiLevelType w:val="hybridMultilevel"/>
    <w:tmpl w:val="3B660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037CED"/>
    <w:multiLevelType w:val="hybridMultilevel"/>
    <w:tmpl w:val="ECD2C1F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2D7F64"/>
    <w:multiLevelType w:val="hybridMultilevel"/>
    <w:tmpl w:val="0DC8F45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C80FE1"/>
    <w:multiLevelType w:val="hybridMultilevel"/>
    <w:tmpl w:val="CEDC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215367"/>
    <w:multiLevelType w:val="hybridMultilevel"/>
    <w:tmpl w:val="46FA4D5A"/>
    <w:lvl w:ilvl="0" w:tplc="E60CFA34">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9365F"/>
    <w:multiLevelType w:val="hybridMultilevel"/>
    <w:tmpl w:val="FC5872F6"/>
    <w:lvl w:ilvl="0" w:tplc="CEDEAD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FC46192"/>
    <w:multiLevelType w:val="hybridMultilevel"/>
    <w:tmpl w:val="CB946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630281"/>
    <w:multiLevelType w:val="hybridMultilevel"/>
    <w:tmpl w:val="CD48F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440A19"/>
    <w:multiLevelType w:val="hybridMultilevel"/>
    <w:tmpl w:val="34EE1676"/>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5E954965"/>
    <w:multiLevelType w:val="hybridMultilevel"/>
    <w:tmpl w:val="F1BC5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640609"/>
    <w:multiLevelType w:val="hybridMultilevel"/>
    <w:tmpl w:val="86E206E2"/>
    <w:lvl w:ilvl="0" w:tplc="D2C8C61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FA11DA"/>
    <w:multiLevelType w:val="hybridMultilevel"/>
    <w:tmpl w:val="22988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DC64A5"/>
    <w:multiLevelType w:val="hybridMultilevel"/>
    <w:tmpl w:val="AAE81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33EBD"/>
    <w:multiLevelType w:val="hybridMultilevel"/>
    <w:tmpl w:val="0AC808DE"/>
    <w:lvl w:ilvl="0" w:tplc="D2C8C61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5A19A0"/>
    <w:multiLevelType w:val="hybridMultilevel"/>
    <w:tmpl w:val="CF1E59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F5321A1"/>
    <w:multiLevelType w:val="hybridMultilevel"/>
    <w:tmpl w:val="C05E5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C418CF"/>
    <w:multiLevelType w:val="hybridMultilevel"/>
    <w:tmpl w:val="8216F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F56111"/>
    <w:multiLevelType w:val="hybridMultilevel"/>
    <w:tmpl w:val="03D0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B17E16"/>
    <w:multiLevelType w:val="hybridMultilevel"/>
    <w:tmpl w:val="C436F45C"/>
    <w:lvl w:ilvl="0" w:tplc="0809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69E5A1B"/>
    <w:multiLevelType w:val="hybridMultilevel"/>
    <w:tmpl w:val="26980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6F724BE"/>
    <w:multiLevelType w:val="hybridMultilevel"/>
    <w:tmpl w:val="9C62E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4D7ACC"/>
    <w:multiLevelType w:val="hybridMultilevel"/>
    <w:tmpl w:val="6EE23806"/>
    <w:lvl w:ilvl="0" w:tplc="D2C8C61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5130EB"/>
    <w:multiLevelType w:val="hybridMultilevel"/>
    <w:tmpl w:val="B6BA8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27"/>
  </w:num>
  <w:num w:numId="4">
    <w:abstractNumId w:val="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0"/>
  </w:num>
  <w:num w:numId="9">
    <w:abstractNumId w:val="28"/>
  </w:num>
  <w:num w:numId="10">
    <w:abstractNumId w:val="21"/>
  </w:num>
  <w:num w:numId="11">
    <w:abstractNumId w:val="1"/>
  </w:num>
  <w:num w:numId="12">
    <w:abstractNumId w:val="25"/>
  </w:num>
  <w:num w:numId="13">
    <w:abstractNumId w:val="36"/>
  </w:num>
  <w:num w:numId="14">
    <w:abstractNumId w:val="35"/>
  </w:num>
  <w:num w:numId="15">
    <w:abstractNumId w:val="5"/>
  </w:num>
  <w:num w:numId="16">
    <w:abstractNumId w:val="14"/>
  </w:num>
  <w:num w:numId="17">
    <w:abstractNumId w:val="40"/>
  </w:num>
  <w:num w:numId="18">
    <w:abstractNumId w:val="3"/>
  </w:num>
  <w:num w:numId="19">
    <w:abstractNumId w:val="8"/>
  </w:num>
  <w:num w:numId="20">
    <w:abstractNumId w:val="24"/>
  </w:num>
  <w:num w:numId="21">
    <w:abstractNumId w:val="20"/>
  </w:num>
  <w:num w:numId="22">
    <w:abstractNumId w:val="26"/>
  </w:num>
  <w:num w:numId="23">
    <w:abstractNumId w:val="37"/>
  </w:num>
  <w:num w:numId="24">
    <w:abstractNumId w:val="7"/>
  </w:num>
  <w:num w:numId="25">
    <w:abstractNumId w:val="10"/>
  </w:num>
  <w:num w:numId="26">
    <w:abstractNumId w:val="38"/>
  </w:num>
  <w:num w:numId="27">
    <w:abstractNumId w:val="19"/>
  </w:num>
  <w:num w:numId="28">
    <w:abstractNumId w:val="9"/>
  </w:num>
  <w:num w:numId="29">
    <w:abstractNumId w:val="39"/>
  </w:num>
  <w:num w:numId="30">
    <w:abstractNumId w:val="33"/>
  </w:num>
  <w:num w:numId="31">
    <w:abstractNumId w:val="34"/>
  </w:num>
  <w:num w:numId="32">
    <w:abstractNumId w:val="17"/>
  </w:num>
  <w:num w:numId="33">
    <w:abstractNumId w:val="31"/>
  </w:num>
  <w:num w:numId="34">
    <w:abstractNumId w:val="22"/>
  </w:num>
  <w:num w:numId="35">
    <w:abstractNumId w:val="43"/>
  </w:num>
  <w:num w:numId="36">
    <w:abstractNumId w:val="42"/>
  </w:num>
  <w:num w:numId="37">
    <w:abstractNumId w:val="23"/>
  </w:num>
  <w:num w:numId="38">
    <w:abstractNumId w:val="2"/>
  </w:num>
  <w:num w:numId="39">
    <w:abstractNumId w:val="11"/>
  </w:num>
  <w:num w:numId="40">
    <w:abstractNumId w:val="12"/>
  </w:num>
  <w:num w:numId="41">
    <w:abstractNumId w:val="4"/>
  </w:num>
  <w:num w:numId="42">
    <w:abstractNumId w:val="32"/>
  </w:num>
  <w:num w:numId="43">
    <w:abstractNumId w:val="41"/>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DE3"/>
    <w:rsid w:val="00040DCC"/>
    <w:rsid w:val="00060BCA"/>
    <w:rsid w:val="00065AB3"/>
    <w:rsid w:val="000817D6"/>
    <w:rsid w:val="000A230F"/>
    <w:rsid w:val="000D053C"/>
    <w:rsid w:val="001467E7"/>
    <w:rsid w:val="001D3CB6"/>
    <w:rsid w:val="0020527C"/>
    <w:rsid w:val="002166BA"/>
    <w:rsid w:val="002B425C"/>
    <w:rsid w:val="002B4307"/>
    <w:rsid w:val="002E1041"/>
    <w:rsid w:val="00335472"/>
    <w:rsid w:val="003B22B3"/>
    <w:rsid w:val="003D3839"/>
    <w:rsid w:val="003D647B"/>
    <w:rsid w:val="004320D2"/>
    <w:rsid w:val="00455BAD"/>
    <w:rsid w:val="0053291E"/>
    <w:rsid w:val="0055372B"/>
    <w:rsid w:val="00605B79"/>
    <w:rsid w:val="0062792F"/>
    <w:rsid w:val="006D3AE7"/>
    <w:rsid w:val="00707074"/>
    <w:rsid w:val="00715BDB"/>
    <w:rsid w:val="007378C9"/>
    <w:rsid w:val="00752E6E"/>
    <w:rsid w:val="00790C9D"/>
    <w:rsid w:val="007D5978"/>
    <w:rsid w:val="008A730A"/>
    <w:rsid w:val="008E70F9"/>
    <w:rsid w:val="00912177"/>
    <w:rsid w:val="009134A1"/>
    <w:rsid w:val="009C6DA0"/>
    <w:rsid w:val="00B324EC"/>
    <w:rsid w:val="00B94E5E"/>
    <w:rsid w:val="00BA7F20"/>
    <w:rsid w:val="00BF0CF6"/>
    <w:rsid w:val="00BF2A3D"/>
    <w:rsid w:val="00C50992"/>
    <w:rsid w:val="00C5204F"/>
    <w:rsid w:val="00D30E34"/>
    <w:rsid w:val="00D43A92"/>
    <w:rsid w:val="00D532FC"/>
    <w:rsid w:val="00DB5DE3"/>
    <w:rsid w:val="00DC1C4A"/>
    <w:rsid w:val="00E04F76"/>
    <w:rsid w:val="00E868B8"/>
    <w:rsid w:val="00EB55A1"/>
    <w:rsid w:val="00ED6DA6"/>
    <w:rsid w:val="00F43152"/>
    <w:rsid w:val="00FA1727"/>
    <w:rsid w:val="00FF3D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32A6AB"/>
  <w15:docId w15:val="{7A4C75BD-5390-4B79-BD4B-9908A1B0F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2"/>
    </w:rPr>
  </w:style>
  <w:style w:type="paragraph" w:styleId="Heading1">
    <w:name w:val="heading 1"/>
    <w:basedOn w:val="Normal"/>
    <w:next w:val="Normal"/>
    <w:link w:val="Heading1Char"/>
    <w:uiPriority w:val="9"/>
    <w:qFormat/>
    <w:pPr>
      <w:keepNext/>
      <w:outlineLvl w:val="0"/>
    </w:pPr>
    <w:rPr>
      <w:b/>
    </w:rPr>
  </w:style>
  <w:style w:type="paragraph" w:styleId="Heading2">
    <w:name w:val="heading 2"/>
    <w:basedOn w:val="Normal"/>
    <w:next w:val="Normal"/>
    <w:link w:val="Heading2Char"/>
    <w:uiPriority w:val="9"/>
    <w:qFormat/>
    <w:pPr>
      <w:keepNext/>
      <w:jc w:val="center"/>
      <w:outlineLvl w:val="1"/>
    </w:pPr>
    <w:rPr>
      <w:b/>
    </w:rPr>
  </w:style>
  <w:style w:type="paragraph" w:styleId="Heading3">
    <w:name w:val="heading 3"/>
    <w:basedOn w:val="Normal"/>
    <w:next w:val="Normal"/>
    <w:link w:val="Heading3Char"/>
    <w:uiPriority w:val="9"/>
    <w:qFormat/>
    <w:pPr>
      <w:keepNext/>
      <w:spacing w:after="80"/>
      <w:ind w:right="567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E70F9"/>
    <w:pPr>
      <w:tabs>
        <w:tab w:val="center" w:pos="4320"/>
        <w:tab w:val="right" w:pos="8640"/>
      </w:tabs>
    </w:pPr>
  </w:style>
  <w:style w:type="paragraph" w:styleId="Footer">
    <w:name w:val="footer"/>
    <w:basedOn w:val="Normal"/>
    <w:link w:val="FooterChar"/>
    <w:uiPriority w:val="99"/>
    <w:rsid w:val="008E70F9"/>
    <w:pPr>
      <w:tabs>
        <w:tab w:val="center" w:pos="4320"/>
        <w:tab w:val="right" w:pos="8640"/>
      </w:tabs>
    </w:pPr>
  </w:style>
  <w:style w:type="numbering" w:customStyle="1" w:styleId="NoList1">
    <w:name w:val="No List1"/>
    <w:next w:val="NoList"/>
    <w:uiPriority w:val="99"/>
    <w:semiHidden/>
    <w:unhideWhenUsed/>
    <w:rsid w:val="00D30E34"/>
  </w:style>
  <w:style w:type="character" w:customStyle="1" w:styleId="Heading1Char">
    <w:name w:val="Heading 1 Char"/>
    <w:basedOn w:val="DefaultParagraphFont"/>
    <w:link w:val="Heading1"/>
    <w:uiPriority w:val="9"/>
    <w:rsid w:val="00D30E34"/>
    <w:rPr>
      <w:rFonts w:ascii="Arial" w:hAnsi="Arial"/>
      <w:b/>
      <w:sz w:val="22"/>
      <w:szCs w:val="22"/>
    </w:rPr>
  </w:style>
  <w:style w:type="character" w:customStyle="1" w:styleId="Heading2Char">
    <w:name w:val="Heading 2 Char"/>
    <w:basedOn w:val="DefaultParagraphFont"/>
    <w:link w:val="Heading2"/>
    <w:uiPriority w:val="9"/>
    <w:rsid w:val="00D30E34"/>
    <w:rPr>
      <w:rFonts w:ascii="Arial" w:hAnsi="Arial"/>
      <w:b/>
      <w:sz w:val="22"/>
      <w:szCs w:val="22"/>
    </w:rPr>
  </w:style>
  <w:style w:type="character" w:customStyle="1" w:styleId="Heading3Char">
    <w:name w:val="Heading 3 Char"/>
    <w:basedOn w:val="DefaultParagraphFont"/>
    <w:link w:val="Heading3"/>
    <w:uiPriority w:val="9"/>
    <w:rsid w:val="00D30E34"/>
    <w:rPr>
      <w:rFonts w:ascii="Arial" w:hAnsi="Arial"/>
      <w:b/>
      <w:sz w:val="22"/>
      <w:szCs w:val="22"/>
    </w:rPr>
  </w:style>
  <w:style w:type="character" w:customStyle="1" w:styleId="HeaderChar">
    <w:name w:val="Header Char"/>
    <w:basedOn w:val="DefaultParagraphFont"/>
    <w:link w:val="Header"/>
    <w:uiPriority w:val="99"/>
    <w:rsid w:val="00D30E34"/>
    <w:rPr>
      <w:rFonts w:ascii="Arial" w:hAnsi="Arial"/>
      <w:sz w:val="22"/>
      <w:szCs w:val="22"/>
    </w:rPr>
  </w:style>
  <w:style w:type="character" w:customStyle="1" w:styleId="FooterChar">
    <w:name w:val="Footer Char"/>
    <w:basedOn w:val="DefaultParagraphFont"/>
    <w:link w:val="Footer"/>
    <w:uiPriority w:val="99"/>
    <w:rsid w:val="00D30E34"/>
    <w:rPr>
      <w:rFonts w:ascii="Arial" w:hAnsi="Arial"/>
      <w:sz w:val="22"/>
      <w:szCs w:val="22"/>
    </w:rPr>
  </w:style>
  <w:style w:type="paragraph" w:styleId="TOCHeading">
    <w:name w:val="TOC Heading"/>
    <w:basedOn w:val="Heading1"/>
    <w:next w:val="Normal"/>
    <w:uiPriority w:val="39"/>
    <w:unhideWhenUsed/>
    <w:qFormat/>
    <w:rsid w:val="00D30E34"/>
    <w:pPr>
      <w:keepNext w:val="0"/>
      <w:spacing w:line="276" w:lineRule="auto"/>
      <w:outlineLvl w:val="9"/>
    </w:pPr>
    <w:rPr>
      <w:rFonts w:eastAsia="Calibri" w:cs="Arial"/>
      <w:caps/>
      <w:sz w:val="28"/>
      <w:szCs w:val="28"/>
      <w:lang w:val="en-US" w:eastAsia="ja-JP"/>
    </w:rPr>
  </w:style>
  <w:style w:type="paragraph" w:styleId="BalloonText">
    <w:name w:val="Balloon Text"/>
    <w:basedOn w:val="Normal"/>
    <w:link w:val="BalloonTextChar"/>
    <w:uiPriority w:val="99"/>
    <w:semiHidden/>
    <w:unhideWhenUsed/>
    <w:rsid w:val="00D30E34"/>
    <w:pPr>
      <w:outlineLvl w:val="1"/>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D30E34"/>
    <w:rPr>
      <w:rFonts w:ascii="Tahoma" w:eastAsia="Calibri" w:hAnsi="Tahoma" w:cs="Tahoma"/>
      <w:sz w:val="16"/>
      <w:szCs w:val="16"/>
    </w:rPr>
  </w:style>
  <w:style w:type="paragraph" w:styleId="TOC1">
    <w:name w:val="toc 1"/>
    <w:basedOn w:val="Normal"/>
    <w:next w:val="Normal"/>
    <w:autoRedefine/>
    <w:uiPriority w:val="39"/>
    <w:unhideWhenUsed/>
    <w:rsid w:val="00D30E34"/>
    <w:pPr>
      <w:spacing w:line="360" w:lineRule="auto"/>
      <w:outlineLvl w:val="1"/>
    </w:pPr>
    <w:rPr>
      <w:rFonts w:eastAsia="Calibri" w:cs="Arial"/>
    </w:rPr>
  </w:style>
  <w:style w:type="paragraph" w:styleId="TOC2">
    <w:name w:val="toc 2"/>
    <w:basedOn w:val="Normal"/>
    <w:next w:val="Normal"/>
    <w:autoRedefine/>
    <w:uiPriority w:val="39"/>
    <w:unhideWhenUsed/>
    <w:rsid w:val="00D30E34"/>
    <w:pPr>
      <w:tabs>
        <w:tab w:val="right" w:leader="dot" w:pos="9016"/>
      </w:tabs>
      <w:spacing w:line="360" w:lineRule="auto"/>
      <w:ind w:left="221"/>
      <w:outlineLvl w:val="1"/>
    </w:pPr>
    <w:rPr>
      <w:rFonts w:eastAsia="Calibri" w:cs="Arial"/>
    </w:rPr>
  </w:style>
  <w:style w:type="character" w:customStyle="1" w:styleId="Hyperlink1">
    <w:name w:val="Hyperlink1"/>
    <w:basedOn w:val="DefaultParagraphFont"/>
    <w:uiPriority w:val="99"/>
    <w:unhideWhenUsed/>
    <w:rsid w:val="00D30E34"/>
    <w:rPr>
      <w:color w:val="0563C1"/>
      <w:u w:val="single"/>
    </w:rPr>
  </w:style>
  <w:style w:type="paragraph" w:styleId="TOC3">
    <w:name w:val="toc 3"/>
    <w:basedOn w:val="Normal"/>
    <w:next w:val="Normal"/>
    <w:autoRedefine/>
    <w:uiPriority w:val="39"/>
    <w:unhideWhenUsed/>
    <w:rsid w:val="00D30E34"/>
    <w:pPr>
      <w:spacing w:line="360" w:lineRule="auto"/>
      <w:ind w:left="442"/>
      <w:outlineLvl w:val="1"/>
    </w:pPr>
    <w:rPr>
      <w:rFonts w:eastAsia="Calibri" w:cs="Arial"/>
    </w:rPr>
  </w:style>
  <w:style w:type="character" w:customStyle="1" w:styleId="complextitleprimary">
    <w:name w:val="complextitle_primary"/>
    <w:basedOn w:val="DefaultParagraphFont"/>
    <w:rsid w:val="00D30E34"/>
  </w:style>
  <w:style w:type="character" w:styleId="CommentReference">
    <w:name w:val="annotation reference"/>
    <w:basedOn w:val="DefaultParagraphFont"/>
    <w:uiPriority w:val="99"/>
    <w:semiHidden/>
    <w:unhideWhenUsed/>
    <w:rsid w:val="00D30E34"/>
    <w:rPr>
      <w:sz w:val="16"/>
      <w:szCs w:val="16"/>
    </w:rPr>
  </w:style>
  <w:style w:type="paragraph" w:styleId="CommentText">
    <w:name w:val="annotation text"/>
    <w:basedOn w:val="Normal"/>
    <w:link w:val="CommentTextChar"/>
    <w:uiPriority w:val="99"/>
    <w:unhideWhenUsed/>
    <w:rsid w:val="00D30E34"/>
    <w:pPr>
      <w:outlineLvl w:val="1"/>
    </w:pPr>
    <w:rPr>
      <w:rFonts w:eastAsia="Calibri" w:cs="Arial"/>
      <w:sz w:val="20"/>
      <w:szCs w:val="20"/>
    </w:rPr>
  </w:style>
  <w:style w:type="character" w:customStyle="1" w:styleId="CommentTextChar">
    <w:name w:val="Comment Text Char"/>
    <w:basedOn w:val="DefaultParagraphFont"/>
    <w:link w:val="CommentText"/>
    <w:uiPriority w:val="99"/>
    <w:rsid w:val="00D30E34"/>
    <w:rPr>
      <w:rFonts w:ascii="Arial" w:eastAsia="Calibri" w:hAnsi="Arial" w:cs="Arial"/>
    </w:rPr>
  </w:style>
  <w:style w:type="paragraph" w:styleId="CommentSubject">
    <w:name w:val="annotation subject"/>
    <w:basedOn w:val="CommentText"/>
    <w:next w:val="CommentText"/>
    <w:link w:val="CommentSubjectChar"/>
    <w:uiPriority w:val="99"/>
    <w:semiHidden/>
    <w:unhideWhenUsed/>
    <w:rsid w:val="00D30E34"/>
    <w:rPr>
      <w:b/>
      <w:bCs/>
    </w:rPr>
  </w:style>
  <w:style w:type="character" w:customStyle="1" w:styleId="CommentSubjectChar">
    <w:name w:val="Comment Subject Char"/>
    <w:basedOn w:val="CommentTextChar"/>
    <w:link w:val="CommentSubject"/>
    <w:uiPriority w:val="99"/>
    <w:semiHidden/>
    <w:rsid w:val="00D30E34"/>
    <w:rPr>
      <w:rFonts w:ascii="Arial" w:eastAsia="Calibri" w:hAnsi="Arial" w:cs="Arial"/>
      <w:b/>
      <w:bCs/>
    </w:rPr>
  </w:style>
  <w:style w:type="character" w:customStyle="1" w:styleId="FollowedHyperlink1">
    <w:name w:val="FollowedHyperlink1"/>
    <w:basedOn w:val="DefaultParagraphFont"/>
    <w:uiPriority w:val="99"/>
    <w:semiHidden/>
    <w:unhideWhenUsed/>
    <w:rsid w:val="00D30E34"/>
    <w:rPr>
      <w:color w:val="954F72"/>
      <w:u w:val="single"/>
    </w:rPr>
  </w:style>
  <w:style w:type="paragraph" w:styleId="NoSpacing">
    <w:name w:val="No Spacing"/>
    <w:link w:val="NoSpacingChar"/>
    <w:uiPriority w:val="1"/>
    <w:qFormat/>
    <w:rsid w:val="00D30E34"/>
    <w:pPr>
      <w:outlineLvl w:val="1"/>
    </w:pPr>
    <w:rPr>
      <w:rFonts w:ascii="Arial" w:eastAsia="Calibri" w:hAnsi="Arial" w:cs="Arial"/>
      <w:sz w:val="22"/>
      <w:szCs w:val="22"/>
    </w:rPr>
  </w:style>
  <w:style w:type="character" w:customStyle="1" w:styleId="NoSpacingChar">
    <w:name w:val="No Spacing Char"/>
    <w:basedOn w:val="DefaultParagraphFont"/>
    <w:link w:val="NoSpacing"/>
    <w:uiPriority w:val="1"/>
    <w:rsid w:val="00D30E34"/>
    <w:rPr>
      <w:rFonts w:ascii="Arial" w:eastAsia="Calibri" w:hAnsi="Arial" w:cs="Arial"/>
      <w:sz w:val="22"/>
      <w:szCs w:val="22"/>
    </w:rPr>
  </w:style>
  <w:style w:type="paragraph" w:customStyle="1" w:styleId="ListParagraph1">
    <w:name w:val="List Paragraph1"/>
    <w:basedOn w:val="Normal"/>
    <w:next w:val="ListParagraph"/>
    <w:link w:val="ListParagraphChar"/>
    <w:uiPriority w:val="34"/>
    <w:qFormat/>
    <w:rsid w:val="00D30E34"/>
    <w:pPr>
      <w:spacing w:line="360" w:lineRule="auto"/>
      <w:ind w:left="720"/>
      <w:contextualSpacing/>
      <w:jc w:val="both"/>
    </w:pPr>
    <w:rPr>
      <w:rFonts w:eastAsia="Calibri" w:cs="Arial"/>
      <w:color w:val="000000"/>
    </w:rPr>
  </w:style>
  <w:style w:type="character" w:customStyle="1" w:styleId="ListParagraphChar">
    <w:name w:val="List Paragraph Char"/>
    <w:basedOn w:val="DefaultParagraphFont"/>
    <w:link w:val="ListParagraph1"/>
    <w:uiPriority w:val="34"/>
    <w:rsid w:val="00D30E34"/>
    <w:rPr>
      <w:rFonts w:ascii="Arial" w:hAnsi="Arial" w:cs="Arial"/>
      <w:color w:val="000000"/>
    </w:rPr>
  </w:style>
  <w:style w:type="paragraph" w:customStyle="1" w:styleId="TOC41">
    <w:name w:val="TOC 41"/>
    <w:basedOn w:val="Normal"/>
    <w:next w:val="Normal"/>
    <w:autoRedefine/>
    <w:uiPriority w:val="39"/>
    <w:unhideWhenUsed/>
    <w:rsid w:val="00D30E34"/>
    <w:pPr>
      <w:spacing w:after="100" w:line="276" w:lineRule="auto"/>
      <w:ind w:left="660"/>
    </w:pPr>
    <w:rPr>
      <w:rFonts w:ascii="Calibri" w:eastAsia="Times New Roman" w:hAnsi="Calibri"/>
      <w:lang w:eastAsia="en-GB"/>
    </w:rPr>
  </w:style>
  <w:style w:type="paragraph" w:customStyle="1" w:styleId="TOC51">
    <w:name w:val="TOC 51"/>
    <w:basedOn w:val="Normal"/>
    <w:next w:val="Normal"/>
    <w:autoRedefine/>
    <w:uiPriority w:val="39"/>
    <w:unhideWhenUsed/>
    <w:rsid w:val="00D30E34"/>
    <w:pPr>
      <w:spacing w:after="100" w:line="276" w:lineRule="auto"/>
      <w:ind w:left="880"/>
    </w:pPr>
    <w:rPr>
      <w:rFonts w:ascii="Calibri" w:eastAsia="Times New Roman" w:hAnsi="Calibri"/>
      <w:lang w:eastAsia="en-GB"/>
    </w:rPr>
  </w:style>
  <w:style w:type="paragraph" w:customStyle="1" w:styleId="TOC61">
    <w:name w:val="TOC 61"/>
    <w:basedOn w:val="Normal"/>
    <w:next w:val="Normal"/>
    <w:autoRedefine/>
    <w:uiPriority w:val="39"/>
    <w:unhideWhenUsed/>
    <w:rsid w:val="00D30E34"/>
    <w:pPr>
      <w:spacing w:after="100" w:line="276" w:lineRule="auto"/>
      <w:ind w:left="1100"/>
    </w:pPr>
    <w:rPr>
      <w:rFonts w:ascii="Calibri" w:eastAsia="Times New Roman" w:hAnsi="Calibri"/>
      <w:lang w:eastAsia="en-GB"/>
    </w:rPr>
  </w:style>
  <w:style w:type="paragraph" w:customStyle="1" w:styleId="TOC71">
    <w:name w:val="TOC 71"/>
    <w:basedOn w:val="Normal"/>
    <w:next w:val="Normal"/>
    <w:autoRedefine/>
    <w:uiPriority w:val="39"/>
    <w:unhideWhenUsed/>
    <w:rsid w:val="00D30E34"/>
    <w:pPr>
      <w:spacing w:after="100" w:line="276" w:lineRule="auto"/>
      <w:ind w:left="1320"/>
    </w:pPr>
    <w:rPr>
      <w:rFonts w:ascii="Calibri" w:eastAsia="Times New Roman" w:hAnsi="Calibri"/>
      <w:lang w:eastAsia="en-GB"/>
    </w:rPr>
  </w:style>
  <w:style w:type="paragraph" w:customStyle="1" w:styleId="TOC81">
    <w:name w:val="TOC 81"/>
    <w:basedOn w:val="Normal"/>
    <w:next w:val="Normal"/>
    <w:autoRedefine/>
    <w:uiPriority w:val="39"/>
    <w:unhideWhenUsed/>
    <w:rsid w:val="00D30E34"/>
    <w:pPr>
      <w:spacing w:after="100" w:line="276" w:lineRule="auto"/>
      <w:ind w:left="1540"/>
    </w:pPr>
    <w:rPr>
      <w:rFonts w:ascii="Calibri" w:eastAsia="Times New Roman" w:hAnsi="Calibri"/>
      <w:lang w:eastAsia="en-GB"/>
    </w:rPr>
  </w:style>
  <w:style w:type="paragraph" w:customStyle="1" w:styleId="TOC91">
    <w:name w:val="TOC 91"/>
    <w:basedOn w:val="Normal"/>
    <w:next w:val="Normal"/>
    <w:autoRedefine/>
    <w:uiPriority w:val="39"/>
    <w:unhideWhenUsed/>
    <w:rsid w:val="00D30E34"/>
    <w:pPr>
      <w:spacing w:after="100" w:line="276" w:lineRule="auto"/>
      <w:ind w:left="1760"/>
    </w:pPr>
    <w:rPr>
      <w:rFonts w:ascii="Calibri" w:eastAsia="Times New Roman" w:hAnsi="Calibri"/>
      <w:lang w:eastAsia="en-GB"/>
    </w:rPr>
  </w:style>
  <w:style w:type="table" w:styleId="TableGrid">
    <w:name w:val="Table Grid"/>
    <w:basedOn w:val="TableNormal"/>
    <w:uiPriority w:val="59"/>
    <w:rsid w:val="00D30E34"/>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0E34"/>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D30E34"/>
    <w:rPr>
      <w:b/>
      <w:bCs/>
    </w:rPr>
  </w:style>
  <w:style w:type="paragraph" w:customStyle="1" w:styleId="EndNoteBibliographyTitle">
    <w:name w:val="EndNote Bibliography Title"/>
    <w:basedOn w:val="Normal"/>
    <w:link w:val="EndNoteBibliographyTitleChar"/>
    <w:rsid w:val="00D30E34"/>
    <w:pPr>
      <w:spacing w:line="276" w:lineRule="auto"/>
      <w:jc w:val="center"/>
    </w:pPr>
    <w:rPr>
      <w:rFonts w:ascii="Calibri" w:eastAsia="Calibri" w:hAnsi="Calibri"/>
      <w:noProof/>
      <w:lang w:val="en-US"/>
    </w:rPr>
  </w:style>
  <w:style w:type="character" w:customStyle="1" w:styleId="EndNoteBibliographyTitleChar">
    <w:name w:val="EndNote Bibliography Title Char"/>
    <w:link w:val="EndNoteBibliographyTitle"/>
    <w:rsid w:val="00D30E34"/>
    <w:rPr>
      <w:rFonts w:ascii="Calibri" w:eastAsia="Calibri" w:hAnsi="Calibri"/>
      <w:noProof/>
      <w:sz w:val="22"/>
      <w:szCs w:val="22"/>
      <w:lang w:val="en-US"/>
    </w:rPr>
  </w:style>
  <w:style w:type="paragraph" w:customStyle="1" w:styleId="EndNoteBibliography">
    <w:name w:val="EndNote Bibliography"/>
    <w:basedOn w:val="Normal"/>
    <w:link w:val="EndNoteBibliographyChar"/>
    <w:rsid w:val="00D30E34"/>
    <w:pPr>
      <w:spacing w:after="200"/>
    </w:pPr>
    <w:rPr>
      <w:rFonts w:ascii="Calibri" w:eastAsia="Calibri" w:hAnsi="Calibri"/>
      <w:noProof/>
      <w:lang w:val="en-US"/>
    </w:rPr>
  </w:style>
  <w:style w:type="character" w:customStyle="1" w:styleId="EndNoteBibliographyChar">
    <w:name w:val="EndNote Bibliography Char"/>
    <w:link w:val="EndNoteBibliography"/>
    <w:rsid w:val="00D30E34"/>
    <w:rPr>
      <w:rFonts w:ascii="Calibri" w:eastAsia="Calibri" w:hAnsi="Calibri"/>
      <w:noProof/>
      <w:sz w:val="22"/>
      <w:szCs w:val="22"/>
      <w:lang w:val="en-US"/>
    </w:rPr>
  </w:style>
  <w:style w:type="character" w:customStyle="1" w:styleId="apple-converted-space">
    <w:name w:val="apple-converted-space"/>
    <w:basedOn w:val="DefaultParagraphFont"/>
    <w:rsid w:val="00D30E34"/>
  </w:style>
  <w:style w:type="table" w:customStyle="1" w:styleId="PlainTable11">
    <w:name w:val="Plain Table 11"/>
    <w:basedOn w:val="TableNormal"/>
    <w:uiPriority w:val="41"/>
    <w:rsid w:val="00D30E34"/>
    <w:rPr>
      <w:rFonts w:ascii="Calibri" w:eastAsia="Calibri" w:hAnsi="Calibri"/>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D30E34"/>
    <w:rPr>
      <w:i/>
      <w:iCs/>
    </w:rPr>
  </w:style>
  <w:style w:type="character" w:customStyle="1" w:styleId="WW8Num1z0">
    <w:name w:val="WW8Num1z0"/>
    <w:rsid w:val="00D30E34"/>
  </w:style>
  <w:style w:type="paragraph" w:customStyle="1" w:styleId="Caption1">
    <w:name w:val="Caption1"/>
    <w:basedOn w:val="Normal"/>
    <w:next w:val="Normal"/>
    <w:uiPriority w:val="35"/>
    <w:unhideWhenUsed/>
    <w:qFormat/>
    <w:rsid w:val="00D30E34"/>
    <w:pPr>
      <w:spacing w:after="200"/>
    </w:pPr>
    <w:rPr>
      <w:rFonts w:ascii="Calibri" w:eastAsia="Calibri" w:hAnsi="Calibri"/>
      <w:b/>
      <w:bCs/>
      <w:color w:val="5B9BD5"/>
      <w:sz w:val="18"/>
      <w:szCs w:val="18"/>
    </w:rPr>
  </w:style>
  <w:style w:type="character" w:customStyle="1" w:styleId="ng-binding">
    <w:name w:val="ng-binding"/>
    <w:basedOn w:val="DefaultParagraphFont"/>
    <w:rsid w:val="00D30E34"/>
  </w:style>
  <w:style w:type="table" w:styleId="TableTheme">
    <w:name w:val="Table Theme"/>
    <w:basedOn w:val="TableNormal"/>
    <w:uiPriority w:val="99"/>
    <w:rsid w:val="00D30E34"/>
    <w:pPr>
      <w:spacing w:after="200" w:line="276"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D30E34"/>
    <w:pPr>
      <w:outlineLvl w:val="1"/>
    </w:pPr>
    <w:rPr>
      <w:rFonts w:eastAsia="Calibri" w:cs="Arial"/>
      <w:sz w:val="24"/>
      <w:szCs w:val="24"/>
    </w:rPr>
  </w:style>
  <w:style w:type="character" w:customStyle="1" w:styleId="FootnoteTextChar">
    <w:name w:val="Footnote Text Char"/>
    <w:basedOn w:val="DefaultParagraphFont"/>
    <w:link w:val="FootnoteText"/>
    <w:uiPriority w:val="99"/>
    <w:rsid w:val="00D30E34"/>
    <w:rPr>
      <w:rFonts w:ascii="Arial" w:eastAsia="Calibri" w:hAnsi="Arial" w:cs="Arial"/>
      <w:sz w:val="24"/>
      <w:szCs w:val="24"/>
    </w:rPr>
  </w:style>
  <w:style w:type="character" w:styleId="FootnoteReference">
    <w:name w:val="footnote reference"/>
    <w:basedOn w:val="DefaultParagraphFont"/>
    <w:uiPriority w:val="99"/>
    <w:unhideWhenUsed/>
    <w:rsid w:val="00D30E34"/>
    <w:rPr>
      <w:vertAlign w:val="superscript"/>
    </w:rPr>
  </w:style>
  <w:style w:type="character" w:customStyle="1" w:styleId="highlight">
    <w:name w:val="highlight"/>
    <w:basedOn w:val="DefaultParagraphFont"/>
    <w:rsid w:val="00D30E34"/>
  </w:style>
  <w:style w:type="character" w:customStyle="1" w:styleId="ref-journal">
    <w:name w:val="ref-journal"/>
    <w:basedOn w:val="DefaultParagraphFont"/>
    <w:rsid w:val="00D30E34"/>
  </w:style>
  <w:style w:type="character" w:customStyle="1" w:styleId="ref-vol">
    <w:name w:val="ref-vol"/>
    <w:basedOn w:val="DefaultParagraphFont"/>
    <w:rsid w:val="00D30E34"/>
  </w:style>
  <w:style w:type="paragraph" w:styleId="Title">
    <w:name w:val="Title"/>
    <w:aliases w:val="Legends"/>
    <w:basedOn w:val="Normal"/>
    <w:next w:val="Normal"/>
    <w:link w:val="TitleChar"/>
    <w:uiPriority w:val="10"/>
    <w:qFormat/>
    <w:rsid w:val="00D30E34"/>
    <w:pPr>
      <w:widowControl w:val="0"/>
      <w:tabs>
        <w:tab w:val="left" w:pos="2595"/>
      </w:tabs>
      <w:outlineLvl w:val="1"/>
    </w:pPr>
    <w:rPr>
      <w:rFonts w:eastAsia="Calibri" w:cs="Arial"/>
    </w:rPr>
  </w:style>
  <w:style w:type="character" w:customStyle="1" w:styleId="TitleChar">
    <w:name w:val="Title Char"/>
    <w:aliases w:val="Legends Char"/>
    <w:basedOn w:val="DefaultParagraphFont"/>
    <w:link w:val="Title"/>
    <w:uiPriority w:val="10"/>
    <w:rsid w:val="00D30E34"/>
    <w:rPr>
      <w:rFonts w:ascii="Arial" w:eastAsia="Calibri" w:hAnsi="Arial" w:cs="Arial"/>
      <w:sz w:val="22"/>
      <w:szCs w:val="22"/>
    </w:rPr>
  </w:style>
  <w:style w:type="character" w:customStyle="1" w:styleId="st">
    <w:name w:val="st"/>
    <w:basedOn w:val="DefaultParagraphFont"/>
    <w:rsid w:val="00D30E34"/>
  </w:style>
  <w:style w:type="character" w:styleId="Hyperlink">
    <w:name w:val="Hyperlink"/>
    <w:basedOn w:val="DefaultParagraphFont"/>
    <w:uiPriority w:val="99"/>
    <w:unhideWhenUsed/>
    <w:rsid w:val="00D30E34"/>
    <w:rPr>
      <w:color w:val="0000FF" w:themeColor="hyperlink"/>
      <w:u w:val="single"/>
    </w:rPr>
  </w:style>
  <w:style w:type="character" w:styleId="FollowedHyperlink">
    <w:name w:val="FollowedHyperlink"/>
    <w:basedOn w:val="DefaultParagraphFont"/>
    <w:uiPriority w:val="99"/>
    <w:semiHidden/>
    <w:unhideWhenUsed/>
    <w:rsid w:val="00D30E34"/>
    <w:rPr>
      <w:color w:val="800080" w:themeColor="followedHyperlink"/>
      <w:u w:val="single"/>
    </w:rPr>
  </w:style>
  <w:style w:type="paragraph" w:styleId="ListParagraph">
    <w:name w:val="List Paragraph"/>
    <w:basedOn w:val="Normal"/>
    <w:uiPriority w:val="72"/>
    <w:rsid w:val="00D30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aledenvelope.com/" TargetMode="External"/><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w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ice.org.uk/guidance/NG33/documents/tuberculosis-update-appendix-i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srctn.com/ISRCTN04379941"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hyperlink" Target="http://www.ucl.ac.uk/ig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ucyosjg\Local%20Settings\Temporary%20Internet%20Files\OLK20\Agenda_minute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Agenda_minutes1.dot</Template>
  <TotalTime>5</TotalTime>
  <Pages>29</Pages>
  <Words>11749</Words>
  <Characters>66971</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UCL</vt:lpstr>
    </vt:vector>
  </TitlesOfParts>
  <Company>UCL</Company>
  <LinksUpToDate>false</LinksUpToDate>
  <CharactersWithSpaces>78563</CharactersWithSpaces>
  <SharedDoc>false</SharedDoc>
  <HLinks>
    <vt:vector size="6" baseType="variant">
      <vt:variant>
        <vt:i4>2621483</vt:i4>
      </vt:variant>
      <vt:variant>
        <vt:i4>-1</vt:i4>
      </vt:variant>
      <vt:variant>
        <vt:i4>2049</vt:i4>
      </vt:variant>
      <vt:variant>
        <vt:i4>1</vt:i4>
      </vt:variant>
      <vt:variant>
        <vt:lpwstr>Institute for global health letterhead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UCL</dc:title>
  <dc:creator>ucyosjg</dc:creator>
  <cp:lastModifiedBy>Vanessa Hack</cp:lastModifiedBy>
  <cp:revision>4</cp:revision>
  <cp:lastPrinted>2018-09-12T10:19:00Z</cp:lastPrinted>
  <dcterms:created xsi:type="dcterms:W3CDTF">2018-09-12T10:32:00Z</dcterms:created>
  <dcterms:modified xsi:type="dcterms:W3CDTF">2018-09-12T10:34:00Z</dcterms:modified>
</cp:coreProperties>
</file>