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/>
        <w:rPr>
          <w:rFonts w:ascii="Arial" w:hAnsi="Arial" w:cs="Arial"/>
          <w:b/>
          <w:bCs/>
          <w:color w:val="231F20"/>
          <w:w w:val="95"/>
          <w:sz w:val="18"/>
          <w:szCs w:val="18"/>
        </w:rPr>
      </w:pPr>
    </w:p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200" w:firstLine="520"/>
        <w:rPr>
          <w:rFonts w:cs="Arial"/>
          <w:b/>
          <w:bCs/>
          <w:color w:val="231F20"/>
          <w:w w:val="95"/>
        </w:rPr>
      </w:pPr>
      <w:r w:rsidRPr="00A25D25">
        <w:rPr>
          <w:rFonts w:cs="Arial"/>
          <w:b/>
          <w:bCs/>
          <w:color w:val="231F20"/>
          <w:w w:val="95"/>
        </w:rPr>
        <w:t>Secondary Maternal and Perinatal Outcomes</w:t>
      </w:r>
    </w:p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cs="Arial"/>
          <w:b/>
          <w:bCs/>
        </w:rPr>
      </w:pPr>
    </w:p>
    <w:tbl>
      <w:tblPr>
        <w:tblW w:w="0" w:type="auto"/>
        <w:tblInd w:w="5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0"/>
        <w:gridCol w:w="1440"/>
        <w:gridCol w:w="1440"/>
        <w:gridCol w:w="1440"/>
      </w:tblGrid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6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C7C8CA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</w:rPr>
            </w:pPr>
          </w:p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35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>Outcome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C7C8CA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cs="Arial"/>
                <w:b/>
                <w:bCs/>
              </w:rPr>
            </w:pPr>
          </w:p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after="0" w:line="261" w:lineRule="auto"/>
              <w:ind w:left="266" w:right="247" w:firstLine="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0"/>
              </w:rPr>
              <w:t xml:space="preserve">Randomized to </w:t>
            </w:r>
            <w:r w:rsidRPr="00A25D25">
              <w:rPr>
                <w:rFonts w:cs="Arial"/>
                <w:color w:val="231F20"/>
                <w:w w:val="85"/>
              </w:rPr>
              <w:t>Labetalol n=55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C7C8CA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rPr>
                <w:rFonts w:cs="Arial"/>
                <w:b/>
                <w:bCs/>
              </w:rPr>
            </w:pPr>
          </w:p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after="0" w:line="261" w:lineRule="auto"/>
              <w:ind w:left="237" w:right="221" w:firstLine="37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5"/>
              </w:rPr>
              <w:t xml:space="preserve">Randomized to </w:t>
            </w:r>
            <w:proofErr w:type="spellStart"/>
            <w:r w:rsidRPr="00A25D25">
              <w:rPr>
                <w:rFonts w:cs="Arial"/>
                <w:color w:val="231F20"/>
                <w:w w:val="85"/>
              </w:rPr>
              <w:t>Nifedipine</w:t>
            </w:r>
            <w:proofErr w:type="spellEnd"/>
            <w:r w:rsidRPr="00A25D25">
              <w:rPr>
                <w:rFonts w:cs="Arial"/>
                <w:color w:val="231F20"/>
                <w:w w:val="85"/>
              </w:rPr>
              <w:t xml:space="preserve"> n=57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C7C8CA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61" w:after="0" w:line="261" w:lineRule="auto"/>
              <w:ind w:left="36" w:right="34"/>
              <w:jc w:val="center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5"/>
              </w:rPr>
              <w:t xml:space="preserve">Adjusted Difference in Mean/Median or Risk </w:t>
            </w:r>
            <w:r w:rsidRPr="00A25D25">
              <w:rPr>
                <w:rFonts w:cs="Arial"/>
                <w:color w:val="231F20"/>
                <w:w w:val="95"/>
              </w:rPr>
              <w:t>Ratio (95% CI)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65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>Time between randomization and delivery,* d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65" w:after="0" w:line="240" w:lineRule="auto"/>
              <w:ind w:left="186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134 (39)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65" w:after="0" w:line="240" w:lineRule="auto"/>
              <w:ind w:left="186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127 (44)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Superimposed preeclampsia†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8 (15%)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15 (26%)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90" w:right="34"/>
              <w:jc w:val="center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1.78 (0.84 to 3.77)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 xml:space="preserve">Superimposed preeclampsia &lt;34 </w:t>
            </w:r>
            <w:proofErr w:type="spellStart"/>
            <w:r w:rsidRPr="00A25D25">
              <w:rPr>
                <w:rFonts w:cs="Arial"/>
                <w:color w:val="231F20"/>
                <w:w w:val="95"/>
              </w:rPr>
              <w:t>wk</w:t>
            </w:r>
            <w:proofErr w:type="spellEnd"/>
            <w:r w:rsidRPr="00A25D25">
              <w:rPr>
                <w:rFonts w:cs="Arial"/>
                <w:color w:val="231F20"/>
                <w:w w:val="95"/>
              </w:rPr>
              <w:t>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 (11%)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 (11%)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7360" w:type="dxa"/>
            <w:gridSpan w:val="4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Additional oral antihypertensive agents†‡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6"/>
              </w:rPr>
              <w:t>0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37 (67%)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36 (63%)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6"/>
              </w:rPr>
              <w:t>1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15 (27%)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20 (35%)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4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Cambria"/>
                <w:color w:val="231F20"/>
              </w:rPr>
              <w:t>≥</w:t>
            </w:r>
            <w:r w:rsidRPr="00A25D25">
              <w:rPr>
                <w:rFonts w:cs="Arial"/>
                <w:color w:val="231F20"/>
              </w:rPr>
              <w:t>2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 (4%)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 (2%)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85"/>
              </w:rPr>
              <w:t>Additional intravenous antihypertensive agents†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 (4%)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8 (14%)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Adverse maternal outcome†§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 (11%)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8 (14%)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7360" w:type="dxa"/>
            <w:gridSpan w:val="4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Mode of delivery†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>Spontaneous vaginal delivery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22 (40%)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21 (37%)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Assisted vaginal delivery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 (4%)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4 (7%)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 xml:space="preserve">Elective </w:t>
            </w:r>
            <w:proofErr w:type="spellStart"/>
            <w:r w:rsidRPr="00A25D25">
              <w:rPr>
                <w:rFonts w:cs="Arial"/>
                <w:color w:val="231F20"/>
                <w:w w:val="90"/>
              </w:rPr>
              <w:t>prelabor</w:t>
            </w:r>
            <w:proofErr w:type="spellEnd"/>
            <w:r w:rsidRPr="00A25D25">
              <w:rPr>
                <w:rFonts w:cs="Arial"/>
                <w:color w:val="231F20"/>
                <w:w w:val="90"/>
              </w:rPr>
              <w:t xml:space="preserve"> LSCS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9 (16%)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13 (23%)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 xml:space="preserve">Emergency </w:t>
            </w:r>
            <w:proofErr w:type="spellStart"/>
            <w:r w:rsidRPr="00A25D25">
              <w:rPr>
                <w:rFonts w:cs="Arial"/>
                <w:color w:val="231F20"/>
                <w:w w:val="90"/>
              </w:rPr>
              <w:t>prelabor</w:t>
            </w:r>
            <w:proofErr w:type="spellEnd"/>
            <w:r w:rsidRPr="00A25D25">
              <w:rPr>
                <w:rFonts w:cs="Arial"/>
                <w:color w:val="231F20"/>
                <w:w w:val="90"/>
              </w:rPr>
              <w:t xml:space="preserve"> LSCS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14 (26%)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11 (19%)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 xml:space="preserve">Emergency LSCS in </w:t>
            </w:r>
            <w:proofErr w:type="spellStart"/>
            <w:r w:rsidRPr="00A25D25">
              <w:rPr>
                <w:rFonts w:cs="Arial"/>
                <w:color w:val="231F20"/>
                <w:w w:val="90"/>
              </w:rPr>
              <w:t>labor</w:t>
            </w:r>
            <w:proofErr w:type="spellEnd"/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8 (15%)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8 (14%)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Estimated blood loss at delivery,* mL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86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600 (500)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86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610 (550)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5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Gestation at delivery,</w:t>
            </w:r>
            <w:r w:rsidRPr="00A25D25">
              <w:rPr>
                <w:rFonts w:ascii="Arial" w:hAnsi="Arial" w:cs="Arial"/>
                <w:color w:val="231F20"/>
                <w:w w:val="95"/>
              </w:rPr>
              <w:t>║</w:t>
            </w:r>
            <w:r w:rsidRPr="00A25D25">
              <w:rPr>
                <w:rFonts w:cs="Bookman Old Style"/>
                <w:color w:val="231F20"/>
                <w:w w:val="95"/>
              </w:rPr>
              <w:t xml:space="preserve"> </w:t>
            </w:r>
            <w:proofErr w:type="spellStart"/>
            <w:r w:rsidRPr="00A25D25">
              <w:rPr>
                <w:rFonts w:cs="Arial"/>
                <w:color w:val="231F20"/>
                <w:w w:val="95"/>
              </w:rPr>
              <w:t>wk</w:t>
            </w:r>
            <w:proofErr w:type="spellEnd"/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47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38.6 (37.7 to 39.4)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47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38.0 (36.4 to 39.1)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6" w:right="34"/>
              <w:jc w:val="center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−0.6 (−1.3 to 0.1)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 xml:space="preserve">Preterm birth &lt;37 </w:t>
            </w:r>
            <w:proofErr w:type="spellStart"/>
            <w:r w:rsidRPr="00A25D25">
              <w:rPr>
                <w:rFonts w:cs="Arial"/>
                <w:color w:val="231F20"/>
                <w:w w:val="95"/>
              </w:rPr>
              <w:t>wk</w:t>
            </w:r>
            <w:proofErr w:type="spellEnd"/>
            <w:r w:rsidRPr="00A25D25">
              <w:rPr>
                <w:rFonts w:cs="Arial"/>
                <w:color w:val="231F20"/>
                <w:w w:val="95"/>
              </w:rPr>
              <w:t>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12 (22%)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20 (35%)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 xml:space="preserve">Preterm birth &lt;34 </w:t>
            </w:r>
            <w:proofErr w:type="spellStart"/>
            <w:r w:rsidRPr="00A25D25">
              <w:rPr>
                <w:rFonts w:cs="Arial"/>
                <w:color w:val="231F20"/>
                <w:w w:val="95"/>
              </w:rPr>
              <w:t>wk</w:t>
            </w:r>
            <w:proofErr w:type="spellEnd"/>
            <w:r w:rsidRPr="00A25D25">
              <w:rPr>
                <w:rFonts w:cs="Arial"/>
                <w:color w:val="231F20"/>
                <w:w w:val="95"/>
              </w:rPr>
              <w:t>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10 (18%)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11 (19%)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7360" w:type="dxa"/>
            <w:gridSpan w:val="4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 xml:space="preserve">Condition of </w:t>
            </w:r>
            <w:proofErr w:type="spellStart"/>
            <w:r w:rsidRPr="00A25D25">
              <w:rPr>
                <w:rFonts w:cs="Arial"/>
                <w:color w:val="231F20"/>
                <w:w w:val="95"/>
              </w:rPr>
              <w:t>fetus</w:t>
            </w:r>
            <w:proofErr w:type="spellEnd"/>
            <w:r w:rsidRPr="00A25D25">
              <w:rPr>
                <w:rFonts w:cs="Arial"/>
                <w:color w:val="231F20"/>
                <w:w w:val="95"/>
              </w:rPr>
              <w:t xml:space="preserve"> at delivery†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Livebirth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51 (93%)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52 (91%)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Miscarriage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 (2%)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3 (5%)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Termination of pregnancy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 (2%)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 (2%)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Stillbirth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 (4%)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 (2%)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0"/>
              </w:rPr>
              <w:t>Neonatal outcomes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1"/>
              <w:rPr>
                <w:rFonts w:cs="Times New Roman"/>
              </w:rPr>
            </w:pPr>
            <w:r w:rsidRPr="00A25D25">
              <w:rPr>
                <w:rFonts w:cs="Arial"/>
                <w:color w:val="231F20"/>
              </w:rPr>
              <w:t>n=51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31"/>
              <w:rPr>
                <w:rFonts w:cs="Times New Roman"/>
              </w:rPr>
            </w:pPr>
            <w:r w:rsidRPr="00A25D25">
              <w:rPr>
                <w:rFonts w:cs="Arial"/>
                <w:color w:val="231F20"/>
              </w:rPr>
              <w:t>n=52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E6E7E8"/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Birthweight,* g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0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2957 (790)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0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2732 (883)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6" w:right="18"/>
              <w:jc w:val="center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−240 (−589 to 109)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Birthweight &lt;10th centile†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16 (31%)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17 (33%)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Birthweight &lt;3rd centile†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339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6 (12%)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10 (19%)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Admitted to neonatal unit†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11 (22%)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15 (29%)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6" w:right="34"/>
              <w:jc w:val="center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1.3 (0.7 to 2.5)</w:t>
            </w:r>
          </w:p>
        </w:tc>
      </w:tr>
      <w:tr w:rsidR="00A25D25" w:rsidRPr="00A25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0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94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Adverse perinatal outcome†§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11 (22%)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262"/>
              <w:rPr>
                <w:rFonts w:cs="Times New Roman"/>
              </w:rPr>
            </w:pPr>
            <w:r w:rsidRPr="00A25D25">
              <w:rPr>
                <w:rFonts w:cs="Arial"/>
                <w:color w:val="231F20"/>
                <w:w w:val="95"/>
              </w:rPr>
              <w:t>17 (33%)</w:t>
            </w:r>
          </w:p>
        </w:tc>
        <w:tc>
          <w:tcPr>
            <w:tcW w:w="1440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:rsidR="00A25D25" w:rsidRPr="00A25D25" w:rsidRDefault="00A25D25" w:rsidP="00A25D25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</w:tbl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27" w:after="0" w:line="240" w:lineRule="auto"/>
        <w:ind w:left="360"/>
        <w:rPr>
          <w:rFonts w:cs="Arial"/>
          <w:color w:val="231F20"/>
          <w:w w:val="95"/>
        </w:rPr>
      </w:pPr>
      <w:r w:rsidRPr="00A25D25">
        <w:rPr>
          <w:rFonts w:cs="Arial"/>
          <w:color w:val="231F20"/>
          <w:w w:val="95"/>
        </w:rPr>
        <w:t xml:space="preserve">CI indicates confidence interval; and LSCS, lower segment </w:t>
      </w:r>
      <w:proofErr w:type="spellStart"/>
      <w:r w:rsidRPr="00A25D25">
        <w:rPr>
          <w:rFonts w:cs="Arial"/>
          <w:color w:val="231F20"/>
          <w:w w:val="95"/>
        </w:rPr>
        <w:t>Cesarean</w:t>
      </w:r>
      <w:proofErr w:type="spellEnd"/>
      <w:r w:rsidRPr="00A25D25">
        <w:rPr>
          <w:rFonts w:cs="Arial"/>
          <w:color w:val="231F20"/>
          <w:w w:val="95"/>
        </w:rPr>
        <w:t xml:space="preserve"> section.</w:t>
      </w:r>
    </w:p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16" w:after="0" w:line="240" w:lineRule="auto"/>
        <w:ind w:left="360"/>
        <w:rPr>
          <w:rFonts w:cs="Arial"/>
          <w:color w:val="231F20"/>
          <w:w w:val="90"/>
        </w:rPr>
      </w:pPr>
      <w:r w:rsidRPr="00A25D25">
        <w:rPr>
          <w:rFonts w:cs="Arial"/>
          <w:color w:val="231F20"/>
          <w:w w:val="90"/>
        </w:rPr>
        <w:t>*Mean and SD.</w:t>
      </w:r>
    </w:p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16" w:after="0" w:line="240" w:lineRule="auto"/>
        <w:ind w:left="360"/>
        <w:rPr>
          <w:rFonts w:cs="Arial"/>
          <w:color w:val="231F20"/>
          <w:w w:val="95"/>
        </w:rPr>
      </w:pPr>
      <w:r w:rsidRPr="00A25D25">
        <w:rPr>
          <w:rFonts w:cs="Arial"/>
          <w:color w:val="231F20"/>
          <w:w w:val="95"/>
        </w:rPr>
        <w:t>†Number and percentage.</w:t>
      </w:r>
    </w:p>
    <w:p w:rsidR="00A25D25" w:rsidRPr="00A25D25" w:rsidRDefault="00A25D25" w:rsidP="00A25D25">
      <w:pPr>
        <w:kinsoku w:val="0"/>
        <w:overflowPunct w:val="0"/>
        <w:autoSpaceDE w:val="0"/>
        <w:autoSpaceDN w:val="0"/>
        <w:adjustRightInd w:val="0"/>
        <w:spacing w:before="16" w:after="0"/>
        <w:ind w:left="200" w:right="526" w:firstLine="160"/>
        <w:jc w:val="both"/>
        <w:rPr>
          <w:rFonts w:cs="Arial"/>
          <w:color w:val="231F20"/>
          <w:w w:val="95"/>
        </w:rPr>
      </w:pPr>
      <w:r w:rsidRPr="00A25D25">
        <w:rPr>
          <w:rFonts w:cs="Arial"/>
          <w:color w:val="231F20"/>
          <w:w w:val="95"/>
        </w:rPr>
        <w:t xml:space="preserve">‡Of those receiving additional oral antihypertensive agents, 94% (n=16) of the labetalol group were prescribed a calcium channel blocker and 86% (n=18) of the </w:t>
      </w:r>
      <w:proofErr w:type="spellStart"/>
      <w:r w:rsidRPr="00A25D25">
        <w:rPr>
          <w:rFonts w:cs="Arial"/>
          <w:color w:val="231F20"/>
          <w:w w:val="95"/>
        </w:rPr>
        <w:t>nifedipine</w:t>
      </w:r>
      <w:proofErr w:type="spellEnd"/>
      <w:r w:rsidRPr="00A25D25">
        <w:rPr>
          <w:rFonts w:cs="Arial"/>
          <w:color w:val="231F20"/>
          <w:w w:val="95"/>
        </w:rPr>
        <w:t xml:space="preserve"> group were prescribed </w:t>
      </w:r>
      <w:proofErr w:type="gramStart"/>
      <w:r w:rsidRPr="00A25D25">
        <w:rPr>
          <w:rFonts w:cs="Arial"/>
          <w:color w:val="231F20"/>
          <w:w w:val="95"/>
        </w:rPr>
        <w:t xml:space="preserve">an </w:t>
      </w:r>
      <w:r w:rsidRPr="00A25D25">
        <w:rPr>
          <w:rFonts w:cs="Cambria"/>
          <w:color w:val="231F20"/>
          <w:w w:val="95"/>
        </w:rPr>
        <w:t>α</w:t>
      </w:r>
      <w:proofErr w:type="gramEnd"/>
      <w:r w:rsidRPr="00A25D25">
        <w:rPr>
          <w:rFonts w:cs="Arial"/>
          <w:color w:val="231F20"/>
          <w:w w:val="95"/>
        </w:rPr>
        <w:t>-/</w:t>
      </w:r>
      <w:r w:rsidRPr="00A25D25">
        <w:rPr>
          <w:rFonts w:cs="Cambria"/>
          <w:color w:val="231F20"/>
          <w:w w:val="95"/>
        </w:rPr>
        <w:t>β</w:t>
      </w:r>
      <w:r w:rsidRPr="00A25D25">
        <w:rPr>
          <w:rFonts w:cs="Arial"/>
          <w:color w:val="231F20"/>
          <w:w w:val="95"/>
        </w:rPr>
        <w:t xml:space="preserve">-blocker. Results adjusted for ethnicity, gestational age at randomization, and </w:t>
      </w:r>
      <w:proofErr w:type="spellStart"/>
      <w:r w:rsidRPr="00A25D25">
        <w:rPr>
          <w:rFonts w:cs="Arial"/>
          <w:color w:val="231F20"/>
          <w:w w:val="95"/>
        </w:rPr>
        <w:t>center</w:t>
      </w:r>
      <w:proofErr w:type="spellEnd"/>
      <w:r w:rsidRPr="00A25D25">
        <w:rPr>
          <w:rFonts w:cs="Arial"/>
          <w:color w:val="231F20"/>
          <w:w w:val="95"/>
        </w:rPr>
        <w:t xml:space="preserve">. Risk ratios only calculated for </w:t>
      </w:r>
      <w:proofErr w:type="spellStart"/>
      <w:r w:rsidRPr="00A25D25">
        <w:rPr>
          <w:rFonts w:cs="Arial"/>
          <w:color w:val="231F20"/>
          <w:w w:val="95"/>
        </w:rPr>
        <w:t>prespecified</w:t>
      </w:r>
      <w:proofErr w:type="spellEnd"/>
      <w:r w:rsidRPr="00A25D25">
        <w:rPr>
          <w:rFonts w:cs="Arial"/>
          <w:color w:val="231F20"/>
          <w:w w:val="95"/>
        </w:rPr>
        <w:t xml:space="preserve"> secondary outcomes.</w:t>
      </w:r>
    </w:p>
    <w:p w:rsidR="001511E0" w:rsidRPr="00561061" w:rsidRDefault="00561061">
      <w:bookmarkStart w:id="0" w:name="_GoBack"/>
      <w:bookmarkEnd w:id="0"/>
    </w:p>
    <w:sectPr w:rsidR="001511E0" w:rsidRPr="00561061" w:rsidSect="00A25D25">
      <w:pgSz w:w="11700" w:h="15660"/>
      <w:pgMar w:top="0" w:right="1640" w:bottom="0" w:left="16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D25"/>
    <w:rsid w:val="000C5BC3"/>
    <w:rsid w:val="001A228D"/>
    <w:rsid w:val="00561061"/>
    <w:rsid w:val="00A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88FCB-F961-40F2-B99B-E444E170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King's College London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Pullen, Jackie</dc:creator>
  <cp:keywords/>
  <dc:description/>
  <cp:lastModifiedBy>Pullen, Jackie</cp:lastModifiedBy>
  <cp:revision>2</cp:revision>
  <dcterms:created xsi:type="dcterms:W3CDTF">2018-09-14T11:35:00Z</dcterms:created>
  <dcterms:modified xsi:type="dcterms:W3CDTF">2018-09-14T11:37:00Z</dcterms:modified>
</cp:coreProperties>
</file>