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9AE" w:rsidRDefault="00D159AE" w:rsidP="00D159AE">
      <w:pPr>
        <w:spacing w:after="0" w:line="240" w:lineRule="auto"/>
        <w:rPr>
          <w:b/>
          <w:bCs/>
          <w:sz w:val="28"/>
          <w:szCs w:val="28"/>
          <w:lang w:val="en-GB"/>
        </w:rPr>
      </w:pPr>
      <w:r>
        <w:rPr>
          <w:b/>
          <w:bCs/>
          <w:sz w:val="28"/>
          <w:szCs w:val="28"/>
          <w:lang w:val="en-GB"/>
        </w:rPr>
        <w:t xml:space="preserve">Intramuscular versus ultrasound guided </w:t>
      </w:r>
      <w:proofErr w:type="spellStart"/>
      <w:r w:rsidRPr="00E669EC">
        <w:rPr>
          <w:b/>
          <w:bCs/>
          <w:sz w:val="28"/>
          <w:szCs w:val="28"/>
          <w:lang w:val="en-GB"/>
        </w:rPr>
        <w:t>peritendinous</w:t>
      </w:r>
      <w:proofErr w:type="spellEnd"/>
      <w:r w:rsidRPr="00AD6ED1">
        <w:rPr>
          <w:b/>
          <w:bCs/>
          <w:sz w:val="28"/>
          <w:szCs w:val="28"/>
          <w:lang w:val="en-GB"/>
        </w:rPr>
        <w:t xml:space="preserve"> </w:t>
      </w:r>
      <w:r w:rsidRPr="00A966AE">
        <w:rPr>
          <w:b/>
          <w:bCs/>
          <w:sz w:val="28"/>
          <w:szCs w:val="28"/>
          <w:lang w:val="en-GB"/>
        </w:rPr>
        <w:t>glucocorticoid</w:t>
      </w:r>
      <w:r w:rsidRPr="00AD6ED1">
        <w:rPr>
          <w:b/>
          <w:bCs/>
          <w:sz w:val="28"/>
          <w:szCs w:val="28"/>
          <w:lang w:val="en-GB"/>
        </w:rPr>
        <w:t xml:space="preserve"> </w:t>
      </w:r>
      <w:r>
        <w:rPr>
          <w:b/>
          <w:bCs/>
          <w:sz w:val="28"/>
          <w:szCs w:val="28"/>
          <w:lang w:val="en-GB"/>
        </w:rPr>
        <w:t>injection for tenosynovitis in patients with rheumatoid arthritis - A randomised, double-blind, controlled</w:t>
      </w:r>
      <w:r w:rsidRPr="00FE3862">
        <w:rPr>
          <w:b/>
          <w:bCs/>
          <w:sz w:val="28"/>
          <w:szCs w:val="28"/>
          <w:lang w:val="en-GB"/>
        </w:rPr>
        <w:t xml:space="preserve"> </w:t>
      </w:r>
      <w:r>
        <w:rPr>
          <w:b/>
          <w:bCs/>
          <w:sz w:val="28"/>
          <w:szCs w:val="28"/>
          <w:lang w:val="en-GB"/>
        </w:rPr>
        <w:t>study</w:t>
      </w:r>
    </w:p>
    <w:p w:rsidR="00D159AE" w:rsidRDefault="00D159AE" w:rsidP="00D159AE">
      <w:pPr>
        <w:spacing w:after="0" w:line="240" w:lineRule="auto"/>
        <w:rPr>
          <w:noProof/>
          <w:sz w:val="18"/>
          <w:szCs w:val="24"/>
          <w:lang w:val="en-GB"/>
        </w:rPr>
      </w:pPr>
    </w:p>
    <w:p w:rsidR="00D159AE" w:rsidRPr="00BA603A" w:rsidRDefault="00D159AE" w:rsidP="00D159AE">
      <w:pPr>
        <w:spacing w:after="0" w:line="360" w:lineRule="auto"/>
        <w:rPr>
          <w:noProof/>
          <w:sz w:val="24"/>
          <w:szCs w:val="24"/>
          <w:lang w:val="en-GB"/>
        </w:rPr>
      </w:pPr>
      <w:r w:rsidRPr="00BA603A">
        <w:rPr>
          <w:noProof/>
          <w:sz w:val="24"/>
          <w:szCs w:val="24"/>
          <w:lang w:val="en-GB"/>
        </w:rPr>
        <w:t>Mads Ammitzbøll-Danielsen</w:t>
      </w:r>
      <w:r w:rsidRPr="00BA603A">
        <w:rPr>
          <w:noProof/>
          <w:sz w:val="24"/>
          <w:szCs w:val="24"/>
          <w:vertAlign w:val="superscript"/>
          <w:lang w:val="en-GB"/>
        </w:rPr>
        <w:t>1,2</w:t>
      </w:r>
      <w:r w:rsidRPr="00BA603A">
        <w:rPr>
          <w:noProof/>
          <w:sz w:val="24"/>
          <w:szCs w:val="24"/>
          <w:lang w:val="en-GB"/>
        </w:rPr>
        <w:t>, Mikkel Østergaard</w:t>
      </w:r>
      <w:r w:rsidRPr="00BA603A">
        <w:rPr>
          <w:noProof/>
          <w:sz w:val="24"/>
          <w:szCs w:val="24"/>
          <w:vertAlign w:val="superscript"/>
          <w:lang w:val="en-GB"/>
        </w:rPr>
        <w:t>1,2</w:t>
      </w:r>
      <w:r w:rsidRPr="00BA603A">
        <w:rPr>
          <w:noProof/>
          <w:sz w:val="24"/>
          <w:szCs w:val="24"/>
          <w:lang w:val="en-GB"/>
        </w:rPr>
        <w:t>,  Viktoria Fana</w:t>
      </w:r>
      <w:r w:rsidRPr="00BA603A">
        <w:rPr>
          <w:noProof/>
          <w:sz w:val="24"/>
          <w:szCs w:val="24"/>
          <w:vertAlign w:val="superscript"/>
          <w:lang w:val="en-GB"/>
        </w:rPr>
        <w:t>1</w:t>
      </w:r>
      <w:r w:rsidRPr="00BA603A">
        <w:rPr>
          <w:noProof/>
          <w:sz w:val="24"/>
          <w:szCs w:val="24"/>
          <w:lang w:val="en-GB"/>
        </w:rPr>
        <w:t>, Daniel Glinatsi</w:t>
      </w:r>
      <w:r w:rsidRPr="00BA603A">
        <w:rPr>
          <w:noProof/>
          <w:sz w:val="24"/>
          <w:szCs w:val="24"/>
          <w:vertAlign w:val="superscript"/>
          <w:lang w:val="en-GB"/>
        </w:rPr>
        <w:t>1,2</w:t>
      </w:r>
      <w:r w:rsidRPr="00BA603A">
        <w:rPr>
          <w:noProof/>
          <w:sz w:val="24"/>
          <w:szCs w:val="24"/>
          <w:lang w:val="en-GB"/>
        </w:rPr>
        <w:t>, Uffe Møller Døhn</w:t>
      </w:r>
      <w:r w:rsidRPr="00BA603A">
        <w:rPr>
          <w:noProof/>
          <w:sz w:val="24"/>
          <w:szCs w:val="24"/>
          <w:vertAlign w:val="superscript"/>
          <w:lang w:val="en-GB"/>
        </w:rPr>
        <w:t>1</w:t>
      </w:r>
      <w:r w:rsidRPr="00BA603A">
        <w:rPr>
          <w:noProof/>
          <w:sz w:val="24"/>
          <w:szCs w:val="24"/>
          <w:lang w:val="en-GB"/>
        </w:rPr>
        <w:t>, Lykke</w:t>
      </w:r>
      <w:r>
        <w:rPr>
          <w:noProof/>
          <w:sz w:val="24"/>
          <w:szCs w:val="24"/>
          <w:lang w:val="en-GB"/>
        </w:rPr>
        <w:t xml:space="preserve"> Midtbøll</w:t>
      </w:r>
      <w:r w:rsidRPr="00BA603A">
        <w:rPr>
          <w:noProof/>
          <w:sz w:val="24"/>
          <w:szCs w:val="24"/>
          <w:lang w:val="en-GB"/>
        </w:rPr>
        <w:t xml:space="preserve"> Ørnbjerg</w:t>
      </w:r>
      <w:r w:rsidRPr="00BA603A">
        <w:rPr>
          <w:noProof/>
          <w:sz w:val="24"/>
          <w:szCs w:val="24"/>
          <w:vertAlign w:val="superscript"/>
          <w:lang w:val="en-GB"/>
        </w:rPr>
        <w:t>1</w:t>
      </w:r>
      <w:r w:rsidRPr="00BA603A">
        <w:rPr>
          <w:noProof/>
          <w:sz w:val="24"/>
          <w:szCs w:val="24"/>
          <w:lang w:val="en-GB"/>
        </w:rPr>
        <w:t>,  Esperanza Naredo</w:t>
      </w:r>
      <w:r w:rsidRPr="00BA603A">
        <w:rPr>
          <w:noProof/>
          <w:sz w:val="24"/>
          <w:szCs w:val="24"/>
          <w:vertAlign w:val="superscript"/>
          <w:lang w:val="en-GB"/>
        </w:rPr>
        <w:t>3</w:t>
      </w:r>
      <w:r w:rsidRPr="00BA603A">
        <w:rPr>
          <w:noProof/>
          <w:sz w:val="24"/>
          <w:szCs w:val="24"/>
          <w:lang w:val="en-GB"/>
        </w:rPr>
        <w:t>,  Lene Terslev</w:t>
      </w:r>
      <w:r w:rsidRPr="00BA603A">
        <w:rPr>
          <w:noProof/>
          <w:sz w:val="24"/>
          <w:szCs w:val="24"/>
          <w:vertAlign w:val="superscript"/>
          <w:lang w:val="en-GB"/>
        </w:rPr>
        <w:t>1</w:t>
      </w:r>
      <w:r w:rsidRPr="00BA603A">
        <w:rPr>
          <w:noProof/>
          <w:sz w:val="24"/>
          <w:szCs w:val="24"/>
          <w:lang w:val="en-GB"/>
        </w:rPr>
        <w:t xml:space="preserve">. </w:t>
      </w:r>
    </w:p>
    <w:p w:rsidR="00D159AE" w:rsidRPr="00BA603A" w:rsidRDefault="00D159AE" w:rsidP="00D159AE">
      <w:pPr>
        <w:spacing w:after="0" w:line="360" w:lineRule="auto"/>
        <w:rPr>
          <w:sz w:val="24"/>
          <w:szCs w:val="24"/>
          <w:lang w:val="en-GB"/>
        </w:rPr>
      </w:pPr>
      <w:r w:rsidRPr="00BA603A">
        <w:rPr>
          <w:sz w:val="24"/>
          <w:szCs w:val="24"/>
          <w:lang w:val="en-GB"/>
        </w:rPr>
        <w:t xml:space="preserve">1. Copenhagen </w:t>
      </w:r>
      <w:proofErr w:type="spellStart"/>
      <w:r w:rsidRPr="00BA603A">
        <w:rPr>
          <w:sz w:val="24"/>
          <w:szCs w:val="24"/>
          <w:lang w:val="en-GB"/>
        </w:rPr>
        <w:t>Center</w:t>
      </w:r>
      <w:proofErr w:type="spellEnd"/>
      <w:r w:rsidRPr="00BA603A">
        <w:rPr>
          <w:sz w:val="24"/>
          <w:szCs w:val="24"/>
          <w:lang w:val="en-GB"/>
        </w:rPr>
        <w:t xml:space="preserve"> for Arthritis Research (COPECARE), </w:t>
      </w:r>
      <w:proofErr w:type="spellStart"/>
      <w:r w:rsidRPr="00BA603A">
        <w:rPr>
          <w:sz w:val="24"/>
          <w:szCs w:val="24"/>
          <w:lang w:val="en-GB"/>
        </w:rPr>
        <w:t>Center</w:t>
      </w:r>
      <w:proofErr w:type="spellEnd"/>
      <w:r w:rsidRPr="00BA603A">
        <w:rPr>
          <w:sz w:val="24"/>
          <w:szCs w:val="24"/>
          <w:lang w:val="en-GB"/>
        </w:rPr>
        <w:t xml:space="preserve"> for Rheumatology and Spine </w:t>
      </w:r>
      <w:r>
        <w:rPr>
          <w:sz w:val="24"/>
          <w:szCs w:val="24"/>
          <w:lang w:val="en-GB"/>
        </w:rPr>
        <w:br/>
        <w:t xml:space="preserve">     </w:t>
      </w:r>
      <w:r w:rsidRPr="00BA603A">
        <w:rPr>
          <w:sz w:val="24"/>
          <w:szCs w:val="24"/>
          <w:lang w:val="en-GB"/>
        </w:rPr>
        <w:t xml:space="preserve">Diseases, </w:t>
      </w:r>
      <w:proofErr w:type="spellStart"/>
      <w:r w:rsidRPr="00BA603A">
        <w:rPr>
          <w:sz w:val="24"/>
          <w:szCs w:val="24"/>
          <w:lang w:val="en-GB"/>
        </w:rPr>
        <w:t>Rigshospitalet</w:t>
      </w:r>
      <w:proofErr w:type="spellEnd"/>
      <w:r w:rsidRPr="00BA603A">
        <w:rPr>
          <w:sz w:val="24"/>
          <w:szCs w:val="24"/>
          <w:lang w:val="en-GB"/>
        </w:rPr>
        <w:t xml:space="preserve">, </w:t>
      </w:r>
      <w:proofErr w:type="spellStart"/>
      <w:r w:rsidRPr="00BA603A">
        <w:rPr>
          <w:sz w:val="24"/>
          <w:szCs w:val="24"/>
          <w:lang w:val="en-GB"/>
        </w:rPr>
        <w:t>Glostrup</w:t>
      </w:r>
      <w:proofErr w:type="spellEnd"/>
      <w:r w:rsidRPr="00BA603A">
        <w:rPr>
          <w:sz w:val="24"/>
          <w:szCs w:val="24"/>
          <w:lang w:val="en-GB"/>
        </w:rPr>
        <w:t>,</w:t>
      </w:r>
      <w:r>
        <w:rPr>
          <w:sz w:val="24"/>
          <w:szCs w:val="24"/>
          <w:lang w:val="en-GB"/>
        </w:rPr>
        <w:t xml:space="preserve"> </w:t>
      </w:r>
      <w:r w:rsidRPr="00BA603A">
        <w:rPr>
          <w:sz w:val="24"/>
          <w:szCs w:val="24"/>
          <w:lang w:val="en-GB"/>
        </w:rPr>
        <w:t>Denmark</w:t>
      </w:r>
    </w:p>
    <w:p w:rsidR="00D159AE" w:rsidRPr="00BA603A" w:rsidRDefault="00D159AE" w:rsidP="00D159AE">
      <w:pPr>
        <w:spacing w:after="0" w:line="360" w:lineRule="auto"/>
        <w:rPr>
          <w:sz w:val="24"/>
          <w:szCs w:val="24"/>
          <w:lang w:val="en-GB"/>
        </w:rPr>
      </w:pPr>
      <w:r w:rsidRPr="00BA603A">
        <w:rPr>
          <w:sz w:val="24"/>
          <w:szCs w:val="24"/>
          <w:lang w:val="en-GB"/>
        </w:rPr>
        <w:t>2. Department of Clinical Medicine, University of Copenhagen, Copenhagen, Denmark</w:t>
      </w:r>
    </w:p>
    <w:p w:rsidR="00D159AE" w:rsidRPr="000955CD" w:rsidRDefault="00D159AE" w:rsidP="00D159AE">
      <w:pPr>
        <w:spacing w:after="0" w:line="360" w:lineRule="auto"/>
        <w:rPr>
          <w:sz w:val="14"/>
          <w:szCs w:val="14"/>
          <w:lang w:val="en-GB"/>
        </w:rPr>
      </w:pPr>
      <w:r w:rsidRPr="00BA603A">
        <w:rPr>
          <w:sz w:val="24"/>
          <w:szCs w:val="24"/>
          <w:lang w:val="en-GB"/>
        </w:rPr>
        <w:t xml:space="preserve">3. Department of Rheumatology, Hospital General </w:t>
      </w:r>
      <w:proofErr w:type="spellStart"/>
      <w:r w:rsidRPr="00BA603A">
        <w:rPr>
          <w:sz w:val="24"/>
          <w:szCs w:val="24"/>
          <w:lang w:val="en-GB"/>
        </w:rPr>
        <w:t>Universitario</w:t>
      </w:r>
      <w:proofErr w:type="spellEnd"/>
      <w:r w:rsidRPr="00BA603A">
        <w:rPr>
          <w:sz w:val="24"/>
          <w:szCs w:val="24"/>
          <w:lang w:val="en-GB"/>
        </w:rPr>
        <w:t xml:space="preserve"> Gregorio </w:t>
      </w:r>
      <w:proofErr w:type="spellStart"/>
      <w:r w:rsidRPr="00BA603A">
        <w:rPr>
          <w:sz w:val="24"/>
          <w:szCs w:val="24"/>
          <w:lang w:val="en-GB"/>
        </w:rPr>
        <w:t>Marañón</w:t>
      </w:r>
      <w:proofErr w:type="spellEnd"/>
      <w:r>
        <w:rPr>
          <w:sz w:val="24"/>
          <w:szCs w:val="24"/>
          <w:lang w:val="en-GB"/>
        </w:rPr>
        <w:t xml:space="preserve"> and </w:t>
      </w:r>
      <w:proofErr w:type="gramStart"/>
      <w:r>
        <w:rPr>
          <w:sz w:val="24"/>
          <w:szCs w:val="24"/>
          <w:lang w:val="en-GB"/>
        </w:rPr>
        <w:t xml:space="preserve">Universidad  </w:t>
      </w:r>
      <w:proofErr w:type="spellStart"/>
      <w:r>
        <w:rPr>
          <w:sz w:val="24"/>
          <w:szCs w:val="24"/>
          <w:lang w:val="en-GB"/>
        </w:rPr>
        <w:t>Complutense</w:t>
      </w:r>
      <w:proofErr w:type="spellEnd"/>
      <w:proofErr w:type="gramEnd"/>
      <w:r w:rsidRPr="00BA603A">
        <w:rPr>
          <w:sz w:val="24"/>
          <w:szCs w:val="24"/>
          <w:lang w:val="en-GB"/>
        </w:rPr>
        <w:t>, Madrid, Spain</w:t>
      </w:r>
    </w:p>
    <w:p w:rsidR="00D159AE" w:rsidRPr="00355E9F" w:rsidRDefault="00D159AE" w:rsidP="00D159AE">
      <w:pPr>
        <w:spacing w:after="0" w:line="240" w:lineRule="auto"/>
        <w:rPr>
          <w:sz w:val="12"/>
          <w:szCs w:val="12"/>
          <w:lang w:val="en-GB"/>
        </w:rPr>
      </w:pPr>
    </w:p>
    <w:p w:rsidR="00D159AE" w:rsidRPr="000955CD" w:rsidRDefault="00D159AE" w:rsidP="00D159AE">
      <w:pPr>
        <w:tabs>
          <w:tab w:val="left" w:pos="5841"/>
        </w:tabs>
        <w:spacing w:after="0" w:line="360" w:lineRule="auto"/>
        <w:rPr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>Background/Purpose</w:t>
      </w:r>
      <w:r w:rsidRPr="000955CD">
        <w:rPr>
          <w:b/>
          <w:bCs/>
          <w:sz w:val="24"/>
          <w:szCs w:val="24"/>
          <w:lang w:val="en-GB"/>
        </w:rPr>
        <w:t>:</w:t>
      </w:r>
      <w:r w:rsidRPr="000955CD">
        <w:rPr>
          <w:sz w:val="24"/>
          <w:szCs w:val="24"/>
          <w:lang w:val="en-GB"/>
        </w:rPr>
        <w:tab/>
      </w:r>
    </w:p>
    <w:p w:rsidR="00D159AE" w:rsidRPr="00C645D7" w:rsidRDefault="00D159AE" w:rsidP="00D159AE">
      <w:pPr>
        <w:spacing w:after="0" w:line="360" w:lineRule="auto"/>
        <w:rPr>
          <w:color w:val="000000" w:themeColor="text1"/>
          <w:sz w:val="24"/>
          <w:szCs w:val="24"/>
          <w:lang w:val="en-GB"/>
        </w:rPr>
      </w:pPr>
      <w:r w:rsidRPr="00C645D7">
        <w:rPr>
          <w:color w:val="000000" w:themeColor="text1"/>
          <w:sz w:val="24"/>
          <w:szCs w:val="24"/>
          <w:lang w:val="en-GB"/>
        </w:rPr>
        <w:t xml:space="preserve">The aim of this study was to compare the efficacy of </w:t>
      </w:r>
      <w:r>
        <w:rPr>
          <w:color w:val="000000" w:themeColor="text1"/>
          <w:sz w:val="24"/>
          <w:szCs w:val="24"/>
          <w:lang w:val="en-GB"/>
        </w:rPr>
        <w:t xml:space="preserve">intramuscular versus ultrasound </w:t>
      </w:r>
      <w:r w:rsidRPr="00C645D7">
        <w:rPr>
          <w:color w:val="000000" w:themeColor="text1"/>
          <w:sz w:val="24"/>
          <w:szCs w:val="24"/>
          <w:lang w:val="en-GB"/>
        </w:rPr>
        <w:t>(US)</w:t>
      </w:r>
      <w:r>
        <w:rPr>
          <w:color w:val="000000" w:themeColor="text1"/>
          <w:sz w:val="24"/>
          <w:szCs w:val="24"/>
          <w:lang w:val="en-GB"/>
        </w:rPr>
        <w:t>-</w:t>
      </w:r>
      <w:r w:rsidRPr="00C645D7">
        <w:rPr>
          <w:color w:val="000000" w:themeColor="text1"/>
          <w:sz w:val="24"/>
          <w:szCs w:val="24"/>
          <w:lang w:val="en-GB"/>
        </w:rPr>
        <w:t xml:space="preserve">guided </w:t>
      </w:r>
      <w:proofErr w:type="spellStart"/>
      <w:r w:rsidRPr="00C645D7">
        <w:rPr>
          <w:color w:val="000000" w:themeColor="text1"/>
          <w:sz w:val="24"/>
          <w:szCs w:val="24"/>
          <w:lang w:val="en-GB"/>
        </w:rPr>
        <w:t>peritendinous</w:t>
      </w:r>
      <w:proofErr w:type="spellEnd"/>
      <w:r w:rsidRPr="00C645D7">
        <w:rPr>
          <w:color w:val="000000" w:themeColor="text1"/>
          <w:sz w:val="24"/>
          <w:szCs w:val="24"/>
          <w:lang w:val="en-GB"/>
        </w:rPr>
        <w:t xml:space="preserve"> </w:t>
      </w:r>
      <w:r>
        <w:rPr>
          <w:color w:val="000000" w:themeColor="text1"/>
          <w:sz w:val="24"/>
          <w:szCs w:val="24"/>
          <w:lang w:val="en-GB"/>
        </w:rPr>
        <w:t>glucocorticoid</w:t>
      </w:r>
      <w:r w:rsidRPr="00C645D7">
        <w:rPr>
          <w:color w:val="000000" w:themeColor="text1"/>
          <w:sz w:val="24"/>
          <w:szCs w:val="24"/>
          <w:lang w:val="en-GB"/>
        </w:rPr>
        <w:t xml:space="preserve"> injection </w:t>
      </w:r>
      <w:r>
        <w:rPr>
          <w:color w:val="000000" w:themeColor="text1"/>
          <w:sz w:val="24"/>
          <w:szCs w:val="24"/>
          <w:lang w:val="en-GB"/>
        </w:rPr>
        <w:t xml:space="preserve">in providing </w:t>
      </w:r>
      <w:r w:rsidRPr="00C645D7">
        <w:rPr>
          <w:color w:val="000000" w:themeColor="text1"/>
          <w:sz w:val="24"/>
          <w:szCs w:val="24"/>
          <w:lang w:val="en-GB"/>
        </w:rPr>
        <w:t>disease control after 2, 4 and 1</w:t>
      </w:r>
      <w:r>
        <w:rPr>
          <w:color w:val="000000" w:themeColor="text1"/>
          <w:sz w:val="24"/>
          <w:szCs w:val="24"/>
          <w:lang w:val="en-GB"/>
        </w:rPr>
        <w:t>2 weeks in rheumatoid arthritis</w:t>
      </w:r>
      <w:r w:rsidRPr="00C645D7">
        <w:rPr>
          <w:color w:val="000000" w:themeColor="text1"/>
          <w:sz w:val="24"/>
          <w:szCs w:val="24"/>
          <w:lang w:val="en-GB"/>
        </w:rPr>
        <w:t>(RA) patients with tenosynovitis.</w:t>
      </w:r>
    </w:p>
    <w:p w:rsidR="00D159AE" w:rsidRPr="00C645D7" w:rsidRDefault="00D159AE" w:rsidP="00D159AE">
      <w:pPr>
        <w:spacing w:after="0" w:line="360" w:lineRule="auto"/>
        <w:rPr>
          <w:b/>
          <w:bCs/>
          <w:color w:val="000000" w:themeColor="text1"/>
          <w:sz w:val="24"/>
          <w:szCs w:val="24"/>
          <w:lang w:val="en-GB"/>
        </w:rPr>
      </w:pPr>
      <w:r w:rsidRPr="00C645D7">
        <w:rPr>
          <w:b/>
          <w:bCs/>
          <w:color w:val="000000" w:themeColor="text1"/>
          <w:sz w:val="24"/>
          <w:szCs w:val="24"/>
          <w:lang w:val="en-GB"/>
        </w:rPr>
        <w:t>Method</w:t>
      </w:r>
      <w:r w:rsidR="00637F97">
        <w:rPr>
          <w:b/>
          <w:bCs/>
          <w:color w:val="000000" w:themeColor="text1"/>
          <w:sz w:val="24"/>
          <w:szCs w:val="24"/>
          <w:lang w:val="en-GB"/>
        </w:rPr>
        <w:t>s</w:t>
      </w:r>
      <w:r w:rsidRPr="00C645D7">
        <w:rPr>
          <w:b/>
          <w:bCs/>
          <w:color w:val="000000" w:themeColor="text1"/>
          <w:sz w:val="24"/>
          <w:szCs w:val="24"/>
          <w:lang w:val="en-GB"/>
        </w:rPr>
        <w:t xml:space="preserve">: </w:t>
      </w:r>
    </w:p>
    <w:p w:rsidR="00D159AE" w:rsidRPr="000955CD" w:rsidRDefault="00D159AE" w:rsidP="00D159AE">
      <w:pPr>
        <w:spacing w:after="0" w:line="360" w:lineRule="auto"/>
        <w:rPr>
          <w:sz w:val="24"/>
          <w:szCs w:val="24"/>
          <w:lang w:val="en-GB"/>
        </w:rPr>
      </w:pPr>
      <w:r w:rsidRPr="00C645D7">
        <w:rPr>
          <w:color w:val="000000" w:themeColor="text1"/>
          <w:sz w:val="24"/>
          <w:szCs w:val="24"/>
          <w:lang w:val="en-GB"/>
        </w:rPr>
        <w:t>Fifty RA patients with tenosynovitis were randomised into two</w:t>
      </w:r>
      <w:r w:rsidRPr="00C645D7">
        <w:rPr>
          <w:color w:val="000000" w:themeColor="text1"/>
          <w:sz w:val="24"/>
          <w:szCs w:val="24"/>
          <w:lang w:val="en-US"/>
        </w:rPr>
        <w:t xml:space="preserve"> </w:t>
      </w:r>
      <w:r w:rsidRPr="00C645D7">
        <w:rPr>
          <w:color w:val="000000" w:themeColor="text1"/>
          <w:sz w:val="24"/>
          <w:szCs w:val="24"/>
          <w:lang w:val="en-GB"/>
        </w:rPr>
        <w:t>double-blind groups: A. “intramuscular group”, receiving intramuscular injection of betamethasone and US</w:t>
      </w:r>
      <w:r>
        <w:rPr>
          <w:color w:val="000000" w:themeColor="text1"/>
          <w:sz w:val="24"/>
          <w:szCs w:val="24"/>
          <w:lang w:val="en-GB"/>
        </w:rPr>
        <w:t>-</w:t>
      </w:r>
      <w:r w:rsidRPr="00C645D7">
        <w:rPr>
          <w:color w:val="000000" w:themeColor="text1"/>
          <w:sz w:val="24"/>
          <w:szCs w:val="24"/>
          <w:lang w:val="en-GB"/>
        </w:rPr>
        <w:t xml:space="preserve">guided </w:t>
      </w:r>
      <w:proofErr w:type="spellStart"/>
      <w:r w:rsidRPr="00C645D7">
        <w:rPr>
          <w:color w:val="000000" w:themeColor="text1"/>
          <w:sz w:val="24"/>
          <w:szCs w:val="24"/>
          <w:lang w:val="en-GB"/>
        </w:rPr>
        <w:t>peritendinous</w:t>
      </w:r>
      <w:proofErr w:type="spellEnd"/>
      <w:r w:rsidRPr="00C645D7">
        <w:rPr>
          <w:color w:val="000000" w:themeColor="text1"/>
          <w:sz w:val="24"/>
          <w:szCs w:val="24"/>
          <w:lang w:val="en-GB"/>
        </w:rPr>
        <w:t xml:space="preserve"> isotonic saline injection and B. “</w:t>
      </w:r>
      <w:proofErr w:type="spellStart"/>
      <w:r w:rsidRPr="00C645D7">
        <w:rPr>
          <w:color w:val="000000" w:themeColor="text1"/>
          <w:sz w:val="24"/>
          <w:szCs w:val="24"/>
          <w:lang w:val="en-GB"/>
        </w:rPr>
        <w:t>peritendinous</w:t>
      </w:r>
      <w:proofErr w:type="spellEnd"/>
      <w:r w:rsidRPr="00C645D7">
        <w:rPr>
          <w:color w:val="000000" w:themeColor="text1"/>
          <w:sz w:val="24"/>
          <w:szCs w:val="24"/>
          <w:lang w:val="en-GB"/>
        </w:rPr>
        <w:t xml:space="preserve"> group” receiving saline intramuscularly and US</w:t>
      </w:r>
      <w:r>
        <w:rPr>
          <w:color w:val="000000" w:themeColor="text1"/>
          <w:sz w:val="24"/>
          <w:szCs w:val="24"/>
          <w:lang w:val="en-GB"/>
        </w:rPr>
        <w:t>-</w:t>
      </w:r>
      <w:r w:rsidRPr="00C645D7">
        <w:rPr>
          <w:color w:val="000000" w:themeColor="text1"/>
          <w:sz w:val="24"/>
          <w:szCs w:val="24"/>
          <w:lang w:val="en-GB"/>
        </w:rPr>
        <w:t xml:space="preserve">guided </w:t>
      </w:r>
      <w:proofErr w:type="spellStart"/>
      <w:r w:rsidRPr="00C645D7">
        <w:rPr>
          <w:color w:val="000000" w:themeColor="text1"/>
          <w:sz w:val="24"/>
          <w:szCs w:val="24"/>
          <w:lang w:val="en-GB"/>
        </w:rPr>
        <w:t>peritendinous</w:t>
      </w:r>
      <w:proofErr w:type="spellEnd"/>
      <w:r w:rsidRPr="00C645D7">
        <w:rPr>
          <w:color w:val="000000" w:themeColor="text1"/>
          <w:sz w:val="24"/>
          <w:szCs w:val="24"/>
          <w:lang w:val="en-GB"/>
        </w:rPr>
        <w:t xml:space="preserve"> betamethasone injection. All patients were in stable disease-modifying anti-rheumatic drug treatment prior to and during the study. Patients were excluded, and considered non</w:t>
      </w:r>
      <w:r>
        <w:rPr>
          <w:color w:val="000000" w:themeColor="text1"/>
          <w:sz w:val="24"/>
          <w:szCs w:val="24"/>
          <w:lang w:val="en-GB"/>
        </w:rPr>
        <w:t>-r</w:t>
      </w:r>
      <w:r w:rsidRPr="00C645D7">
        <w:rPr>
          <w:color w:val="000000" w:themeColor="text1"/>
          <w:sz w:val="24"/>
          <w:szCs w:val="24"/>
          <w:lang w:val="en-GB"/>
        </w:rPr>
        <w:t>esponders, if any treatments</w:t>
      </w:r>
      <w:r>
        <w:rPr>
          <w:color w:val="000000" w:themeColor="text1"/>
          <w:sz w:val="24"/>
          <w:szCs w:val="24"/>
          <w:lang w:val="en-GB"/>
        </w:rPr>
        <w:t xml:space="preserve"> were altered during the follow-</w:t>
      </w:r>
      <w:r w:rsidRPr="00C645D7">
        <w:rPr>
          <w:color w:val="000000" w:themeColor="text1"/>
          <w:sz w:val="24"/>
          <w:szCs w:val="24"/>
          <w:lang w:val="en-GB"/>
        </w:rPr>
        <w:t xml:space="preserve">up period. “US tenosynovitis </w:t>
      </w:r>
      <w:r w:rsidRPr="000955CD">
        <w:rPr>
          <w:sz w:val="24"/>
          <w:szCs w:val="24"/>
          <w:lang w:val="en-GB"/>
        </w:rPr>
        <w:t>remission”</w:t>
      </w:r>
      <w:r>
        <w:rPr>
          <w:sz w:val="24"/>
          <w:szCs w:val="24"/>
          <w:lang w:val="en-GB"/>
        </w:rPr>
        <w:t xml:space="preserve">, defined as US </w:t>
      </w:r>
      <w:r w:rsidRPr="000955CD">
        <w:rPr>
          <w:sz w:val="24"/>
          <w:szCs w:val="24"/>
          <w:lang w:val="en-GB"/>
        </w:rPr>
        <w:t xml:space="preserve">tenosynovitis grey-scale score ≤1 and colour Doppler score=0, was assessed at week 4 (primary outcome), and weeks 2 and 12, using non-responder imputation for missing data.  </w:t>
      </w:r>
      <w:r w:rsidRPr="00D159AE">
        <w:rPr>
          <w:sz w:val="24"/>
          <w:szCs w:val="24"/>
          <w:lang w:val="en-GB"/>
        </w:rPr>
        <w:t xml:space="preserve">The </w:t>
      </w:r>
      <w:r w:rsidR="005C227B" w:rsidRPr="005C227B">
        <w:rPr>
          <w:sz w:val="24"/>
          <w:szCs w:val="24"/>
          <w:lang w:val="en-GB"/>
        </w:rPr>
        <w:t>tenosynovitis</w:t>
      </w:r>
      <w:bookmarkStart w:id="0" w:name="_GoBack"/>
      <w:bookmarkEnd w:id="0"/>
      <w:r w:rsidRPr="00D159AE">
        <w:rPr>
          <w:sz w:val="24"/>
          <w:szCs w:val="24"/>
          <w:lang w:val="en-GB"/>
        </w:rPr>
        <w:t xml:space="preserve"> was assessed at baseline,</w:t>
      </w:r>
      <w:r w:rsidR="00582F46"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  <w:lang w:val="en-GB"/>
        </w:rPr>
        <w:t xml:space="preserve">2, </w:t>
      </w:r>
      <w:r w:rsidRPr="00D159AE">
        <w:rPr>
          <w:sz w:val="24"/>
          <w:szCs w:val="24"/>
          <w:lang w:val="en-GB"/>
        </w:rPr>
        <w:t xml:space="preserve"> 4 and 12 weeks using the semi-quantitative scoring system for GS (0-3) and CD(0-3) as proposed by the OMERACT US group</w:t>
      </w:r>
      <w:r w:rsidR="00CA6EF2">
        <w:rPr>
          <w:sz w:val="24"/>
          <w:szCs w:val="24"/>
          <w:lang w:val="en-GB"/>
        </w:rPr>
        <w:t xml:space="preserve">, clinical </w:t>
      </w:r>
      <w:r w:rsidR="00582F46">
        <w:rPr>
          <w:sz w:val="24"/>
          <w:szCs w:val="24"/>
          <w:lang w:val="en-GB"/>
        </w:rPr>
        <w:t>assessment</w:t>
      </w:r>
      <w:r w:rsidRPr="00D159AE">
        <w:rPr>
          <w:sz w:val="24"/>
          <w:szCs w:val="24"/>
          <w:lang w:val="en-GB"/>
        </w:rPr>
        <w:t xml:space="preserve"> and a patient reported pain </w:t>
      </w:r>
      <w:r w:rsidR="005C227B" w:rsidRPr="005C227B">
        <w:rPr>
          <w:sz w:val="24"/>
          <w:szCs w:val="24"/>
          <w:lang w:val="en-GB"/>
        </w:rPr>
        <w:t>tenosynovitis</w:t>
      </w:r>
      <w:r w:rsidRPr="00D159AE">
        <w:rPr>
          <w:sz w:val="24"/>
          <w:szCs w:val="24"/>
          <w:lang w:val="en-GB"/>
        </w:rPr>
        <w:t xml:space="preserve"> visual analogue scale (VAS TS) from 0-100</w:t>
      </w:r>
    </w:p>
    <w:p w:rsidR="00D159AE" w:rsidRPr="000955CD" w:rsidRDefault="00D159AE" w:rsidP="00D159AE">
      <w:pPr>
        <w:spacing w:after="0" w:line="360" w:lineRule="auto"/>
        <w:rPr>
          <w:sz w:val="24"/>
          <w:szCs w:val="24"/>
          <w:lang w:val="en-GB"/>
        </w:rPr>
      </w:pPr>
      <w:r w:rsidRPr="000955CD">
        <w:rPr>
          <w:b/>
          <w:sz w:val="24"/>
          <w:szCs w:val="24"/>
          <w:lang w:val="en-GB"/>
        </w:rPr>
        <w:t>Results:</w:t>
      </w:r>
      <w:r w:rsidRPr="000955CD">
        <w:rPr>
          <w:sz w:val="24"/>
          <w:szCs w:val="24"/>
          <w:lang w:val="en-GB"/>
        </w:rPr>
        <w:t xml:space="preserve"> </w:t>
      </w:r>
    </w:p>
    <w:p w:rsidR="00D159AE" w:rsidRPr="00C645D7" w:rsidRDefault="00D159AE" w:rsidP="00D159AE">
      <w:pPr>
        <w:spacing w:after="0" w:line="36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GB"/>
        </w:rPr>
        <w:t xml:space="preserve">US </w:t>
      </w:r>
      <w:r w:rsidRPr="000955CD">
        <w:rPr>
          <w:sz w:val="24"/>
          <w:szCs w:val="24"/>
          <w:lang w:val="en-GB"/>
        </w:rPr>
        <w:t>tenosynovitis remission</w:t>
      </w:r>
      <w:r w:rsidRPr="000955CD" w:rsidDel="00833873">
        <w:rPr>
          <w:sz w:val="24"/>
          <w:szCs w:val="24"/>
          <w:lang w:val="en-GB"/>
        </w:rPr>
        <w:t xml:space="preserve"> </w:t>
      </w:r>
      <w:r w:rsidRPr="000955CD">
        <w:rPr>
          <w:sz w:val="24"/>
          <w:szCs w:val="24"/>
          <w:lang w:val="en-GB"/>
        </w:rPr>
        <w:t>at week 4 was achieved in 25% (6/24) [95% confidence limits: 8%; 42%] in the “intramuscular group”, versus 64% (16/25) [45%; 83%] in the “</w:t>
      </w:r>
      <w:proofErr w:type="spellStart"/>
      <w:r w:rsidRPr="000955CD">
        <w:rPr>
          <w:sz w:val="24"/>
          <w:szCs w:val="24"/>
          <w:lang w:val="en-GB"/>
        </w:rPr>
        <w:t>peritendinous</w:t>
      </w:r>
      <w:proofErr w:type="spellEnd"/>
      <w:r w:rsidRPr="000955CD">
        <w:rPr>
          <w:sz w:val="24"/>
          <w:szCs w:val="24"/>
          <w:lang w:val="en-GB"/>
        </w:rPr>
        <w:t xml:space="preserve"> group” (Fisher exact</w:t>
      </w:r>
      <w:r>
        <w:rPr>
          <w:sz w:val="24"/>
          <w:szCs w:val="24"/>
          <w:lang w:val="en-GB"/>
        </w:rPr>
        <w:t xml:space="preserve"> test</w:t>
      </w:r>
      <w:r w:rsidRPr="000955CD">
        <w:rPr>
          <w:sz w:val="24"/>
          <w:szCs w:val="24"/>
          <w:lang w:val="en-GB"/>
        </w:rPr>
        <w:t xml:space="preserve">; p&lt;0.01). Corresponding values for the “intramuscular group” </w:t>
      </w:r>
      <w:r>
        <w:rPr>
          <w:sz w:val="24"/>
          <w:szCs w:val="24"/>
          <w:lang w:val="en-GB"/>
        </w:rPr>
        <w:t>versus</w:t>
      </w:r>
      <w:r w:rsidRPr="000955CD">
        <w:rPr>
          <w:sz w:val="24"/>
          <w:szCs w:val="24"/>
          <w:lang w:val="en-GB"/>
        </w:rPr>
        <w:t xml:space="preserve"> the “</w:t>
      </w:r>
      <w:proofErr w:type="spellStart"/>
      <w:r w:rsidRPr="000955CD">
        <w:rPr>
          <w:sz w:val="24"/>
          <w:szCs w:val="24"/>
          <w:lang w:val="en-GB"/>
        </w:rPr>
        <w:t>peritendinous</w:t>
      </w:r>
      <w:proofErr w:type="spellEnd"/>
      <w:r w:rsidRPr="000955CD">
        <w:rPr>
          <w:sz w:val="24"/>
          <w:szCs w:val="24"/>
          <w:lang w:val="en-GB"/>
        </w:rPr>
        <w:t xml:space="preserve"> group” at 2 and 12 weeks were 21% [5%; 37%] versus 48% [28%; 68%] (p=0.07) and 8% (0%; 19%) versus 44% (24%; 63%) </w:t>
      </w:r>
      <w:proofErr w:type="gramStart"/>
      <w:r w:rsidRPr="000955CD">
        <w:rPr>
          <w:sz w:val="24"/>
          <w:szCs w:val="24"/>
          <w:lang w:val="en-GB"/>
        </w:rPr>
        <w:t>(p&lt;0.01</w:t>
      </w:r>
      <w:r>
        <w:rPr>
          <w:sz w:val="24"/>
          <w:szCs w:val="24"/>
          <w:lang w:val="en-GB"/>
        </w:rPr>
        <w:t>).</w:t>
      </w:r>
      <w:proofErr w:type="gramEnd"/>
      <w:r>
        <w:rPr>
          <w:sz w:val="24"/>
          <w:szCs w:val="24"/>
          <w:lang w:val="en-GB"/>
        </w:rPr>
        <w:t xml:space="preserve"> </w:t>
      </w:r>
      <w:r w:rsidRPr="00C645D7">
        <w:rPr>
          <w:sz w:val="24"/>
          <w:szCs w:val="24"/>
          <w:lang w:val="en-GB"/>
        </w:rPr>
        <w:t xml:space="preserve">Most US and clinical/patient-reported scores improved more in the </w:t>
      </w:r>
      <w:r>
        <w:rPr>
          <w:sz w:val="24"/>
          <w:szCs w:val="24"/>
          <w:lang w:val="en-GB"/>
        </w:rPr>
        <w:t>“</w:t>
      </w:r>
      <w:proofErr w:type="spellStart"/>
      <w:r w:rsidRPr="00C645D7">
        <w:rPr>
          <w:sz w:val="24"/>
          <w:szCs w:val="24"/>
          <w:lang w:val="en-GB"/>
        </w:rPr>
        <w:t>peritendinous</w:t>
      </w:r>
      <w:proofErr w:type="spellEnd"/>
      <w:r w:rsidRPr="00C645D7">
        <w:rPr>
          <w:sz w:val="24"/>
          <w:szCs w:val="24"/>
          <w:lang w:val="en-GB"/>
        </w:rPr>
        <w:t xml:space="preserve"> group</w:t>
      </w:r>
      <w:r>
        <w:rPr>
          <w:sz w:val="24"/>
          <w:szCs w:val="24"/>
          <w:lang w:val="en-GB"/>
        </w:rPr>
        <w:t>”</w:t>
      </w:r>
      <w:r w:rsidRPr="00C645D7">
        <w:rPr>
          <w:sz w:val="24"/>
          <w:szCs w:val="24"/>
          <w:lang w:val="en-GB"/>
        </w:rPr>
        <w:t xml:space="preserve"> at all follow up visits</w:t>
      </w:r>
      <w:r w:rsidR="00CA6EF2">
        <w:rPr>
          <w:sz w:val="24"/>
          <w:szCs w:val="24"/>
          <w:lang w:val="en-GB"/>
        </w:rPr>
        <w:t xml:space="preserve"> (see table 1)</w:t>
      </w:r>
      <w:r w:rsidRPr="00C645D7">
        <w:rPr>
          <w:sz w:val="24"/>
          <w:szCs w:val="24"/>
          <w:lang w:val="en-GB"/>
        </w:rPr>
        <w:t>.</w:t>
      </w:r>
    </w:p>
    <w:p w:rsidR="00D159AE" w:rsidRPr="000955CD" w:rsidRDefault="00D159AE" w:rsidP="00D159AE">
      <w:pPr>
        <w:spacing w:after="0" w:line="360" w:lineRule="auto"/>
        <w:rPr>
          <w:b/>
          <w:sz w:val="24"/>
          <w:szCs w:val="24"/>
          <w:lang w:val="en-GB"/>
        </w:rPr>
      </w:pPr>
      <w:r w:rsidRPr="000955CD">
        <w:rPr>
          <w:b/>
          <w:sz w:val="24"/>
          <w:szCs w:val="24"/>
          <w:lang w:val="en-GB"/>
        </w:rPr>
        <w:t xml:space="preserve">Conclusion: </w:t>
      </w:r>
    </w:p>
    <w:p w:rsidR="00D159AE" w:rsidRPr="000955CD" w:rsidRDefault="00D159AE" w:rsidP="00D159AE">
      <w:pPr>
        <w:spacing w:after="0" w:line="360" w:lineRule="auto"/>
        <w:rPr>
          <w:sz w:val="24"/>
          <w:szCs w:val="24"/>
          <w:lang w:val="en-GB"/>
        </w:rPr>
      </w:pPr>
      <w:r w:rsidRPr="000955CD">
        <w:rPr>
          <w:sz w:val="24"/>
          <w:szCs w:val="24"/>
          <w:lang w:val="en-GB"/>
        </w:rPr>
        <w:t xml:space="preserve">In this randomised double-blind clinical trial, RA patients with tenosynovitis responded significantly better to US guided </w:t>
      </w:r>
      <w:proofErr w:type="spellStart"/>
      <w:r w:rsidRPr="000955CD">
        <w:rPr>
          <w:sz w:val="24"/>
          <w:szCs w:val="24"/>
          <w:lang w:val="en-GB"/>
        </w:rPr>
        <w:t>peritendinous</w:t>
      </w:r>
      <w:proofErr w:type="spellEnd"/>
      <w:r w:rsidRPr="000955CD"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  <w:lang w:val="en-GB"/>
        </w:rPr>
        <w:t>glucocorticoid</w:t>
      </w:r>
      <w:r w:rsidRPr="000955CD">
        <w:rPr>
          <w:sz w:val="24"/>
          <w:szCs w:val="24"/>
          <w:lang w:val="en-GB"/>
        </w:rPr>
        <w:t xml:space="preserve"> injection than to intramuscular </w:t>
      </w:r>
      <w:r>
        <w:rPr>
          <w:sz w:val="24"/>
          <w:szCs w:val="24"/>
          <w:lang w:val="en-GB"/>
        </w:rPr>
        <w:t>glucocorticoid</w:t>
      </w:r>
      <w:r w:rsidRPr="000955CD">
        <w:rPr>
          <w:sz w:val="24"/>
          <w:szCs w:val="24"/>
          <w:lang w:val="en-GB"/>
        </w:rPr>
        <w:t xml:space="preserve"> injection, both at 4 and 12 weeks</w:t>
      </w:r>
      <w:r w:rsidRPr="001746CA">
        <w:rPr>
          <w:lang w:val="en-GB"/>
        </w:rPr>
        <w:t xml:space="preserve"> </w:t>
      </w:r>
      <w:r>
        <w:rPr>
          <w:sz w:val="24"/>
          <w:szCs w:val="24"/>
          <w:lang w:val="en-GB"/>
        </w:rPr>
        <w:t xml:space="preserve">follow </w:t>
      </w:r>
      <w:r w:rsidRPr="001746CA">
        <w:rPr>
          <w:sz w:val="24"/>
          <w:szCs w:val="24"/>
          <w:lang w:val="en-GB"/>
        </w:rPr>
        <w:t>up</w:t>
      </w:r>
      <w:r w:rsidRPr="000955CD">
        <w:rPr>
          <w:sz w:val="24"/>
          <w:szCs w:val="24"/>
          <w:lang w:val="en-GB"/>
        </w:rPr>
        <w:t>.</w:t>
      </w:r>
    </w:p>
    <w:p w:rsidR="00BC4C78" w:rsidRDefault="00582F46">
      <w:pPr>
        <w:rPr>
          <w:lang w:val="en-GB"/>
        </w:rPr>
      </w:pPr>
      <w:r>
        <w:rPr>
          <w:noProof/>
          <w:lang w:val="en-US"/>
        </w:rPr>
        <w:drawing>
          <wp:inline distT="0" distB="0" distL="0" distR="0">
            <wp:extent cx="9144000" cy="4181475"/>
            <wp:effectExtent l="0" t="0" r="0" b="9525"/>
            <wp:docPr id="3" name="Billede 3" descr="C:\Users\mras0222\Downloads\ACR_2016_table_1_PERIvI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ras0222\Downloads\ACR_2016_table_1_PERIvI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06" b="24722"/>
                    <a:stretch/>
                  </pic:blipFill>
                  <pic:spPr bwMode="auto">
                    <a:xfrm>
                      <a:off x="0" y="0"/>
                      <a:ext cx="9144000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C4C78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AMO_ReportControlsVisible" w:val="Empty"/>
    <w:docVar w:name="_AMO_UniqueIdentifier" w:val="c2e60ebe-03a7-4ace-b518-0402e1a1b1be"/>
  </w:docVars>
  <w:rsids>
    <w:rsidRoot w:val="00D159AE"/>
    <w:rsid w:val="00104C2D"/>
    <w:rsid w:val="001D0676"/>
    <w:rsid w:val="003320F8"/>
    <w:rsid w:val="003D08C6"/>
    <w:rsid w:val="00582F46"/>
    <w:rsid w:val="005C227B"/>
    <w:rsid w:val="00637F97"/>
    <w:rsid w:val="0088759B"/>
    <w:rsid w:val="00BC4C78"/>
    <w:rsid w:val="00C155AB"/>
    <w:rsid w:val="00CA6EF2"/>
    <w:rsid w:val="00D159AE"/>
    <w:rsid w:val="00F83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9AE"/>
    <w:rPr>
      <w:lang w:val="da-DK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1D0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1D0676"/>
    <w:rPr>
      <w:rFonts w:ascii="Tahoma" w:hAnsi="Tahoma" w:cs="Tahoma"/>
      <w:sz w:val="16"/>
      <w:szCs w:val="16"/>
      <w:lang w:val="da-D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9AE"/>
    <w:rPr>
      <w:lang w:val="da-DK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1D0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1D0676"/>
    <w:rPr>
      <w:rFonts w:ascii="Tahoma" w:hAnsi="Tahoma" w:cs="Tahoma"/>
      <w:sz w:val="16"/>
      <w:szCs w:val="16"/>
      <w:lang w:val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C7790-2957-4ECF-AB15-CA52097D7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Region Hovedstaden</Company>
  <LinksUpToDate>false</LinksUpToDate>
  <CharactersWithSpaces>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Mads Ammitzbøll Danielsen</dc:creator>
  <cp:lastModifiedBy>Mads Ammitzbøll Danielsen</cp:lastModifiedBy>
  <cp:revision>3</cp:revision>
  <dcterms:created xsi:type="dcterms:W3CDTF">2016-06-20T09:12:00Z</dcterms:created>
  <dcterms:modified xsi:type="dcterms:W3CDTF">2016-06-21T10:14:00Z</dcterms:modified>
</cp:coreProperties>
</file>