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F7E" w:rsidRPr="00594F7E" w:rsidRDefault="00594F7E" w:rsidP="00594F7E">
      <w:pPr>
        <w:rPr>
          <w:b/>
          <w:bCs/>
          <w:lang w:val="en-US"/>
        </w:rPr>
      </w:pPr>
      <w:proofErr w:type="spellStart"/>
      <w:r w:rsidRPr="00594F7E">
        <w:rPr>
          <w:b/>
          <w:bCs/>
          <w:lang w:val="en-US"/>
        </w:rPr>
        <w:t>FIL_BRidge_Protocol</w:t>
      </w:r>
      <w:proofErr w:type="spellEnd"/>
      <w:r w:rsidRPr="00594F7E">
        <w:rPr>
          <w:b/>
          <w:bCs/>
          <w:lang w:val="en-US"/>
        </w:rPr>
        <w:t>_ version n. 2_March 1st, 2017</w:t>
      </w:r>
    </w:p>
    <w:p w:rsidR="00594F7E" w:rsidRDefault="00594F7E" w:rsidP="00594F7E">
      <w:pPr>
        <w:jc w:val="both"/>
        <w:rPr>
          <w:b/>
          <w:bCs/>
          <w:lang w:val="en-US"/>
        </w:rPr>
      </w:pPr>
      <w:r>
        <w:rPr>
          <w:b/>
          <w:bCs/>
          <w:lang w:val="en-US"/>
        </w:rPr>
        <w:t>STUDY SYNOPSIS</w:t>
      </w:r>
    </w:p>
    <w:p w:rsidR="00594F7E" w:rsidRPr="00594F7E" w:rsidRDefault="00594F7E" w:rsidP="00594F7E">
      <w:pPr>
        <w:jc w:val="both"/>
        <w:rPr>
          <w:b/>
          <w:bCs/>
          <w:lang w:val="en-US"/>
        </w:rPr>
      </w:pPr>
      <w:r w:rsidRPr="00594F7E">
        <w:rPr>
          <w:b/>
          <w:bCs/>
          <w:lang w:val="en-US"/>
        </w:rPr>
        <w:t>Study Title</w:t>
      </w:r>
    </w:p>
    <w:p w:rsidR="00594F7E" w:rsidRPr="00594F7E" w:rsidRDefault="00594F7E" w:rsidP="00594F7E">
      <w:pPr>
        <w:jc w:val="both"/>
        <w:rPr>
          <w:lang w:val="en-US"/>
        </w:rPr>
      </w:pPr>
      <w:r w:rsidRPr="00594F7E">
        <w:rPr>
          <w:lang w:val="en-US"/>
        </w:rPr>
        <w:t xml:space="preserve">A pilot phase II study with brentuximab </w:t>
      </w:r>
      <w:proofErr w:type="spellStart"/>
      <w:r w:rsidRPr="00594F7E">
        <w:rPr>
          <w:lang w:val="en-US"/>
        </w:rPr>
        <w:t>vedotin</w:t>
      </w:r>
      <w:proofErr w:type="spellEnd"/>
      <w:r w:rsidRPr="00594F7E">
        <w:rPr>
          <w:lang w:val="en-US"/>
        </w:rPr>
        <w:t xml:space="preserve"> as pre-ASCT induction therapy in relapsed/refractory Hodgkin’s lymphoma patients non-responding to IGEV salvage treatment.</w:t>
      </w:r>
    </w:p>
    <w:p w:rsidR="00594F7E" w:rsidRPr="00594F7E" w:rsidRDefault="00594F7E" w:rsidP="00594F7E">
      <w:pPr>
        <w:jc w:val="both"/>
        <w:rPr>
          <w:b/>
          <w:bCs/>
          <w:lang w:val="en-US"/>
        </w:rPr>
      </w:pPr>
      <w:r w:rsidRPr="00594F7E">
        <w:rPr>
          <w:b/>
          <w:bCs/>
          <w:lang w:val="en-US"/>
        </w:rPr>
        <w:t>Background and rationale</w:t>
      </w:r>
    </w:p>
    <w:p w:rsidR="00594F7E" w:rsidRPr="00594F7E" w:rsidRDefault="00594F7E" w:rsidP="00594F7E">
      <w:pPr>
        <w:jc w:val="both"/>
        <w:rPr>
          <w:lang w:val="en-US"/>
        </w:rPr>
      </w:pPr>
      <w:r w:rsidRPr="00594F7E">
        <w:rPr>
          <w:lang w:val="en-US"/>
        </w:rPr>
        <w:t xml:space="preserve">About 80% of patients with Hodgkin’s Lymphoma are likely to be cured by first line chemotherapy. </w:t>
      </w:r>
      <w:proofErr w:type="gramStart"/>
      <w:r w:rsidRPr="00594F7E">
        <w:rPr>
          <w:lang w:val="en-US"/>
        </w:rPr>
        <w:t>However</w:t>
      </w:r>
      <w:proofErr w:type="gramEnd"/>
      <w:r w:rsidRPr="00594F7E">
        <w:rPr>
          <w:lang w:val="en-US"/>
        </w:rPr>
        <w:t xml:space="preserve"> some patients fail to reach remission or relapse early (within 3 months) after first-line therapy. These non-responders generally have a worse prognosis and they need to be addressed to effective salvage therapy, thus improving the chance of </w:t>
      </w:r>
      <w:proofErr w:type="gramStart"/>
      <w:r w:rsidRPr="00594F7E">
        <w:rPr>
          <w:lang w:val="en-US"/>
        </w:rPr>
        <w:t>long term</w:t>
      </w:r>
      <w:proofErr w:type="gramEnd"/>
      <w:r w:rsidRPr="00594F7E">
        <w:rPr>
          <w:lang w:val="en-US"/>
        </w:rPr>
        <w:t xml:space="preserve"> survival.</w:t>
      </w:r>
    </w:p>
    <w:p w:rsidR="00594F7E" w:rsidRPr="00594F7E" w:rsidRDefault="00594F7E" w:rsidP="00594F7E">
      <w:pPr>
        <w:jc w:val="both"/>
        <w:rPr>
          <w:lang w:val="en-US"/>
        </w:rPr>
      </w:pPr>
      <w:r w:rsidRPr="00594F7E">
        <w:rPr>
          <w:lang w:val="en-US"/>
        </w:rPr>
        <w:t>Following salvage treatment, response to chemotherapy (</w:t>
      </w:r>
      <w:proofErr w:type="spellStart"/>
      <w:r w:rsidRPr="00594F7E">
        <w:rPr>
          <w:lang w:val="en-US"/>
        </w:rPr>
        <w:t>chemosensitive</w:t>
      </w:r>
      <w:proofErr w:type="spellEnd"/>
      <w:r w:rsidRPr="00594F7E">
        <w:rPr>
          <w:lang w:val="en-US"/>
        </w:rPr>
        <w:t xml:space="preserve"> disease) has been used as the major selection criterion to proceed to high dose chemotherapy with ASCT. </w:t>
      </w:r>
      <w:proofErr w:type="gramStart"/>
      <w:r w:rsidRPr="00594F7E">
        <w:rPr>
          <w:lang w:val="en-US"/>
        </w:rPr>
        <w:t>Moreover</w:t>
      </w:r>
      <w:proofErr w:type="gramEnd"/>
      <w:r w:rsidRPr="00594F7E">
        <w:rPr>
          <w:lang w:val="en-US"/>
        </w:rPr>
        <w:t xml:space="preserve"> achievement of complete remission (CR) after salvage therapy emerged as the strongest prognostic factor for durable remission.</w:t>
      </w:r>
    </w:p>
    <w:p w:rsidR="00594F7E" w:rsidRPr="00594F7E" w:rsidRDefault="00594F7E" w:rsidP="00594F7E">
      <w:pPr>
        <w:jc w:val="both"/>
        <w:rPr>
          <w:lang w:val="en-US"/>
        </w:rPr>
      </w:pPr>
      <w:r w:rsidRPr="00594F7E">
        <w:rPr>
          <w:lang w:val="en-US"/>
        </w:rPr>
        <w:t xml:space="preserve">Brentuximab </w:t>
      </w:r>
      <w:proofErr w:type="spellStart"/>
      <w:r w:rsidRPr="00594F7E">
        <w:rPr>
          <w:lang w:val="en-US"/>
        </w:rPr>
        <w:t>vedotin</w:t>
      </w:r>
      <w:proofErr w:type="spellEnd"/>
      <w:r w:rsidRPr="00594F7E">
        <w:rPr>
          <w:lang w:val="en-US"/>
        </w:rPr>
        <w:t xml:space="preserve"> emerged as active single-agent in the treatment of relapsed or refractory HL. A recent pivotal phase II study in this subset of patients showed that brentuximab </w:t>
      </w:r>
      <w:proofErr w:type="spellStart"/>
      <w:r w:rsidRPr="00594F7E">
        <w:rPr>
          <w:lang w:val="en-US"/>
        </w:rPr>
        <w:t>vedotin</w:t>
      </w:r>
      <w:proofErr w:type="spellEnd"/>
      <w:r w:rsidRPr="00594F7E">
        <w:rPr>
          <w:lang w:val="en-US"/>
        </w:rPr>
        <w:t xml:space="preserve"> induced objective responses in 75% of treated patients (CR 34%).</w:t>
      </w:r>
    </w:p>
    <w:p w:rsidR="00594F7E" w:rsidRPr="00594F7E" w:rsidRDefault="00594F7E" w:rsidP="00594F7E">
      <w:pPr>
        <w:jc w:val="both"/>
        <w:rPr>
          <w:lang w:val="en-US"/>
        </w:rPr>
      </w:pPr>
      <w:r w:rsidRPr="00594F7E">
        <w:rPr>
          <w:lang w:val="en-US"/>
        </w:rPr>
        <w:t>Some patients don’t reach a complete response after salvage treatment with IGEV (</w:t>
      </w:r>
      <w:proofErr w:type="spellStart"/>
      <w:r w:rsidRPr="00594F7E">
        <w:rPr>
          <w:lang w:val="en-US"/>
        </w:rPr>
        <w:t>ifosfamide</w:t>
      </w:r>
      <w:proofErr w:type="spellEnd"/>
      <w:r w:rsidRPr="00594F7E">
        <w:rPr>
          <w:lang w:val="en-US"/>
        </w:rPr>
        <w:t xml:space="preserve">, gemcitabine, vinorelbine) and remain PET positive so the idea is to treat this subset of patients with brentuximab </w:t>
      </w:r>
      <w:proofErr w:type="spellStart"/>
      <w:r w:rsidRPr="00594F7E">
        <w:rPr>
          <w:lang w:val="en-US"/>
        </w:rPr>
        <w:t>vedotin</w:t>
      </w:r>
      <w:proofErr w:type="spellEnd"/>
      <w:r w:rsidRPr="00594F7E">
        <w:rPr>
          <w:lang w:val="en-US"/>
        </w:rPr>
        <w:t xml:space="preserve"> with the aim of achieving a complete remission before transplant.</w:t>
      </w:r>
    </w:p>
    <w:p w:rsidR="00594F7E" w:rsidRPr="00594F7E" w:rsidRDefault="00594F7E" w:rsidP="00594F7E">
      <w:pPr>
        <w:jc w:val="both"/>
        <w:rPr>
          <w:b/>
          <w:bCs/>
          <w:lang w:val="en-US"/>
        </w:rPr>
      </w:pPr>
      <w:r w:rsidRPr="00594F7E">
        <w:rPr>
          <w:b/>
          <w:bCs/>
          <w:lang w:val="en-US"/>
        </w:rPr>
        <w:t>Study design</w:t>
      </w:r>
    </w:p>
    <w:p w:rsidR="00594F7E" w:rsidRPr="00594F7E" w:rsidRDefault="00594F7E" w:rsidP="00594F7E">
      <w:pPr>
        <w:jc w:val="both"/>
        <w:rPr>
          <w:lang w:val="en-US"/>
        </w:rPr>
      </w:pPr>
      <w:r w:rsidRPr="00594F7E">
        <w:rPr>
          <w:lang w:val="en-US"/>
        </w:rPr>
        <w:t>Single arm pilot study</w:t>
      </w:r>
    </w:p>
    <w:p w:rsidR="00594F7E" w:rsidRPr="00594F7E" w:rsidRDefault="00594F7E" w:rsidP="00594F7E">
      <w:pPr>
        <w:jc w:val="both"/>
        <w:rPr>
          <w:i/>
          <w:iCs/>
          <w:lang w:val="en-US"/>
        </w:rPr>
      </w:pPr>
      <w:r w:rsidRPr="00594F7E">
        <w:rPr>
          <w:i/>
          <w:iCs/>
          <w:lang w:val="en-US"/>
        </w:rPr>
        <w:t>Primary objective</w:t>
      </w:r>
    </w:p>
    <w:p w:rsidR="00594F7E" w:rsidRPr="00594F7E" w:rsidRDefault="00594F7E" w:rsidP="00594F7E">
      <w:pPr>
        <w:jc w:val="both"/>
        <w:rPr>
          <w:lang w:val="en-US"/>
        </w:rPr>
      </w:pPr>
      <w:r w:rsidRPr="00594F7E">
        <w:rPr>
          <w:lang w:val="en-US"/>
        </w:rPr>
        <w:t xml:space="preserve">To evaluate the activity of brentuximab </w:t>
      </w:r>
      <w:proofErr w:type="spellStart"/>
      <w:r w:rsidRPr="00594F7E">
        <w:rPr>
          <w:lang w:val="en-US"/>
        </w:rPr>
        <w:t>vedotin</w:t>
      </w:r>
      <w:proofErr w:type="spellEnd"/>
      <w:r w:rsidRPr="00594F7E">
        <w:rPr>
          <w:lang w:val="en-US"/>
        </w:rPr>
        <w:t xml:space="preserve"> in terms of complete remission (CT scan and FDG-PET negative) in patients with relapsed/refractory Hodgkin’s Lymphoma not responding (FDG-PET positive) to salvage treatment with IGEV.</w:t>
      </w:r>
    </w:p>
    <w:p w:rsidR="00594F7E" w:rsidRPr="00594F7E" w:rsidRDefault="00594F7E" w:rsidP="00594F7E">
      <w:pPr>
        <w:jc w:val="both"/>
        <w:rPr>
          <w:i/>
          <w:iCs/>
          <w:lang w:val="en-US"/>
        </w:rPr>
      </w:pPr>
      <w:r w:rsidRPr="00594F7E">
        <w:rPr>
          <w:i/>
          <w:iCs/>
          <w:lang w:val="en-US"/>
        </w:rPr>
        <w:t>Secondary objectives</w:t>
      </w:r>
    </w:p>
    <w:p w:rsidR="00594F7E" w:rsidRPr="00594F7E" w:rsidRDefault="00594F7E" w:rsidP="00594F7E">
      <w:pPr>
        <w:jc w:val="both"/>
        <w:rPr>
          <w:lang w:val="en-US"/>
        </w:rPr>
      </w:pPr>
      <w:r w:rsidRPr="00594F7E">
        <w:rPr>
          <w:lang w:val="en-US"/>
        </w:rPr>
        <w:t xml:space="preserve">To evaluate if brentuximab </w:t>
      </w:r>
      <w:proofErr w:type="spellStart"/>
      <w:r w:rsidRPr="00594F7E">
        <w:rPr>
          <w:lang w:val="en-US"/>
        </w:rPr>
        <w:t>vedotin</w:t>
      </w:r>
      <w:proofErr w:type="spellEnd"/>
      <w:r w:rsidRPr="00594F7E">
        <w:rPr>
          <w:lang w:val="en-US"/>
        </w:rPr>
        <w:t xml:space="preserve"> administration after unsatisfactory response to IGEV </w:t>
      </w:r>
      <w:proofErr w:type="gramStart"/>
      <w:r w:rsidRPr="00594F7E">
        <w:rPr>
          <w:lang w:val="en-US"/>
        </w:rPr>
        <w:t>is able to</w:t>
      </w:r>
      <w:proofErr w:type="gramEnd"/>
      <w:r w:rsidRPr="00594F7E">
        <w:rPr>
          <w:lang w:val="en-US"/>
        </w:rPr>
        <w:t xml:space="preserve"> achieve CR, thus improving progression free survival (PFS) and duration of remission.</w:t>
      </w:r>
    </w:p>
    <w:p w:rsidR="00594F7E" w:rsidRPr="00594F7E" w:rsidRDefault="00594F7E" w:rsidP="00594F7E">
      <w:pPr>
        <w:jc w:val="both"/>
        <w:rPr>
          <w:lang w:val="en-US"/>
        </w:rPr>
      </w:pPr>
      <w:r w:rsidRPr="00594F7E">
        <w:rPr>
          <w:lang w:val="en-US"/>
        </w:rPr>
        <w:t xml:space="preserve">To evaluate the toxicity of brentuximab </w:t>
      </w:r>
      <w:proofErr w:type="spellStart"/>
      <w:r w:rsidRPr="00594F7E">
        <w:rPr>
          <w:lang w:val="en-US"/>
        </w:rPr>
        <w:t>vedotin</w:t>
      </w:r>
      <w:proofErr w:type="spellEnd"/>
      <w:r w:rsidRPr="00594F7E">
        <w:rPr>
          <w:lang w:val="en-US"/>
        </w:rPr>
        <w:t xml:space="preserve"> in terms of </w:t>
      </w:r>
      <w:proofErr w:type="spellStart"/>
      <w:r w:rsidRPr="00594F7E">
        <w:rPr>
          <w:lang w:val="en-US"/>
        </w:rPr>
        <w:t>haematological</w:t>
      </w:r>
      <w:proofErr w:type="spellEnd"/>
      <w:r w:rsidRPr="00594F7E">
        <w:rPr>
          <w:lang w:val="en-US"/>
        </w:rPr>
        <w:t xml:space="preserve"> and extra-</w:t>
      </w:r>
      <w:proofErr w:type="spellStart"/>
      <w:r w:rsidRPr="00594F7E">
        <w:rPr>
          <w:lang w:val="en-US"/>
        </w:rPr>
        <w:t>haematological</w:t>
      </w:r>
      <w:proofErr w:type="spellEnd"/>
      <w:r w:rsidRPr="00594F7E">
        <w:rPr>
          <w:lang w:val="en-US"/>
        </w:rPr>
        <w:t xml:space="preserve"> side effects according to the NCI CTCAE (Version 4.03).</w:t>
      </w:r>
    </w:p>
    <w:p w:rsidR="00594F7E" w:rsidRPr="00594F7E" w:rsidRDefault="00594F7E" w:rsidP="00594F7E">
      <w:pPr>
        <w:jc w:val="both"/>
        <w:rPr>
          <w:b/>
          <w:bCs/>
          <w:lang w:val="en-US"/>
        </w:rPr>
      </w:pPr>
      <w:r w:rsidRPr="00594F7E">
        <w:rPr>
          <w:b/>
          <w:bCs/>
          <w:lang w:val="en-US"/>
        </w:rPr>
        <w:t>Inclusion criteria</w:t>
      </w:r>
    </w:p>
    <w:p w:rsidR="00594F7E" w:rsidRPr="00594F7E" w:rsidRDefault="00594F7E" w:rsidP="00594F7E">
      <w:pPr>
        <w:jc w:val="both"/>
        <w:rPr>
          <w:lang w:val="en-US"/>
        </w:rPr>
      </w:pPr>
      <w:r w:rsidRPr="00594F7E">
        <w:rPr>
          <w:lang w:val="en-US"/>
        </w:rPr>
        <w:t xml:space="preserve">1. Classical Hodgkin Lymphoma according to the World Health </w:t>
      </w:r>
      <w:proofErr w:type="spellStart"/>
      <w:r w:rsidRPr="00594F7E">
        <w:rPr>
          <w:lang w:val="en-US"/>
        </w:rPr>
        <w:t>Organisation</w:t>
      </w:r>
      <w:proofErr w:type="spellEnd"/>
      <w:r w:rsidRPr="00594F7E">
        <w:rPr>
          <w:lang w:val="en-US"/>
        </w:rPr>
        <w:t xml:space="preserve"> (WHO) classification</w:t>
      </w:r>
    </w:p>
    <w:p w:rsidR="00594F7E" w:rsidRPr="00594F7E" w:rsidRDefault="00594F7E" w:rsidP="00594F7E">
      <w:pPr>
        <w:jc w:val="both"/>
        <w:rPr>
          <w:lang w:val="en-US"/>
        </w:rPr>
      </w:pPr>
      <w:r w:rsidRPr="00594F7E">
        <w:rPr>
          <w:lang w:val="en-US"/>
        </w:rPr>
        <w:t>2. Histologically confirmed CD30+ HL at diagnosis</w:t>
      </w:r>
    </w:p>
    <w:p w:rsidR="00594F7E" w:rsidRPr="00594F7E" w:rsidRDefault="00594F7E" w:rsidP="00594F7E">
      <w:pPr>
        <w:jc w:val="both"/>
        <w:rPr>
          <w:lang w:val="en-US"/>
        </w:rPr>
      </w:pPr>
      <w:r w:rsidRPr="00594F7E">
        <w:rPr>
          <w:lang w:val="en-US"/>
        </w:rPr>
        <w:lastRenderedPageBreak/>
        <w:t>3. Patients at the first line salvage therapy</w:t>
      </w:r>
    </w:p>
    <w:p w:rsidR="00594F7E" w:rsidRPr="00594F7E" w:rsidRDefault="00594F7E" w:rsidP="00594F7E">
      <w:pPr>
        <w:jc w:val="both"/>
        <w:rPr>
          <w:lang w:val="en-US"/>
        </w:rPr>
      </w:pPr>
      <w:r w:rsidRPr="00594F7E">
        <w:rPr>
          <w:lang w:val="en-US"/>
        </w:rPr>
        <w:t>4. FDG-PET positivity after two cycles of IGEV treatment</w:t>
      </w:r>
    </w:p>
    <w:p w:rsidR="00594F7E" w:rsidRPr="00594F7E" w:rsidRDefault="00594F7E" w:rsidP="00594F7E">
      <w:pPr>
        <w:jc w:val="both"/>
        <w:rPr>
          <w:lang w:val="en-US"/>
        </w:rPr>
      </w:pPr>
      <w:r w:rsidRPr="00594F7E">
        <w:rPr>
          <w:lang w:val="en-US"/>
        </w:rPr>
        <w:t>5. PBPCs should have been collected after the first or the second IGEV cycle</w:t>
      </w:r>
    </w:p>
    <w:p w:rsidR="00594F7E" w:rsidRPr="00594F7E" w:rsidRDefault="00594F7E" w:rsidP="00594F7E">
      <w:pPr>
        <w:jc w:val="both"/>
        <w:rPr>
          <w:lang w:val="en-US"/>
        </w:rPr>
      </w:pPr>
      <w:r w:rsidRPr="00594F7E">
        <w:rPr>
          <w:lang w:val="en-US"/>
        </w:rPr>
        <w:t>6. Age≥ 18 years</w:t>
      </w:r>
    </w:p>
    <w:p w:rsidR="00594F7E" w:rsidRPr="00594F7E" w:rsidRDefault="00594F7E" w:rsidP="00594F7E">
      <w:pPr>
        <w:jc w:val="both"/>
        <w:rPr>
          <w:lang w:val="en-US"/>
        </w:rPr>
      </w:pPr>
      <w:r w:rsidRPr="00594F7E">
        <w:rPr>
          <w:lang w:val="en-US"/>
        </w:rPr>
        <w:t>7. ECOG performance status of 0-2</w:t>
      </w:r>
    </w:p>
    <w:p w:rsidR="00594F7E" w:rsidRPr="00594F7E" w:rsidRDefault="00594F7E" w:rsidP="00594F7E">
      <w:pPr>
        <w:jc w:val="both"/>
        <w:rPr>
          <w:lang w:val="en-US"/>
        </w:rPr>
      </w:pPr>
      <w:r w:rsidRPr="00594F7E">
        <w:rPr>
          <w:lang w:val="en-US"/>
        </w:rPr>
        <w:t>8. Life expectancy &gt; 6 months.</w:t>
      </w:r>
    </w:p>
    <w:p w:rsidR="00594F7E" w:rsidRPr="00594F7E" w:rsidRDefault="00594F7E" w:rsidP="00594F7E">
      <w:pPr>
        <w:jc w:val="both"/>
        <w:rPr>
          <w:lang w:val="en-US"/>
        </w:rPr>
      </w:pPr>
      <w:r w:rsidRPr="00594F7E">
        <w:rPr>
          <w:lang w:val="en-US"/>
        </w:rPr>
        <w:t>9. Written informed consent was obtained from the patient prior to any study-specific screening procedures</w:t>
      </w:r>
    </w:p>
    <w:p w:rsidR="00594F7E" w:rsidRPr="00594F7E" w:rsidRDefault="00594F7E" w:rsidP="00594F7E">
      <w:pPr>
        <w:jc w:val="both"/>
        <w:rPr>
          <w:lang w:val="en-US"/>
        </w:rPr>
      </w:pPr>
      <w:r w:rsidRPr="00594F7E">
        <w:rPr>
          <w:lang w:val="en-US"/>
        </w:rPr>
        <w:t>10. Patients must be available for periodic blood sampling, study-related assessments and management of toxicity at the treating institution</w:t>
      </w:r>
    </w:p>
    <w:p w:rsidR="00594F7E" w:rsidRPr="00594F7E" w:rsidRDefault="00594F7E" w:rsidP="00594F7E">
      <w:pPr>
        <w:jc w:val="both"/>
        <w:rPr>
          <w:lang w:val="en-US"/>
        </w:rPr>
      </w:pPr>
      <w:r w:rsidRPr="00594F7E">
        <w:rPr>
          <w:lang w:val="en-US"/>
        </w:rPr>
        <w:t xml:space="preserve">11. Females of childbearing potential must have a negative β-HCG pregnancy test result (pregnancy test should be performed at screening and on day 1 of cycle 1 prior to brentuximab </w:t>
      </w:r>
      <w:proofErr w:type="spellStart"/>
      <w:r w:rsidRPr="00594F7E">
        <w:rPr>
          <w:lang w:val="en-US"/>
        </w:rPr>
        <w:t>vedotin</w:t>
      </w:r>
      <w:proofErr w:type="spellEnd"/>
      <w:r w:rsidRPr="00594F7E">
        <w:rPr>
          <w:lang w:val="en-US"/>
        </w:rPr>
        <w:t xml:space="preserve"> treatment).</w:t>
      </w:r>
    </w:p>
    <w:p w:rsidR="00594F7E" w:rsidRPr="00594F7E" w:rsidRDefault="00594F7E" w:rsidP="00594F7E">
      <w:pPr>
        <w:jc w:val="both"/>
        <w:rPr>
          <w:lang w:val="en-US"/>
        </w:rPr>
      </w:pPr>
      <w:r w:rsidRPr="00594F7E">
        <w:rPr>
          <w:lang w:val="en-US"/>
        </w:rPr>
        <w:t>12. Female patient is either post-menopausal for at least 1 year before the screening visit or surgically sterile or if of childbearing potential, agree to practice 2 effective methods of contraception, at the same time, from the time of signing the informed consent through 6 months after the last dose of study drug, or agrees to completely abstain from heterosexual intercourse.</w:t>
      </w:r>
    </w:p>
    <w:p w:rsidR="00594F7E" w:rsidRPr="00594F7E" w:rsidRDefault="00594F7E" w:rsidP="00594F7E">
      <w:pPr>
        <w:jc w:val="both"/>
        <w:rPr>
          <w:lang w:val="en-US"/>
        </w:rPr>
      </w:pPr>
      <w:r w:rsidRPr="00594F7E">
        <w:rPr>
          <w:lang w:val="en-US"/>
        </w:rPr>
        <w:t xml:space="preserve">13. Male patients, even if surgically sterilized, (i.e., status post vasectomy) agree to practice effective barrier contraception during the entire study period and through 6 months after the last dose of study </w:t>
      </w:r>
      <w:proofErr w:type="gramStart"/>
      <w:r w:rsidRPr="00594F7E">
        <w:rPr>
          <w:lang w:val="en-US"/>
        </w:rPr>
        <w:t>drug, or</w:t>
      </w:r>
      <w:proofErr w:type="gramEnd"/>
      <w:r w:rsidRPr="00594F7E">
        <w:rPr>
          <w:lang w:val="en-US"/>
        </w:rPr>
        <w:t xml:space="preserve"> agrees to completely abstain from heterosexual intercourse.</w:t>
      </w:r>
    </w:p>
    <w:p w:rsidR="00594F7E" w:rsidRPr="00594F7E" w:rsidRDefault="00594F7E" w:rsidP="00594F7E">
      <w:pPr>
        <w:jc w:val="both"/>
        <w:rPr>
          <w:lang w:val="en-US"/>
        </w:rPr>
      </w:pPr>
      <w:r w:rsidRPr="00594F7E">
        <w:rPr>
          <w:lang w:val="en-US"/>
        </w:rPr>
        <w:t>14. Required baseline laboratory data:</w:t>
      </w:r>
    </w:p>
    <w:p w:rsidR="00594F7E" w:rsidRPr="00594F7E" w:rsidRDefault="00594F7E" w:rsidP="00594F7E">
      <w:pPr>
        <w:jc w:val="both"/>
        <w:rPr>
          <w:lang w:val="en-US"/>
        </w:rPr>
      </w:pPr>
      <w:r w:rsidRPr="00594F7E">
        <w:rPr>
          <w:lang w:val="en-US"/>
        </w:rPr>
        <w:t>▪ Absolute neutrophil count ≥ 1500/</w:t>
      </w:r>
      <w:proofErr w:type="spellStart"/>
      <w:r w:rsidRPr="00594F7E">
        <w:rPr>
          <w:lang w:val="en-US"/>
        </w:rPr>
        <w:t>μl</w:t>
      </w:r>
      <w:proofErr w:type="spellEnd"/>
    </w:p>
    <w:p w:rsidR="00594F7E" w:rsidRPr="00594F7E" w:rsidRDefault="00594F7E" w:rsidP="00594F7E">
      <w:pPr>
        <w:jc w:val="both"/>
        <w:rPr>
          <w:lang w:val="en-US"/>
        </w:rPr>
      </w:pPr>
      <w:r w:rsidRPr="00594F7E">
        <w:rPr>
          <w:lang w:val="en-US"/>
        </w:rPr>
        <w:t xml:space="preserve">▪ Platelet count ≥ 75.000/ </w:t>
      </w:r>
      <w:proofErr w:type="spellStart"/>
      <w:r w:rsidRPr="00594F7E">
        <w:rPr>
          <w:lang w:val="en-US"/>
        </w:rPr>
        <w:t>μl</w:t>
      </w:r>
      <w:proofErr w:type="spellEnd"/>
    </w:p>
    <w:p w:rsidR="00594F7E" w:rsidRPr="00594F7E" w:rsidRDefault="00594F7E" w:rsidP="00594F7E">
      <w:pPr>
        <w:jc w:val="both"/>
        <w:rPr>
          <w:lang w:val="en-US"/>
        </w:rPr>
      </w:pPr>
      <w:r w:rsidRPr="00594F7E">
        <w:rPr>
          <w:lang w:val="en-US"/>
        </w:rPr>
        <w:t xml:space="preserve">▪ </w:t>
      </w:r>
      <w:proofErr w:type="spellStart"/>
      <w:r w:rsidRPr="00594F7E">
        <w:rPr>
          <w:lang w:val="en-US"/>
        </w:rPr>
        <w:t>Haemoglobin</w:t>
      </w:r>
      <w:proofErr w:type="spellEnd"/>
      <w:r w:rsidRPr="00594F7E">
        <w:rPr>
          <w:lang w:val="en-US"/>
        </w:rPr>
        <w:t xml:space="preserve"> must be ≥ 8 g/dL</w:t>
      </w:r>
    </w:p>
    <w:p w:rsidR="00594F7E" w:rsidRPr="00594F7E" w:rsidRDefault="00594F7E" w:rsidP="00594F7E">
      <w:pPr>
        <w:jc w:val="both"/>
        <w:rPr>
          <w:lang w:val="en-US"/>
        </w:rPr>
      </w:pPr>
      <w:r w:rsidRPr="00594F7E">
        <w:rPr>
          <w:lang w:val="en-US"/>
        </w:rPr>
        <w:t>▪ Serum bilirubin ≤ 1.5 times ULN</w:t>
      </w:r>
    </w:p>
    <w:p w:rsidR="00594F7E" w:rsidRPr="00594F7E" w:rsidRDefault="00594F7E" w:rsidP="00594F7E">
      <w:pPr>
        <w:jc w:val="both"/>
        <w:rPr>
          <w:lang w:val="en-US"/>
        </w:rPr>
      </w:pPr>
      <w:r w:rsidRPr="00594F7E">
        <w:rPr>
          <w:lang w:val="en-US"/>
        </w:rPr>
        <w:t>▪ Serum creatinine &lt; 2.0 mg/dL and/or creatinine clearance or calculated creatinine clearance &gt; 40 mL/minute.</w:t>
      </w:r>
    </w:p>
    <w:p w:rsidR="00594F7E" w:rsidRPr="00594F7E" w:rsidRDefault="00594F7E" w:rsidP="00594F7E">
      <w:pPr>
        <w:jc w:val="both"/>
        <w:rPr>
          <w:lang w:val="en-US"/>
        </w:rPr>
      </w:pPr>
      <w:r w:rsidRPr="00594F7E">
        <w:rPr>
          <w:lang w:val="en-US"/>
        </w:rPr>
        <w:t>▪ Alanine aminotransferase (ALT) and aspartate aminotransferase (AST) ≤ 2.5 times ULN</w:t>
      </w:r>
    </w:p>
    <w:p w:rsidR="00594F7E" w:rsidRPr="00594F7E" w:rsidRDefault="00594F7E" w:rsidP="00594F7E">
      <w:pPr>
        <w:jc w:val="both"/>
        <w:rPr>
          <w:b/>
          <w:bCs/>
          <w:lang w:val="en-US"/>
        </w:rPr>
      </w:pPr>
      <w:r w:rsidRPr="00594F7E">
        <w:rPr>
          <w:b/>
          <w:bCs/>
          <w:lang w:val="en-US"/>
        </w:rPr>
        <w:t>Exclusion criteria</w:t>
      </w:r>
    </w:p>
    <w:p w:rsidR="00594F7E" w:rsidRPr="00594F7E" w:rsidRDefault="00594F7E" w:rsidP="00594F7E">
      <w:pPr>
        <w:jc w:val="both"/>
        <w:rPr>
          <w:lang w:val="en-US"/>
        </w:rPr>
      </w:pPr>
      <w:r w:rsidRPr="00594F7E">
        <w:rPr>
          <w:lang w:val="en-US"/>
        </w:rPr>
        <w:t>The presence of any of the following will exclude a patient from participating in the study:</w:t>
      </w:r>
    </w:p>
    <w:p w:rsidR="00594F7E" w:rsidRPr="00594F7E" w:rsidRDefault="00594F7E" w:rsidP="00594F7E">
      <w:pPr>
        <w:jc w:val="both"/>
        <w:rPr>
          <w:lang w:val="en-US"/>
        </w:rPr>
      </w:pPr>
      <w:r w:rsidRPr="00594F7E">
        <w:rPr>
          <w:lang w:val="en-US"/>
        </w:rPr>
        <w:t>1. Peripheral neuropathy &gt; Grade 1</w:t>
      </w:r>
    </w:p>
    <w:p w:rsidR="00594F7E" w:rsidRPr="00594F7E" w:rsidRDefault="00594F7E" w:rsidP="00594F7E">
      <w:pPr>
        <w:jc w:val="both"/>
        <w:rPr>
          <w:lang w:val="en-US"/>
        </w:rPr>
      </w:pPr>
      <w:r w:rsidRPr="00594F7E">
        <w:rPr>
          <w:lang w:val="en-US"/>
        </w:rPr>
        <w:t>2. Histologic diagnosis different from Hodgkin Lymphoma</w:t>
      </w:r>
    </w:p>
    <w:p w:rsidR="00594F7E" w:rsidRPr="00594F7E" w:rsidRDefault="00594F7E" w:rsidP="00594F7E">
      <w:pPr>
        <w:jc w:val="both"/>
        <w:rPr>
          <w:lang w:val="en-US"/>
        </w:rPr>
      </w:pPr>
      <w:r w:rsidRPr="00594F7E">
        <w:rPr>
          <w:lang w:val="en-US"/>
        </w:rPr>
        <w:t>3. First line treatment with BEACOPP</w:t>
      </w:r>
    </w:p>
    <w:p w:rsidR="00594F7E" w:rsidRPr="00594F7E" w:rsidRDefault="00594F7E" w:rsidP="00594F7E">
      <w:pPr>
        <w:jc w:val="both"/>
        <w:rPr>
          <w:lang w:val="en-US"/>
        </w:rPr>
      </w:pPr>
      <w:r w:rsidRPr="00594F7E">
        <w:rPr>
          <w:lang w:val="en-US"/>
        </w:rPr>
        <w:t>4. Compressive symptoms caused by the presence of Lymphoma</w:t>
      </w:r>
    </w:p>
    <w:p w:rsidR="00594F7E" w:rsidRPr="00594F7E" w:rsidRDefault="00594F7E" w:rsidP="00594F7E">
      <w:pPr>
        <w:jc w:val="both"/>
        <w:rPr>
          <w:lang w:val="en-US"/>
        </w:rPr>
      </w:pPr>
      <w:r w:rsidRPr="00594F7E">
        <w:rPr>
          <w:lang w:val="en-US"/>
        </w:rPr>
        <w:t>5. Patients who have been treated previously with any anti-CD30 antibody.</w:t>
      </w:r>
    </w:p>
    <w:p w:rsidR="00594F7E" w:rsidRPr="00594F7E" w:rsidRDefault="00594F7E" w:rsidP="00594F7E">
      <w:pPr>
        <w:jc w:val="both"/>
        <w:rPr>
          <w:lang w:val="en-US"/>
        </w:rPr>
      </w:pPr>
      <w:r w:rsidRPr="00594F7E">
        <w:rPr>
          <w:lang w:val="en-US"/>
        </w:rPr>
        <w:t xml:space="preserve">6. Known hypersensitivity to any recombinant proteins, murine proteins, or excipients contained in the brentuximab </w:t>
      </w:r>
      <w:proofErr w:type="spellStart"/>
      <w:r w:rsidRPr="00594F7E">
        <w:rPr>
          <w:lang w:val="en-US"/>
        </w:rPr>
        <w:t>vedotin</w:t>
      </w:r>
      <w:proofErr w:type="spellEnd"/>
      <w:r w:rsidRPr="00594F7E">
        <w:rPr>
          <w:lang w:val="en-US"/>
        </w:rPr>
        <w:t xml:space="preserve"> formulation.</w:t>
      </w:r>
    </w:p>
    <w:p w:rsidR="00594F7E" w:rsidRPr="00594F7E" w:rsidRDefault="00594F7E" w:rsidP="00594F7E">
      <w:pPr>
        <w:jc w:val="both"/>
        <w:rPr>
          <w:lang w:val="en-US"/>
        </w:rPr>
      </w:pPr>
      <w:r w:rsidRPr="00594F7E">
        <w:rPr>
          <w:lang w:val="en-US"/>
        </w:rPr>
        <w:t>7. Known human immunodeficiency virus (HIV) positive</w:t>
      </w:r>
    </w:p>
    <w:p w:rsidR="00594F7E" w:rsidRPr="00594F7E" w:rsidRDefault="00594F7E" w:rsidP="00594F7E">
      <w:pPr>
        <w:jc w:val="both"/>
        <w:rPr>
          <w:lang w:val="en-US"/>
        </w:rPr>
      </w:pPr>
      <w:r w:rsidRPr="00594F7E">
        <w:rPr>
          <w:lang w:val="en-US"/>
        </w:rPr>
        <w:t>8. Known hepatitis B surface antigen-positive, or known or suspected active hepatitis C infection</w:t>
      </w:r>
    </w:p>
    <w:p w:rsidR="00594F7E" w:rsidRPr="00594F7E" w:rsidRDefault="00594F7E" w:rsidP="00594F7E">
      <w:pPr>
        <w:jc w:val="both"/>
        <w:rPr>
          <w:lang w:val="en-US"/>
        </w:rPr>
      </w:pPr>
      <w:r w:rsidRPr="00594F7E">
        <w:rPr>
          <w:lang w:val="en-US"/>
        </w:rPr>
        <w:t>9. Diagnosed or treated for another malignancy within 3 years before the first dose or previously diagnosed with another malignancy and have evidence of residual disease. Patients with nonmelanoma skin cancer or carcinoma in situ of any type are not excluded if they have undergone complete resection.</w:t>
      </w:r>
    </w:p>
    <w:p w:rsidR="00594F7E" w:rsidRPr="00594F7E" w:rsidRDefault="00594F7E" w:rsidP="00594F7E">
      <w:pPr>
        <w:jc w:val="both"/>
        <w:rPr>
          <w:lang w:val="en-US"/>
        </w:rPr>
      </w:pPr>
      <w:r w:rsidRPr="00594F7E">
        <w:rPr>
          <w:lang w:val="en-US"/>
        </w:rPr>
        <w:t>10. Patients with known history of any of the following cardiovascular conditions</w:t>
      </w:r>
    </w:p>
    <w:p w:rsidR="00594F7E" w:rsidRPr="00594F7E" w:rsidRDefault="00594F7E" w:rsidP="00594F7E">
      <w:pPr>
        <w:jc w:val="both"/>
        <w:rPr>
          <w:lang w:val="en-US"/>
        </w:rPr>
      </w:pPr>
      <w:r w:rsidRPr="00594F7E">
        <w:rPr>
          <w:lang w:val="en-US"/>
        </w:rPr>
        <w:t>• Myocardial infarction within 2 years of randomization</w:t>
      </w:r>
    </w:p>
    <w:p w:rsidR="00594F7E" w:rsidRPr="00594F7E" w:rsidRDefault="00594F7E" w:rsidP="00594F7E">
      <w:pPr>
        <w:jc w:val="both"/>
        <w:rPr>
          <w:lang w:val="en-US"/>
        </w:rPr>
      </w:pPr>
      <w:r w:rsidRPr="00594F7E">
        <w:rPr>
          <w:lang w:val="en-US"/>
        </w:rPr>
        <w:t>• New York Heart Association (NYHA) Class III or IV heart failure (see Appendix E)</w:t>
      </w:r>
    </w:p>
    <w:p w:rsidR="00594F7E" w:rsidRPr="00594F7E" w:rsidRDefault="00594F7E" w:rsidP="00594F7E">
      <w:pPr>
        <w:jc w:val="both"/>
        <w:rPr>
          <w:lang w:val="en-US"/>
        </w:rPr>
      </w:pPr>
      <w:r w:rsidRPr="00594F7E">
        <w:rPr>
          <w:lang w:val="en-US"/>
        </w:rPr>
        <w:t>• Evidence of current uncontrolled cardiovascular conditions, including cardiac arrhythmias, congestive heart failure (CHF), angina, or electrocardiographic evidence of acute ischemia or active conduction system abnormalities</w:t>
      </w:r>
    </w:p>
    <w:p w:rsidR="00594F7E" w:rsidRPr="00594F7E" w:rsidRDefault="00594F7E" w:rsidP="00594F7E">
      <w:pPr>
        <w:jc w:val="both"/>
        <w:rPr>
          <w:lang w:val="en-US"/>
        </w:rPr>
      </w:pPr>
      <w:r w:rsidRPr="00594F7E">
        <w:rPr>
          <w:lang w:val="en-US"/>
        </w:rPr>
        <w:t>• Recent evidence (within 6 months before first dose of study drug) of a left-ventricular ejection fraction &lt;50%</w:t>
      </w:r>
    </w:p>
    <w:p w:rsidR="00594F7E" w:rsidRPr="00594F7E" w:rsidRDefault="00594F7E" w:rsidP="00594F7E">
      <w:pPr>
        <w:jc w:val="both"/>
        <w:rPr>
          <w:lang w:val="en-US"/>
        </w:rPr>
      </w:pPr>
      <w:r w:rsidRPr="00594F7E">
        <w:rPr>
          <w:lang w:val="en-US"/>
        </w:rPr>
        <w:t xml:space="preserve">11. Patients with known active viral, bacterial, or fungal infection requiring treatment with antimicrobial therapy within 2 weeks prior to the first dose of brentuximab </w:t>
      </w:r>
      <w:proofErr w:type="spellStart"/>
      <w:r w:rsidRPr="00594F7E">
        <w:rPr>
          <w:lang w:val="en-US"/>
        </w:rPr>
        <w:t>vedotin</w:t>
      </w:r>
      <w:proofErr w:type="spellEnd"/>
      <w:r w:rsidRPr="00594F7E">
        <w:rPr>
          <w:lang w:val="en-US"/>
        </w:rPr>
        <w:t>.</w:t>
      </w:r>
    </w:p>
    <w:p w:rsidR="00594F7E" w:rsidRPr="00594F7E" w:rsidRDefault="00594F7E" w:rsidP="00594F7E">
      <w:pPr>
        <w:jc w:val="both"/>
        <w:rPr>
          <w:lang w:val="en-US"/>
        </w:rPr>
      </w:pPr>
      <w:r w:rsidRPr="00594F7E">
        <w:rPr>
          <w:lang w:val="en-US"/>
        </w:rPr>
        <w:t xml:space="preserve">12. Patients with known active Grade 3 or higher viral, bacterial, or fungal infection within 2 weeks prior to the first dose of brentuximab </w:t>
      </w:r>
      <w:proofErr w:type="spellStart"/>
      <w:r w:rsidRPr="00594F7E">
        <w:rPr>
          <w:lang w:val="en-US"/>
        </w:rPr>
        <w:t>vedotin</w:t>
      </w:r>
      <w:proofErr w:type="spellEnd"/>
      <w:r w:rsidRPr="00594F7E">
        <w:rPr>
          <w:lang w:val="en-US"/>
        </w:rPr>
        <w:t>.</w:t>
      </w:r>
    </w:p>
    <w:p w:rsidR="00594F7E" w:rsidRPr="00594F7E" w:rsidRDefault="00594F7E" w:rsidP="00594F7E">
      <w:pPr>
        <w:jc w:val="both"/>
        <w:rPr>
          <w:lang w:val="en-US"/>
        </w:rPr>
      </w:pPr>
      <w:r w:rsidRPr="00594F7E">
        <w:rPr>
          <w:lang w:val="en-US"/>
        </w:rPr>
        <w:t>13. Patients with known cerebral/meningeal disease (HL or any other etiology), including signs or symptoms of Progressive Multifocal Leukoencephalopathy (PML).</w:t>
      </w:r>
    </w:p>
    <w:p w:rsidR="00594F7E" w:rsidRPr="00594F7E" w:rsidRDefault="00594F7E" w:rsidP="00594F7E">
      <w:pPr>
        <w:jc w:val="both"/>
        <w:rPr>
          <w:lang w:val="en-US"/>
        </w:rPr>
      </w:pPr>
      <w:r w:rsidRPr="00594F7E">
        <w:rPr>
          <w:lang w:val="en-US"/>
        </w:rPr>
        <w:t>14. Any serious medical or psychiatric illness that could, in the investigator's opinion, potentially interfere with the completion of treatment according to protocol.</w:t>
      </w:r>
    </w:p>
    <w:p w:rsidR="00594F7E" w:rsidRPr="00594F7E" w:rsidRDefault="00594F7E" w:rsidP="00594F7E">
      <w:pPr>
        <w:jc w:val="both"/>
        <w:rPr>
          <w:lang w:val="en-US"/>
        </w:rPr>
      </w:pPr>
      <w:r w:rsidRPr="00594F7E">
        <w:rPr>
          <w:lang w:val="en-US"/>
        </w:rPr>
        <w:t>15. Symptomatic neurologic disease compromising normal activities of daily living or requiring medications.</w:t>
      </w:r>
    </w:p>
    <w:p w:rsidR="00594F7E" w:rsidRPr="00594F7E" w:rsidRDefault="00594F7E" w:rsidP="00594F7E">
      <w:pPr>
        <w:jc w:val="both"/>
        <w:rPr>
          <w:lang w:val="en-US"/>
        </w:rPr>
      </w:pPr>
      <w:r w:rsidRPr="00594F7E">
        <w:rPr>
          <w:lang w:val="en-US"/>
        </w:rPr>
        <w:t xml:space="preserve">16. Patients who are </w:t>
      </w:r>
      <w:proofErr w:type="gramStart"/>
      <w:r w:rsidRPr="00594F7E">
        <w:rPr>
          <w:lang w:val="en-US"/>
        </w:rPr>
        <w:t>pregnant, or</w:t>
      </w:r>
      <w:proofErr w:type="gramEnd"/>
      <w:r w:rsidRPr="00594F7E">
        <w:rPr>
          <w:lang w:val="en-US"/>
        </w:rPr>
        <w:t xml:space="preserve"> lactating and breastfeeding.</w:t>
      </w:r>
    </w:p>
    <w:p w:rsidR="00594F7E" w:rsidRPr="00594F7E" w:rsidRDefault="00594F7E" w:rsidP="00594F7E">
      <w:pPr>
        <w:jc w:val="both"/>
        <w:rPr>
          <w:lang w:val="en-US"/>
        </w:rPr>
      </w:pPr>
      <w:r w:rsidRPr="00594F7E">
        <w:rPr>
          <w:lang w:val="en-US"/>
        </w:rPr>
        <w:t>17. Patients that have not completed any prior treatment chemotherapy and/or other investigational agents within at least 5 half-lives of last dose of that prior treatment.</w:t>
      </w:r>
    </w:p>
    <w:p w:rsidR="00594F7E" w:rsidRPr="00594F7E" w:rsidRDefault="00594F7E" w:rsidP="00594F7E">
      <w:pPr>
        <w:jc w:val="both"/>
        <w:rPr>
          <w:b/>
          <w:bCs/>
          <w:lang w:val="en-US"/>
        </w:rPr>
      </w:pPr>
      <w:r w:rsidRPr="00594F7E">
        <w:rPr>
          <w:b/>
          <w:bCs/>
          <w:lang w:val="en-US"/>
        </w:rPr>
        <w:t>Treatment</w:t>
      </w:r>
    </w:p>
    <w:p w:rsidR="00594F7E" w:rsidRPr="00594F7E" w:rsidRDefault="00594F7E" w:rsidP="00594F7E">
      <w:pPr>
        <w:jc w:val="both"/>
        <w:rPr>
          <w:lang w:val="en-US"/>
        </w:rPr>
      </w:pPr>
      <w:r w:rsidRPr="00594F7E">
        <w:rPr>
          <w:lang w:val="en-US"/>
        </w:rPr>
        <w:t xml:space="preserve">Patients with FDG-PET positive after IGEV will be treated with brentuximab </w:t>
      </w:r>
      <w:proofErr w:type="spellStart"/>
      <w:r w:rsidRPr="00594F7E">
        <w:rPr>
          <w:lang w:val="en-US"/>
        </w:rPr>
        <w:t>vedotin</w:t>
      </w:r>
      <w:proofErr w:type="spellEnd"/>
      <w:r w:rsidRPr="00594F7E">
        <w:rPr>
          <w:lang w:val="en-US"/>
        </w:rPr>
        <w:t xml:space="preserve"> as followed:</w:t>
      </w:r>
    </w:p>
    <w:p w:rsidR="00594F7E" w:rsidRPr="00594F7E" w:rsidRDefault="00594F7E" w:rsidP="00594F7E">
      <w:pPr>
        <w:jc w:val="both"/>
        <w:rPr>
          <w:lang w:val="en-US"/>
        </w:rPr>
      </w:pPr>
      <w:r w:rsidRPr="00594F7E">
        <w:rPr>
          <w:lang w:val="en-US"/>
        </w:rPr>
        <w:t>1.8 mg/kg every 3 weeks as a 30-minute outpatient IV infusion for a total of 4 cycles of treatment</w:t>
      </w:r>
    </w:p>
    <w:p w:rsidR="00594F7E" w:rsidRPr="00594F7E" w:rsidRDefault="00594F7E" w:rsidP="00594F7E">
      <w:pPr>
        <w:jc w:val="both"/>
        <w:rPr>
          <w:lang w:val="en-US"/>
        </w:rPr>
      </w:pPr>
      <w:r w:rsidRPr="00594F7E">
        <w:rPr>
          <w:lang w:val="en-US"/>
        </w:rPr>
        <w:t>Growth factors may be used at the discretion of investigators but are not routinely advised.</w:t>
      </w:r>
    </w:p>
    <w:p w:rsidR="00594F7E" w:rsidRPr="00594F7E" w:rsidRDefault="00594F7E" w:rsidP="00594F7E">
      <w:pPr>
        <w:jc w:val="both"/>
        <w:rPr>
          <w:lang w:val="en-US"/>
        </w:rPr>
      </w:pPr>
      <w:r w:rsidRPr="00594F7E">
        <w:rPr>
          <w:lang w:val="en-US"/>
        </w:rPr>
        <w:t xml:space="preserve">Patients with FDG-PET negative after brentuximab </w:t>
      </w:r>
      <w:proofErr w:type="spellStart"/>
      <w:r w:rsidRPr="00594F7E">
        <w:rPr>
          <w:lang w:val="en-US"/>
        </w:rPr>
        <w:t>vedotin</w:t>
      </w:r>
      <w:proofErr w:type="spellEnd"/>
      <w:r w:rsidRPr="00594F7E">
        <w:rPr>
          <w:lang w:val="en-US"/>
        </w:rPr>
        <w:t xml:space="preserve"> treatment will be addressed to high dose chemotherapy followed by ASCT.</w:t>
      </w:r>
    </w:p>
    <w:p w:rsidR="00594F7E" w:rsidRPr="00594F7E" w:rsidRDefault="00594F7E" w:rsidP="00594F7E">
      <w:pPr>
        <w:jc w:val="both"/>
        <w:rPr>
          <w:lang w:val="en-US"/>
        </w:rPr>
      </w:pPr>
      <w:r w:rsidRPr="00594F7E">
        <w:rPr>
          <w:lang w:val="en-US"/>
        </w:rPr>
        <w:t xml:space="preserve">A centralized PET review will be performed. All patients should have a pre-treatment FDG-PET/CT scan as at baseline to be compared with subsequent scans to assess response: restaging after 2 and 4 cycles of Brentuximab </w:t>
      </w:r>
      <w:proofErr w:type="spellStart"/>
      <w:r w:rsidRPr="00594F7E">
        <w:rPr>
          <w:lang w:val="en-US"/>
        </w:rPr>
        <w:t>vedotin</w:t>
      </w:r>
      <w:proofErr w:type="spellEnd"/>
      <w:r w:rsidRPr="00594F7E">
        <w:rPr>
          <w:lang w:val="en-US"/>
        </w:rPr>
        <w:t>, restaging after ASCT.</w:t>
      </w:r>
    </w:p>
    <w:p w:rsidR="00594F7E" w:rsidRPr="00594F7E" w:rsidRDefault="00594F7E" w:rsidP="00594F7E">
      <w:pPr>
        <w:jc w:val="both"/>
        <w:rPr>
          <w:lang w:val="en-US"/>
        </w:rPr>
      </w:pPr>
      <w:r w:rsidRPr="00594F7E">
        <w:rPr>
          <w:lang w:val="en-US"/>
        </w:rPr>
        <w:t>PET scan images will be uploaded to a dedicated website (https://trials.widen.it/bridge). Reviewers and users will be provided with a user ID and password to enter access in.</w:t>
      </w:r>
    </w:p>
    <w:p w:rsidR="00594F7E" w:rsidRPr="00594F7E" w:rsidRDefault="00594F7E" w:rsidP="00594F7E">
      <w:pPr>
        <w:jc w:val="both"/>
        <w:rPr>
          <w:b/>
          <w:bCs/>
          <w:lang w:val="en-US"/>
        </w:rPr>
      </w:pPr>
      <w:r w:rsidRPr="00594F7E">
        <w:rPr>
          <w:b/>
          <w:bCs/>
          <w:lang w:val="en-US"/>
        </w:rPr>
        <w:t>Sample size</w:t>
      </w:r>
    </w:p>
    <w:p w:rsidR="00594F7E" w:rsidRPr="00594F7E" w:rsidRDefault="00594F7E" w:rsidP="00594F7E">
      <w:pPr>
        <w:jc w:val="both"/>
        <w:rPr>
          <w:lang w:val="en-US"/>
        </w:rPr>
      </w:pPr>
      <w:r w:rsidRPr="00594F7E">
        <w:rPr>
          <w:lang w:val="en-US"/>
        </w:rPr>
        <w:t xml:space="preserve">This is a Phase II trial to evaluate the activity of brentuximab </w:t>
      </w:r>
      <w:proofErr w:type="spellStart"/>
      <w:r w:rsidRPr="00594F7E">
        <w:rPr>
          <w:lang w:val="en-US"/>
        </w:rPr>
        <w:t>vedotin</w:t>
      </w:r>
      <w:proofErr w:type="spellEnd"/>
      <w:r w:rsidRPr="00594F7E">
        <w:rPr>
          <w:lang w:val="en-US"/>
        </w:rPr>
        <w:t xml:space="preserve"> in relapsed/refractory HL patients with PET positive after IGEV received as induction therapy before HDCT.</w:t>
      </w:r>
    </w:p>
    <w:p w:rsidR="00594F7E" w:rsidRPr="00594F7E" w:rsidRDefault="00594F7E" w:rsidP="00594F7E">
      <w:pPr>
        <w:jc w:val="both"/>
        <w:rPr>
          <w:lang w:val="en-US"/>
        </w:rPr>
      </w:pPr>
      <w:r w:rsidRPr="00594F7E">
        <w:rPr>
          <w:lang w:val="en-US"/>
        </w:rPr>
        <w:t xml:space="preserve">A complete response rate of 30% or lower will </w:t>
      </w:r>
      <w:proofErr w:type="gramStart"/>
      <w:r w:rsidRPr="00594F7E">
        <w:rPr>
          <w:lang w:val="en-US"/>
        </w:rPr>
        <w:t>be considered to be</w:t>
      </w:r>
      <w:proofErr w:type="gramEnd"/>
      <w:r w:rsidRPr="00594F7E">
        <w:rPr>
          <w:lang w:val="en-US"/>
        </w:rPr>
        <w:t xml:space="preserve"> clinically unworthy.</w:t>
      </w:r>
    </w:p>
    <w:p w:rsidR="00594F7E" w:rsidRPr="00594F7E" w:rsidRDefault="00594F7E" w:rsidP="00594F7E">
      <w:pPr>
        <w:jc w:val="both"/>
        <w:rPr>
          <w:lang w:val="en-US"/>
        </w:rPr>
      </w:pPr>
      <w:r w:rsidRPr="00594F7E">
        <w:rPr>
          <w:lang w:val="en-US"/>
        </w:rPr>
        <w:t>Total accrual: 13 patients</w:t>
      </w:r>
    </w:p>
    <w:p w:rsidR="00594F7E" w:rsidRPr="00594F7E" w:rsidRDefault="00594F7E" w:rsidP="00594F7E">
      <w:pPr>
        <w:jc w:val="both"/>
        <w:rPr>
          <w:b/>
          <w:bCs/>
          <w:lang w:val="en-US"/>
        </w:rPr>
      </w:pPr>
      <w:r w:rsidRPr="00594F7E">
        <w:rPr>
          <w:b/>
          <w:bCs/>
          <w:lang w:val="en-US"/>
        </w:rPr>
        <w:t>Study duration</w:t>
      </w:r>
      <w:bookmarkStart w:id="0" w:name="_GoBack"/>
      <w:bookmarkEnd w:id="0"/>
    </w:p>
    <w:p w:rsidR="00594F7E" w:rsidRPr="00594F7E" w:rsidRDefault="00594F7E" w:rsidP="00594F7E">
      <w:pPr>
        <w:jc w:val="both"/>
        <w:rPr>
          <w:lang w:val="en-US"/>
        </w:rPr>
      </w:pPr>
      <w:r w:rsidRPr="00594F7E">
        <w:rPr>
          <w:lang w:val="en-US"/>
        </w:rPr>
        <w:t>Approximately 2 years and half.</w:t>
      </w:r>
    </w:p>
    <w:p w:rsidR="00594F7E" w:rsidRPr="00594F7E" w:rsidRDefault="00594F7E" w:rsidP="00594F7E">
      <w:pPr>
        <w:jc w:val="both"/>
        <w:rPr>
          <w:lang w:val="en-US"/>
        </w:rPr>
      </w:pPr>
      <w:r w:rsidRPr="00594F7E">
        <w:rPr>
          <w:lang w:val="en-US"/>
        </w:rPr>
        <w:t>Enrollment: 1 year</w:t>
      </w:r>
    </w:p>
    <w:p w:rsidR="00594F7E" w:rsidRPr="00594F7E" w:rsidRDefault="00594F7E" w:rsidP="00594F7E">
      <w:pPr>
        <w:jc w:val="both"/>
        <w:rPr>
          <w:lang w:val="en-US"/>
        </w:rPr>
      </w:pPr>
      <w:r w:rsidRPr="00594F7E">
        <w:rPr>
          <w:lang w:val="en-US"/>
        </w:rPr>
        <w:t>Follow up: 1 year</w:t>
      </w:r>
    </w:p>
    <w:sectPr w:rsidR="00594F7E" w:rsidRPr="00594F7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altName w:val="Times New Roman PSMT"/>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4"/>
  <w:proofState w:spelling="clean" w:grammar="clean"/>
  <w:defaultTabStop w:val="708"/>
  <w:hyphenationZone w:val="283"/>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94F7E"/>
    <w:rsid w:val="00594F7E"/>
    <w:rsid w:val="00830D9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9FB44"/>
  <w15:chartTrackingRefBased/>
  <w15:docId w15:val="{A048FD3C-5B6E-4BE8-B374-989D237CC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94F7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1164</Words>
  <Characters>6639</Characters>
  <Application>Microsoft Office Word</Application>
  <DocSecurity>0</DocSecurity>
  <Lines>55</Lines>
  <Paragraphs>15</Paragraphs>
  <ScaleCrop>false</ScaleCrop>
  <Company/>
  <LinksUpToDate>false</LinksUpToDate>
  <CharactersWithSpaces>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Luigi Marcheselli</dc:creator>
  <cp:keywords/>
  <dc:description/>
  <cp:lastModifiedBy>Luigi Marcheselli</cp:lastModifiedBy>
  <cp:revision>1</cp:revision>
  <dcterms:created xsi:type="dcterms:W3CDTF">2019-12-20T07:16:00Z</dcterms:created>
  <dcterms:modified xsi:type="dcterms:W3CDTF">2019-12-20T07:23:00Z</dcterms:modified>
</cp:coreProperties>
</file>