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57F8" w14:textId="77777777" w:rsidR="008C5463" w:rsidRPr="003A137E" w:rsidRDefault="008C5463" w:rsidP="008C5463">
      <w:pPr>
        <w:spacing w:line="240" w:lineRule="auto"/>
        <w:rPr>
          <w:rFonts w:ascii="Arial" w:hAnsi="Arial" w:cs="Arial"/>
          <w:sz w:val="28"/>
          <w:szCs w:val="28"/>
          <w:lang w:val="en-GB"/>
        </w:rPr>
      </w:pPr>
      <w:r w:rsidRPr="003A137E">
        <w:rPr>
          <w:rFonts w:ascii="Arial" w:hAnsi="Arial" w:cs="Arial"/>
          <w:sz w:val="28"/>
          <w:szCs w:val="28"/>
          <w:lang w:val="en-GB"/>
        </w:rPr>
        <w:t>Efficacy results</w:t>
      </w:r>
    </w:p>
    <w:p w14:paraId="049F6266" w14:textId="5471C4C5" w:rsidR="00C707F7" w:rsidRDefault="00C707F7" w:rsidP="00CD2773">
      <w:pPr>
        <w:spacing w:line="240" w:lineRule="auto"/>
        <w:rPr>
          <w:rFonts w:ascii="Arial" w:hAnsi="Arial" w:cs="Arial"/>
          <w:sz w:val="28"/>
          <w:szCs w:val="28"/>
          <w:lang w:val="en-GB"/>
        </w:rPr>
      </w:pPr>
      <w:r>
        <w:rPr>
          <w:rFonts w:ascii="Arial" w:hAnsi="Arial" w:cs="Arial"/>
          <w:sz w:val="28"/>
          <w:szCs w:val="28"/>
          <w:lang w:val="en-GB"/>
        </w:rPr>
        <w:t>Secondary Efficacy Analysis</w:t>
      </w:r>
      <w:r w:rsidR="008C5463">
        <w:rPr>
          <w:rFonts w:ascii="Arial" w:hAnsi="Arial" w:cs="Arial"/>
          <w:sz w:val="28"/>
          <w:szCs w:val="28"/>
          <w:lang w:val="en-GB"/>
        </w:rPr>
        <w:t>:</w:t>
      </w:r>
    </w:p>
    <w:p w14:paraId="02DE9451" w14:textId="626DBA53" w:rsidR="00266D09" w:rsidRPr="00C707F7" w:rsidRDefault="00C707F7" w:rsidP="00C707F7">
      <w:pPr>
        <w:pStyle w:val="Listenabsatz"/>
        <w:numPr>
          <w:ilvl w:val="0"/>
          <w:numId w:val="5"/>
        </w:numPr>
        <w:spacing w:line="240" w:lineRule="auto"/>
        <w:rPr>
          <w:rFonts w:ascii="Arial" w:hAnsi="Arial" w:cs="Arial"/>
          <w:sz w:val="28"/>
          <w:szCs w:val="28"/>
          <w:u w:val="single"/>
          <w:lang w:val="en-GB"/>
        </w:rPr>
      </w:pPr>
      <w:r w:rsidRPr="00C707F7">
        <w:rPr>
          <w:rFonts w:ascii="Arial" w:hAnsi="Arial" w:cs="Arial"/>
          <w:sz w:val="28"/>
          <w:szCs w:val="28"/>
          <w:u w:val="single"/>
          <w:lang w:val="en-GB"/>
        </w:rPr>
        <w:t>Results for BSS Score ( for efficacy second endpoint / per-protocol)</w:t>
      </w:r>
    </w:p>
    <w:p w14:paraId="0FEC22FC" w14:textId="5A4B923B" w:rsidR="003A137E" w:rsidRPr="00C707F7" w:rsidRDefault="003A137E" w:rsidP="00C707F7">
      <w:pPr>
        <w:pStyle w:val="Titel"/>
        <w:rPr>
          <w:rFonts w:cs="Arial"/>
          <w:u w:val="single"/>
          <w:lang w:val="en-GB"/>
        </w:rPr>
      </w:pPr>
    </w:p>
    <w:p w14:paraId="1B68F975" w14:textId="426622B6" w:rsidR="00266D09" w:rsidRPr="003A137E" w:rsidRDefault="00266D09" w:rsidP="00CD2773">
      <w:pPr>
        <w:spacing w:line="240" w:lineRule="auto"/>
        <w:rPr>
          <w:rFonts w:ascii="Arial" w:hAnsi="Arial" w:cs="Arial"/>
          <w:b/>
          <w:bCs/>
          <w:lang w:val="en-GB"/>
        </w:rPr>
      </w:pPr>
      <w:r w:rsidRPr="003A137E">
        <w:rPr>
          <w:rFonts w:ascii="Arial" w:hAnsi="Arial" w:cs="Arial"/>
          <w:b/>
          <w:bCs/>
          <w:lang w:val="en-GB"/>
        </w:rPr>
        <w:t>Table 01</w:t>
      </w:r>
      <w:r w:rsidR="006E0B7F">
        <w:rPr>
          <w:rFonts w:ascii="Arial" w:hAnsi="Arial" w:cs="Arial"/>
          <w:b/>
          <w:bCs/>
          <w:lang w:val="en-GB"/>
        </w:rPr>
        <w:t>:</w:t>
      </w:r>
      <w:r w:rsidRPr="003A137E">
        <w:rPr>
          <w:rFonts w:ascii="Arial" w:hAnsi="Arial" w:cs="Arial"/>
          <w:b/>
          <w:bCs/>
          <w:lang w:val="en-GB"/>
        </w:rPr>
        <w:t xml:space="preserve"> </w:t>
      </w:r>
      <w:r w:rsidR="00C707F7">
        <w:rPr>
          <w:rFonts w:ascii="Arial" w:hAnsi="Arial" w:cs="Arial"/>
          <w:b/>
          <w:bCs/>
          <w:lang w:val="en-GB"/>
        </w:rPr>
        <w:t>Secondary</w:t>
      </w:r>
      <w:r w:rsidRPr="003A137E">
        <w:rPr>
          <w:rFonts w:ascii="Arial" w:hAnsi="Arial" w:cs="Arial"/>
          <w:b/>
          <w:bCs/>
          <w:lang w:val="en-GB"/>
        </w:rPr>
        <w:t xml:space="preserve"> endpoint – BSS difference day 0 and day </w:t>
      </w:r>
      <w:r w:rsidR="00C707F7">
        <w:rPr>
          <w:rFonts w:ascii="Arial" w:hAnsi="Arial" w:cs="Arial"/>
          <w:b/>
          <w:bCs/>
          <w:lang w:val="en-GB"/>
        </w:rPr>
        <w:t>10</w:t>
      </w:r>
      <w:r w:rsidRPr="003A137E">
        <w:rPr>
          <w:rFonts w:ascii="Arial" w:hAnsi="Arial" w:cs="Arial"/>
          <w:b/>
          <w:bCs/>
          <w:lang w:val="en-GB"/>
        </w:rPr>
        <w:t xml:space="preserve"> and confidence levels</w:t>
      </w:r>
      <w:r w:rsidR="00AE1A56" w:rsidRPr="003A137E">
        <w:rPr>
          <w:rFonts w:ascii="Arial" w:hAnsi="Arial" w:cs="Arial"/>
          <w:b/>
          <w:bCs/>
          <w:lang w:val="en-GB"/>
        </w:rPr>
        <w:t xml:space="preserve"> </w:t>
      </w:r>
    </w:p>
    <w:p w14:paraId="43F56C36" w14:textId="7C958CAE" w:rsidR="00266D09" w:rsidRPr="00C707F7" w:rsidRDefault="00C707F7" w:rsidP="00CD2773">
      <w:pPr>
        <w:spacing w:line="240" w:lineRule="auto"/>
        <w:rPr>
          <w:rFonts w:ascii="Arial" w:hAnsi="Arial" w:cs="Arial"/>
          <w:lang w:val="en-GB"/>
        </w:rPr>
      </w:pPr>
      <w:r w:rsidRPr="000E4960">
        <w:rPr>
          <w:noProof/>
          <w:lang w:eastAsia="en-GB"/>
        </w:rPr>
        <w:drawing>
          <wp:inline distT="0" distB="0" distL="0" distR="0" wp14:anchorId="1042D6EA" wp14:editId="6F3B9177">
            <wp:extent cx="5731510" cy="481090"/>
            <wp:effectExtent l="0" t="0" r="2540" b="0"/>
            <wp:docPr id="248" name="Grafik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81090"/>
                    </a:xfrm>
                    <a:prstGeom prst="rect">
                      <a:avLst/>
                    </a:prstGeom>
                    <a:noFill/>
                    <a:ln>
                      <a:noFill/>
                    </a:ln>
                  </pic:spPr>
                </pic:pic>
              </a:graphicData>
            </a:graphic>
          </wp:inline>
        </w:drawing>
      </w:r>
    </w:p>
    <w:p w14:paraId="2CE2568E" w14:textId="1F751D29" w:rsidR="00D93D3E" w:rsidRPr="003A137E" w:rsidRDefault="00C707F7" w:rsidP="00CD2773">
      <w:pPr>
        <w:spacing w:line="240" w:lineRule="auto"/>
        <w:rPr>
          <w:rFonts w:ascii="Arial" w:hAnsi="Arial" w:cs="Arial"/>
          <w:lang w:val="en-GB"/>
        </w:rPr>
      </w:pPr>
      <w:r w:rsidRPr="000E4960">
        <w:rPr>
          <w:noProof/>
          <w:lang w:eastAsia="en-GB"/>
        </w:rPr>
        <w:drawing>
          <wp:inline distT="0" distB="0" distL="0" distR="0" wp14:anchorId="6AEC77FF" wp14:editId="0CC46421">
            <wp:extent cx="3676153" cy="609765"/>
            <wp:effectExtent l="0" t="0" r="635" b="0"/>
            <wp:docPr id="249" name="Grafik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8339" cy="611786"/>
                    </a:xfrm>
                    <a:prstGeom prst="rect">
                      <a:avLst/>
                    </a:prstGeom>
                    <a:noFill/>
                    <a:ln>
                      <a:noFill/>
                    </a:ln>
                  </pic:spPr>
                </pic:pic>
              </a:graphicData>
            </a:graphic>
          </wp:inline>
        </w:drawing>
      </w:r>
    </w:p>
    <w:p w14:paraId="64AAA0EF" w14:textId="77777777" w:rsidR="00AE1A56" w:rsidRPr="003A137E" w:rsidRDefault="00AE1A56" w:rsidP="00CD2773">
      <w:pPr>
        <w:spacing w:line="240" w:lineRule="auto"/>
        <w:rPr>
          <w:rFonts w:ascii="Arial" w:hAnsi="Arial" w:cs="Arial"/>
          <w:lang w:val="en-GB"/>
        </w:rPr>
      </w:pPr>
    </w:p>
    <w:p w14:paraId="2A1872CF" w14:textId="0E2C54BC" w:rsidR="00266D09" w:rsidRPr="003A137E" w:rsidRDefault="00266D09" w:rsidP="00CD2773">
      <w:pPr>
        <w:spacing w:line="240" w:lineRule="auto"/>
        <w:rPr>
          <w:rFonts w:ascii="Arial" w:hAnsi="Arial" w:cs="Arial"/>
          <w:b/>
          <w:bCs/>
          <w:lang w:val="en-GB"/>
        </w:rPr>
      </w:pPr>
      <w:r w:rsidRPr="003A137E">
        <w:rPr>
          <w:rFonts w:ascii="Arial" w:hAnsi="Arial" w:cs="Arial"/>
          <w:b/>
          <w:bCs/>
          <w:lang w:val="en-GB"/>
        </w:rPr>
        <w:t xml:space="preserve">Table 02: Mann-Whitney test for </w:t>
      </w:r>
      <w:r w:rsidR="00C707F7">
        <w:rPr>
          <w:rFonts w:ascii="Arial" w:hAnsi="Arial" w:cs="Arial"/>
          <w:b/>
          <w:bCs/>
          <w:lang w:val="en-GB"/>
        </w:rPr>
        <w:t>secondary endpoint (per protocol)</w:t>
      </w:r>
    </w:p>
    <w:p w14:paraId="146FB3FA" w14:textId="40A073F9" w:rsidR="00266D09" w:rsidRPr="003A137E" w:rsidRDefault="00C707F7" w:rsidP="00CD2773">
      <w:pPr>
        <w:spacing w:line="240" w:lineRule="auto"/>
        <w:rPr>
          <w:rFonts w:ascii="Arial" w:hAnsi="Arial" w:cs="Arial"/>
          <w:lang w:val="en-GB"/>
        </w:rPr>
      </w:pPr>
      <w:r w:rsidRPr="006651B5">
        <w:rPr>
          <w:rFonts w:eastAsia="Calibri"/>
          <w:noProof/>
          <w:lang w:eastAsia="en-GB"/>
        </w:rPr>
        <w:drawing>
          <wp:inline distT="0" distB="0" distL="0" distR="0" wp14:anchorId="668DF1E5" wp14:editId="6E85C13E">
            <wp:extent cx="4584700" cy="1238250"/>
            <wp:effectExtent l="0" t="0" r="0" b="0"/>
            <wp:docPr id="124"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srcRect/>
                    <a:stretch>
                      <a:fillRect/>
                    </a:stretch>
                  </pic:blipFill>
                  <pic:spPr bwMode="auto">
                    <a:xfrm>
                      <a:off x="0" y="0"/>
                      <a:ext cx="4584700" cy="1238250"/>
                    </a:xfrm>
                    <a:prstGeom prst="rect">
                      <a:avLst/>
                    </a:prstGeom>
                    <a:noFill/>
                    <a:ln w="9525">
                      <a:noFill/>
                      <a:miter lim="800000"/>
                      <a:headEnd/>
                      <a:tailEnd/>
                    </a:ln>
                  </pic:spPr>
                </pic:pic>
              </a:graphicData>
            </a:graphic>
          </wp:inline>
        </w:drawing>
      </w:r>
    </w:p>
    <w:p w14:paraId="2C497C4E" w14:textId="2231BD0D" w:rsidR="00266D09" w:rsidRDefault="00C707F7" w:rsidP="00CD2773">
      <w:pPr>
        <w:spacing w:line="240" w:lineRule="auto"/>
        <w:rPr>
          <w:rFonts w:ascii="Arial" w:hAnsi="Arial" w:cs="Arial"/>
          <w:lang w:val="en-GB"/>
        </w:rPr>
      </w:pPr>
      <w:r w:rsidRPr="006651B5">
        <w:rPr>
          <w:rFonts w:eastAsia="Calibri"/>
          <w:noProof/>
          <w:lang w:eastAsia="en-GB"/>
        </w:rPr>
        <w:drawing>
          <wp:inline distT="0" distB="0" distL="0" distR="0" wp14:anchorId="33E5DDC2" wp14:editId="14792AAE">
            <wp:extent cx="2317750" cy="1733550"/>
            <wp:effectExtent l="0" t="0" r="6350" b="0"/>
            <wp:docPr id="125"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srcRect/>
                    <a:stretch>
                      <a:fillRect/>
                    </a:stretch>
                  </pic:blipFill>
                  <pic:spPr bwMode="auto">
                    <a:xfrm>
                      <a:off x="0" y="0"/>
                      <a:ext cx="2317750" cy="1733550"/>
                    </a:xfrm>
                    <a:prstGeom prst="rect">
                      <a:avLst/>
                    </a:prstGeom>
                    <a:noFill/>
                    <a:ln w="9525">
                      <a:noFill/>
                      <a:miter lim="800000"/>
                      <a:headEnd/>
                      <a:tailEnd/>
                    </a:ln>
                  </pic:spPr>
                </pic:pic>
              </a:graphicData>
            </a:graphic>
          </wp:inline>
        </w:drawing>
      </w:r>
    </w:p>
    <w:p w14:paraId="692E6BBE" w14:textId="77777777" w:rsidR="00C707F7" w:rsidRPr="003A137E" w:rsidRDefault="00C707F7" w:rsidP="00CD2773">
      <w:pPr>
        <w:spacing w:line="240" w:lineRule="auto"/>
        <w:rPr>
          <w:rFonts w:ascii="Arial" w:hAnsi="Arial" w:cs="Arial"/>
          <w:lang w:val="en-GB"/>
        </w:rPr>
      </w:pPr>
    </w:p>
    <w:p w14:paraId="21E76FAB" w14:textId="5E367ABD" w:rsidR="008C5463" w:rsidRDefault="00D93D3E" w:rsidP="008C5463">
      <w:pPr>
        <w:spacing w:line="240" w:lineRule="auto"/>
        <w:rPr>
          <w:rFonts w:ascii="Arial" w:hAnsi="Arial" w:cs="Arial"/>
          <w:b/>
          <w:bCs/>
          <w:u w:val="single"/>
          <w:lang w:val="en-GB"/>
        </w:rPr>
      </w:pPr>
      <w:r w:rsidRPr="003A137E">
        <w:rPr>
          <w:rFonts w:ascii="Arial" w:hAnsi="Arial" w:cs="Arial"/>
          <w:b/>
          <w:bCs/>
          <w:u w:val="single"/>
          <w:lang w:val="en-GB"/>
        </w:rPr>
        <w:t>Conclusion:</w:t>
      </w:r>
    </w:p>
    <w:p w14:paraId="7B2D22B0" w14:textId="77777777" w:rsidR="008C5463" w:rsidRPr="003A137E" w:rsidRDefault="008C5463" w:rsidP="008C5463">
      <w:pPr>
        <w:spacing w:line="240" w:lineRule="auto"/>
        <w:rPr>
          <w:rFonts w:ascii="Arial" w:hAnsi="Arial" w:cs="Arial"/>
          <w:b/>
          <w:bCs/>
          <w:u w:val="single"/>
          <w:lang w:val="en-GB"/>
        </w:rPr>
      </w:pPr>
    </w:p>
    <w:p w14:paraId="0D98B426" w14:textId="77777777" w:rsidR="008C5463" w:rsidRPr="00C707F7" w:rsidRDefault="008C5463" w:rsidP="008C5463">
      <w:pPr>
        <w:pBdr>
          <w:top w:val="single" w:sz="12" w:space="1" w:color="auto"/>
          <w:left w:val="single" w:sz="12" w:space="4" w:color="auto"/>
          <w:bottom w:val="single" w:sz="12" w:space="1" w:color="auto"/>
          <w:right w:val="single" w:sz="12" w:space="4" w:color="auto"/>
        </w:pBdr>
        <w:spacing w:line="240" w:lineRule="auto"/>
        <w:rPr>
          <w:rFonts w:ascii="Arial" w:hAnsi="Arial" w:cs="Arial"/>
          <w:b/>
          <w:bCs/>
          <w:lang w:val="en-GB"/>
        </w:rPr>
      </w:pPr>
      <w:r w:rsidRPr="00C707F7">
        <w:rPr>
          <w:rFonts w:ascii="Arial" w:hAnsi="Arial" w:cs="Arial"/>
          <w:b/>
          <w:bCs/>
          <w:lang w:val="en-GB"/>
        </w:rPr>
        <w:t>The Mann-Whitney test shows  a significance at level ~ .00002927237and therefore the 0- hypothesis can be rejected and it can be concluded the BSS score at day 10 for the verum is significantly lower than for the placebo.</w:t>
      </w:r>
    </w:p>
    <w:p w14:paraId="6B0F9D84" w14:textId="511AD0A1" w:rsidR="008C5463" w:rsidRDefault="008C5463" w:rsidP="008C5463">
      <w:pPr>
        <w:spacing w:line="240" w:lineRule="auto"/>
        <w:rPr>
          <w:rFonts w:ascii="Arial" w:hAnsi="Arial" w:cs="Arial"/>
          <w:b/>
          <w:bCs/>
          <w:u w:val="single"/>
          <w:lang w:val="en-GB"/>
        </w:rPr>
      </w:pPr>
    </w:p>
    <w:p w14:paraId="0CC29E1D" w14:textId="0BFC5FF7" w:rsidR="008C5463" w:rsidRDefault="008C5463" w:rsidP="008C5463">
      <w:pPr>
        <w:spacing w:line="240" w:lineRule="auto"/>
        <w:rPr>
          <w:rFonts w:ascii="Arial" w:hAnsi="Arial" w:cs="Arial"/>
          <w:b/>
          <w:bCs/>
          <w:u w:val="single"/>
          <w:lang w:val="en-GB"/>
        </w:rPr>
      </w:pPr>
      <w:r>
        <w:rPr>
          <w:rFonts w:ascii="Arial" w:hAnsi="Arial" w:cs="Arial"/>
          <w:b/>
          <w:bCs/>
          <w:u w:val="single"/>
          <w:lang w:val="en-GB"/>
        </w:rPr>
        <w:br w:type="page"/>
      </w:r>
    </w:p>
    <w:p w14:paraId="0872014B" w14:textId="6F02E0F5" w:rsidR="00B71CFA" w:rsidRDefault="006E0B7F" w:rsidP="008C5463">
      <w:pPr>
        <w:pStyle w:val="Listenabsatz"/>
        <w:numPr>
          <w:ilvl w:val="0"/>
          <w:numId w:val="5"/>
        </w:numPr>
        <w:spacing w:line="240" w:lineRule="auto"/>
        <w:rPr>
          <w:rFonts w:ascii="Arial" w:hAnsi="Arial" w:cs="Arial"/>
          <w:sz w:val="28"/>
          <w:szCs w:val="28"/>
          <w:u w:val="single"/>
          <w:lang w:val="en-GB"/>
        </w:rPr>
      </w:pPr>
      <w:r w:rsidRPr="00C707F7">
        <w:rPr>
          <w:rFonts w:ascii="Arial" w:hAnsi="Arial" w:cs="Arial"/>
          <w:sz w:val="28"/>
          <w:szCs w:val="28"/>
          <w:u w:val="single"/>
          <w:lang w:val="en-GB"/>
        </w:rPr>
        <w:lastRenderedPageBreak/>
        <w:t xml:space="preserve">Results </w:t>
      </w:r>
      <w:r w:rsidR="00900314">
        <w:rPr>
          <w:rFonts w:ascii="Arial" w:hAnsi="Arial" w:cs="Arial"/>
          <w:sz w:val="28"/>
          <w:szCs w:val="28"/>
          <w:u w:val="single"/>
          <w:lang w:val="en-GB"/>
        </w:rPr>
        <w:t>of</w:t>
      </w:r>
      <w:r w:rsidRPr="00C707F7">
        <w:rPr>
          <w:rFonts w:ascii="Arial" w:hAnsi="Arial" w:cs="Arial"/>
          <w:sz w:val="28"/>
          <w:szCs w:val="28"/>
          <w:u w:val="single"/>
          <w:lang w:val="en-GB"/>
        </w:rPr>
        <w:t xml:space="preserve"> </w:t>
      </w:r>
      <w:r w:rsidR="00B20A65">
        <w:rPr>
          <w:rFonts w:ascii="Arial" w:hAnsi="Arial" w:cs="Arial"/>
          <w:sz w:val="28"/>
          <w:szCs w:val="28"/>
          <w:u w:val="single"/>
          <w:lang w:val="en-GB"/>
        </w:rPr>
        <w:t>Quality-of-Life</w:t>
      </w:r>
      <w:r w:rsidR="00900314">
        <w:rPr>
          <w:rFonts w:ascii="Arial" w:hAnsi="Arial" w:cs="Arial"/>
          <w:sz w:val="28"/>
          <w:szCs w:val="28"/>
          <w:u w:val="single"/>
          <w:lang w:val="en-GB"/>
        </w:rPr>
        <w:t xml:space="preserve"> assessment</w:t>
      </w:r>
      <w:r w:rsidRPr="00C707F7">
        <w:rPr>
          <w:rFonts w:ascii="Arial" w:hAnsi="Arial" w:cs="Arial"/>
          <w:sz w:val="28"/>
          <w:szCs w:val="28"/>
          <w:u w:val="single"/>
          <w:lang w:val="en-GB"/>
        </w:rPr>
        <w:t xml:space="preserve"> </w:t>
      </w:r>
      <w:r w:rsidR="00F00F4D">
        <w:rPr>
          <w:rFonts w:ascii="Arial" w:hAnsi="Arial" w:cs="Arial"/>
          <w:sz w:val="28"/>
          <w:szCs w:val="28"/>
          <w:u w:val="single"/>
          <w:lang w:val="en-GB"/>
        </w:rPr>
        <w:t xml:space="preserve">(for efficacy second </w:t>
      </w:r>
      <w:r w:rsidR="0054305F">
        <w:rPr>
          <w:rFonts w:ascii="Arial" w:hAnsi="Arial" w:cs="Arial"/>
          <w:sz w:val="28"/>
          <w:szCs w:val="28"/>
          <w:u w:val="single"/>
          <w:lang w:val="en-GB"/>
        </w:rPr>
        <w:t>endpoint</w:t>
      </w:r>
      <w:r w:rsidR="00F00F4D">
        <w:rPr>
          <w:rFonts w:ascii="Arial" w:hAnsi="Arial" w:cs="Arial"/>
          <w:sz w:val="28"/>
          <w:szCs w:val="28"/>
          <w:u w:val="single"/>
          <w:lang w:val="en-GB"/>
        </w:rPr>
        <w:t>)</w:t>
      </w:r>
    </w:p>
    <w:p w14:paraId="2B69261A" w14:textId="77777777" w:rsidR="005C24C1" w:rsidRPr="0019675B" w:rsidRDefault="005C24C1" w:rsidP="005C24C1">
      <w:pPr>
        <w:pStyle w:val="Listenabsatz"/>
        <w:spacing w:line="240" w:lineRule="auto"/>
        <w:rPr>
          <w:rFonts w:ascii="Arial" w:hAnsi="Arial" w:cs="Arial"/>
          <w:sz w:val="28"/>
          <w:szCs w:val="28"/>
          <w:u w:val="single"/>
          <w:lang w:val="en-GB"/>
        </w:rPr>
      </w:pPr>
    </w:p>
    <w:p w14:paraId="09E211BA" w14:textId="14906BFC" w:rsidR="00B71CFA" w:rsidRDefault="005C24C1" w:rsidP="008C5463">
      <w:pPr>
        <w:spacing w:line="240" w:lineRule="auto"/>
        <w:rPr>
          <w:rFonts w:ascii="Arial" w:hAnsi="Arial" w:cs="Arial"/>
          <w:b/>
          <w:bCs/>
          <w:lang w:val="en-GB"/>
        </w:rPr>
      </w:pPr>
      <w:r>
        <w:rPr>
          <w:rFonts w:ascii="Arial" w:hAnsi="Arial" w:cs="Arial"/>
          <w:b/>
          <w:bCs/>
          <w:lang w:val="en-GB"/>
        </w:rPr>
        <w:t xml:space="preserve">Efficacy Results: </w:t>
      </w:r>
      <w:r w:rsidR="00B71CFA">
        <w:rPr>
          <w:rFonts w:ascii="Arial" w:hAnsi="Arial" w:cs="Arial"/>
          <w:b/>
          <w:bCs/>
          <w:lang w:val="en-GB"/>
        </w:rPr>
        <w:t>Assessment of Quality of Life</w:t>
      </w:r>
    </w:p>
    <w:p w14:paraId="5A29CA63" w14:textId="0928E08D" w:rsidR="005C24C1" w:rsidRDefault="00B71CFA" w:rsidP="005C24C1">
      <w:pPr>
        <w:spacing w:line="240" w:lineRule="auto"/>
        <w:jc w:val="both"/>
        <w:rPr>
          <w:rFonts w:ascii="Arial" w:hAnsi="Arial" w:cs="Arial"/>
          <w:lang w:val="en-GB"/>
        </w:rPr>
      </w:pPr>
      <w:r w:rsidRPr="00B20A65">
        <w:rPr>
          <w:rFonts w:ascii="Arial" w:hAnsi="Arial" w:cs="Arial"/>
          <w:lang w:val="en-GB"/>
        </w:rPr>
        <w:t>Whereas at baseline, QoL score was comparable between the Tavipec and the Placebo group, at day 7 the mean QoL score in the Tavipec group was lower (</w:t>
      </w:r>
      <w:r w:rsidRPr="00AD2706">
        <w:rPr>
          <w:rFonts w:ascii="Arial" w:hAnsi="Arial" w:cs="Arial"/>
          <w:i/>
          <w:iCs/>
          <w:lang w:val="en-GB"/>
        </w:rPr>
        <w:t xml:space="preserve">Table </w:t>
      </w:r>
      <w:r w:rsidR="002E2ABE" w:rsidRPr="00AD2706">
        <w:rPr>
          <w:rFonts w:ascii="Arial" w:hAnsi="Arial" w:cs="Arial"/>
          <w:i/>
          <w:iCs/>
          <w:lang w:val="en-GB"/>
        </w:rPr>
        <w:t>03</w:t>
      </w:r>
      <w:r w:rsidRPr="00B20A65">
        <w:rPr>
          <w:rFonts w:ascii="Arial" w:hAnsi="Arial" w:cs="Arial"/>
          <w:lang w:val="en-GB"/>
        </w:rPr>
        <w:t>).</w:t>
      </w:r>
      <w:r w:rsidR="005C24C1" w:rsidRPr="005C24C1">
        <w:rPr>
          <w:rFonts w:ascii="Arial" w:hAnsi="Arial" w:cs="Arial"/>
          <w:lang w:val="en-GB"/>
        </w:rPr>
        <w:t xml:space="preserve"> </w:t>
      </w:r>
      <w:r w:rsidR="005C24C1" w:rsidRPr="00B20A65">
        <w:rPr>
          <w:rFonts w:ascii="Arial" w:hAnsi="Arial" w:cs="Arial"/>
          <w:lang w:val="en-GB"/>
        </w:rPr>
        <w:t>At baseline versus day 7, as rated on a score ranging from 0 to 10, the mean scores in the Tavipec and Placebo groups were 7.72 versus 3.22, and 7.6 versus 4.7, respectively, thus scores were significantly lower for the Tavipec group (</w:t>
      </w:r>
      <w:r w:rsidR="005C24C1" w:rsidRPr="00AD2706">
        <w:rPr>
          <w:rFonts w:ascii="Arial" w:hAnsi="Arial" w:cs="Arial"/>
          <w:i/>
          <w:iCs/>
          <w:lang w:val="en-GB"/>
        </w:rPr>
        <w:t>p</w:t>
      </w:r>
      <w:r w:rsidR="00AD2706">
        <w:rPr>
          <w:rFonts w:ascii="Arial" w:hAnsi="Arial" w:cs="Arial"/>
          <w:i/>
          <w:iCs/>
          <w:lang w:val="en-GB"/>
        </w:rPr>
        <w:t xml:space="preserve"> </w:t>
      </w:r>
      <w:r w:rsidR="005C24C1" w:rsidRPr="00AD2706">
        <w:rPr>
          <w:rFonts w:ascii="Arial" w:hAnsi="Arial" w:cs="Arial"/>
          <w:lang w:val="en-GB"/>
        </w:rPr>
        <w:t>&lt;</w:t>
      </w:r>
      <w:r w:rsidR="00AD2706">
        <w:rPr>
          <w:rFonts w:ascii="Arial" w:hAnsi="Arial" w:cs="Arial"/>
          <w:lang w:val="en-GB"/>
        </w:rPr>
        <w:t xml:space="preserve"> </w:t>
      </w:r>
      <w:r w:rsidR="005C24C1" w:rsidRPr="00AD2706">
        <w:rPr>
          <w:rFonts w:ascii="Arial" w:hAnsi="Arial" w:cs="Arial"/>
          <w:lang w:val="en-GB"/>
        </w:rPr>
        <w:t>0.001</w:t>
      </w:r>
      <w:r w:rsidR="005C24C1" w:rsidRPr="00B20A65">
        <w:rPr>
          <w:rFonts w:ascii="Arial" w:hAnsi="Arial" w:cs="Arial"/>
          <w:lang w:val="en-GB"/>
        </w:rPr>
        <w:t>).</w:t>
      </w:r>
    </w:p>
    <w:p w14:paraId="23EF56E4" w14:textId="77777777" w:rsidR="00F4693B" w:rsidRPr="002E2ABE" w:rsidRDefault="00F4693B" w:rsidP="00F4693B">
      <w:pPr>
        <w:spacing w:line="240" w:lineRule="auto"/>
        <w:jc w:val="both"/>
        <w:rPr>
          <w:rFonts w:ascii="Arial" w:hAnsi="Arial" w:cs="Arial"/>
          <w:b/>
          <w:bCs/>
          <w:lang w:val="en-GB"/>
        </w:rPr>
      </w:pPr>
      <w:r w:rsidRPr="002E2ABE">
        <w:rPr>
          <w:rFonts w:ascii="Arial" w:hAnsi="Arial" w:cs="Arial"/>
          <w:b/>
          <w:bCs/>
          <w:lang w:val="en-GB"/>
        </w:rPr>
        <w:t xml:space="preserve">Table 03: </w:t>
      </w:r>
      <w:r>
        <w:rPr>
          <w:rFonts w:ascii="Arial" w:hAnsi="Arial" w:cs="Arial"/>
          <w:b/>
          <w:bCs/>
          <w:lang w:val="en-GB"/>
        </w:rPr>
        <w:t>QoL-score at baseline and day 7</w:t>
      </w:r>
    </w:p>
    <w:p w14:paraId="68371361" w14:textId="2630EA86" w:rsidR="00F4693B" w:rsidRPr="00B20A65" w:rsidRDefault="00F4693B" w:rsidP="005C24C1">
      <w:pPr>
        <w:spacing w:line="240" w:lineRule="auto"/>
        <w:jc w:val="both"/>
        <w:rPr>
          <w:rFonts w:ascii="Arial" w:hAnsi="Arial" w:cs="Arial"/>
          <w:lang w:val="en-GB"/>
        </w:rPr>
      </w:pPr>
      <w:r>
        <w:rPr>
          <w:noProof/>
        </w:rPr>
        <w:drawing>
          <wp:inline distT="0" distB="0" distL="0" distR="0" wp14:anchorId="3DA1DE9C" wp14:editId="05E5EEE7">
            <wp:extent cx="3623095" cy="1455707"/>
            <wp:effectExtent l="0" t="0" r="0" b="0"/>
            <wp:docPr id="27" name="Grafik 27"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fik 27" descr="Ein Bild, das Tisch enthält.&#10;&#10;Automatisch generierte Beschreibung"/>
                    <pic:cNvPicPr/>
                  </pic:nvPicPr>
                  <pic:blipFill>
                    <a:blip r:embed="rId11"/>
                    <a:stretch>
                      <a:fillRect/>
                    </a:stretch>
                  </pic:blipFill>
                  <pic:spPr>
                    <a:xfrm>
                      <a:off x="0" y="0"/>
                      <a:ext cx="3669074" cy="1474181"/>
                    </a:xfrm>
                    <a:prstGeom prst="rect">
                      <a:avLst/>
                    </a:prstGeom>
                  </pic:spPr>
                </pic:pic>
              </a:graphicData>
            </a:graphic>
          </wp:inline>
        </w:drawing>
      </w:r>
    </w:p>
    <w:p w14:paraId="497E4D43" w14:textId="610ABA6E" w:rsidR="00264A1E" w:rsidRDefault="00300034" w:rsidP="00B20A65">
      <w:pPr>
        <w:spacing w:line="240" w:lineRule="auto"/>
        <w:jc w:val="both"/>
        <w:rPr>
          <w:rFonts w:ascii="Arial" w:hAnsi="Arial" w:cs="Arial"/>
          <w:lang w:val="en-GB"/>
        </w:rPr>
      </w:pPr>
      <w:r>
        <w:rPr>
          <w:rFonts w:ascii="Arial" w:hAnsi="Arial" w:cs="Arial"/>
          <w:lang w:val="en-GB"/>
        </w:rPr>
        <w:t xml:space="preserve">At </w:t>
      </w:r>
      <w:r w:rsidR="00C23A00">
        <w:rPr>
          <w:rFonts w:ascii="Arial" w:hAnsi="Arial" w:cs="Arial"/>
          <w:lang w:val="en-GB"/>
        </w:rPr>
        <w:t>baseline</w:t>
      </w:r>
      <w:r>
        <w:rPr>
          <w:rFonts w:ascii="Arial" w:hAnsi="Arial" w:cs="Arial"/>
          <w:lang w:val="en-GB"/>
        </w:rPr>
        <w:t xml:space="preserve"> </w:t>
      </w:r>
      <w:r w:rsidR="00C23A00">
        <w:rPr>
          <w:rFonts w:ascii="Arial" w:hAnsi="Arial" w:cs="Arial"/>
          <w:lang w:val="en-GB"/>
        </w:rPr>
        <w:t xml:space="preserve">all patients from the Tavipec and baseline group (ITT), </w:t>
      </w:r>
      <w:r w:rsidR="004D7639">
        <w:rPr>
          <w:rFonts w:ascii="Arial" w:hAnsi="Arial" w:cs="Arial"/>
          <w:lang w:val="en-GB"/>
        </w:rPr>
        <w:t>show</w:t>
      </w:r>
      <w:r w:rsidR="00C23A00">
        <w:rPr>
          <w:rFonts w:ascii="Arial" w:hAnsi="Arial" w:cs="Arial"/>
          <w:lang w:val="en-GB"/>
        </w:rPr>
        <w:t xml:space="preserve"> </w:t>
      </w:r>
      <w:r w:rsidR="004D7639">
        <w:rPr>
          <w:rFonts w:ascii="Arial" w:hAnsi="Arial" w:cs="Arial"/>
          <w:lang w:val="en-GB"/>
        </w:rPr>
        <w:t>a similarly</w:t>
      </w:r>
      <w:r w:rsidR="00C23A00">
        <w:rPr>
          <w:rFonts w:ascii="Arial" w:hAnsi="Arial" w:cs="Arial"/>
          <w:lang w:val="en-GB"/>
        </w:rPr>
        <w:t xml:space="preserve"> </w:t>
      </w:r>
      <w:r w:rsidR="004D7639">
        <w:rPr>
          <w:rFonts w:ascii="Arial" w:hAnsi="Arial" w:cs="Arial"/>
          <w:lang w:val="en-GB"/>
        </w:rPr>
        <w:t>impact</w:t>
      </w:r>
      <w:r w:rsidR="00C23A00">
        <w:rPr>
          <w:rFonts w:ascii="Arial" w:hAnsi="Arial" w:cs="Arial"/>
          <w:lang w:val="en-GB"/>
        </w:rPr>
        <w:t xml:space="preserve"> by the disease</w:t>
      </w:r>
      <w:r w:rsidR="005C24C1">
        <w:rPr>
          <w:rFonts w:ascii="Arial" w:hAnsi="Arial" w:cs="Arial"/>
          <w:lang w:val="en-GB"/>
        </w:rPr>
        <w:t>:</w:t>
      </w:r>
      <w:r w:rsidR="004D7639">
        <w:rPr>
          <w:rFonts w:ascii="Arial" w:hAnsi="Arial" w:cs="Arial"/>
          <w:lang w:val="en-GB"/>
        </w:rPr>
        <w:t xml:space="preserve"> 63.2 % of Tavipec group and 62.5 % of the Placebo group were severe and 36.% and 37.5 %, respectively were moderate impacted by the disease</w:t>
      </w:r>
      <w:r w:rsidR="005C24C1">
        <w:rPr>
          <w:rFonts w:ascii="Arial" w:hAnsi="Arial" w:cs="Arial"/>
          <w:lang w:val="en-GB"/>
        </w:rPr>
        <w:t xml:space="preserve"> (</w:t>
      </w:r>
      <w:r w:rsidR="005C24C1" w:rsidRPr="00AD2706">
        <w:rPr>
          <w:rFonts w:ascii="Arial" w:hAnsi="Arial" w:cs="Arial"/>
          <w:i/>
          <w:iCs/>
          <w:lang w:val="en-GB"/>
        </w:rPr>
        <w:t>Table 04</w:t>
      </w:r>
      <w:r w:rsidR="005C24C1">
        <w:rPr>
          <w:rFonts w:ascii="Arial" w:hAnsi="Arial" w:cs="Arial"/>
          <w:lang w:val="en-GB"/>
        </w:rPr>
        <w:t>).</w:t>
      </w:r>
    </w:p>
    <w:p w14:paraId="4AFAA435" w14:textId="77777777" w:rsidR="00F4693B" w:rsidRDefault="00F4693B" w:rsidP="00F4693B">
      <w:pPr>
        <w:spacing w:line="240" w:lineRule="auto"/>
        <w:rPr>
          <w:rFonts w:ascii="Arial" w:hAnsi="Arial" w:cs="Arial"/>
          <w:b/>
          <w:bCs/>
          <w:lang w:val="en-GB"/>
        </w:rPr>
      </w:pPr>
    </w:p>
    <w:p w14:paraId="0C7A6132" w14:textId="6DFAEF9A" w:rsidR="00F4693B" w:rsidRDefault="00F4693B" w:rsidP="00F4693B">
      <w:pPr>
        <w:spacing w:line="240" w:lineRule="auto"/>
        <w:rPr>
          <w:rFonts w:ascii="Arial" w:hAnsi="Arial" w:cs="Arial"/>
          <w:b/>
          <w:bCs/>
          <w:lang w:val="en-GB"/>
        </w:rPr>
      </w:pPr>
      <w:r>
        <w:rPr>
          <w:rFonts w:ascii="Arial" w:hAnsi="Arial" w:cs="Arial"/>
          <w:b/>
          <w:bCs/>
          <w:lang w:val="en-GB"/>
        </w:rPr>
        <w:t>Table 04: Impact of disease on QoL at baseline, ITT</w:t>
      </w:r>
    </w:p>
    <w:p w14:paraId="739EF5BC" w14:textId="01B79AA7" w:rsidR="00F4693B" w:rsidRPr="00F4693B" w:rsidRDefault="00F4693B" w:rsidP="00F4693B">
      <w:pPr>
        <w:spacing w:line="240" w:lineRule="auto"/>
        <w:rPr>
          <w:rFonts w:ascii="Arial" w:hAnsi="Arial" w:cs="Arial"/>
          <w:b/>
          <w:bCs/>
          <w:lang w:val="en-GB"/>
        </w:rPr>
      </w:pPr>
      <w:r>
        <w:rPr>
          <w:noProof/>
        </w:rPr>
        <w:drawing>
          <wp:inline distT="0" distB="0" distL="0" distR="0" wp14:anchorId="1B83CECC" wp14:editId="2AA11BE3">
            <wp:extent cx="2775610" cy="1311215"/>
            <wp:effectExtent l="0" t="0" r="5715" b="3810"/>
            <wp:docPr id="28" name="Grafik 28"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fik 28" descr="Ein Bild, das Tisch enthält.&#10;&#10;Automatisch generierte Beschreibung"/>
                    <pic:cNvPicPr/>
                  </pic:nvPicPr>
                  <pic:blipFill>
                    <a:blip r:embed="rId12"/>
                    <a:stretch>
                      <a:fillRect/>
                    </a:stretch>
                  </pic:blipFill>
                  <pic:spPr>
                    <a:xfrm>
                      <a:off x="0" y="0"/>
                      <a:ext cx="2809011" cy="1326994"/>
                    </a:xfrm>
                    <a:prstGeom prst="rect">
                      <a:avLst/>
                    </a:prstGeom>
                  </pic:spPr>
                </pic:pic>
              </a:graphicData>
            </a:graphic>
          </wp:inline>
        </w:drawing>
      </w:r>
    </w:p>
    <w:p w14:paraId="1563AFC8" w14:textId="7BB49B35" w:rsidR="005C24C1" w:rsidRDefault="00B71CFA" w:rsidP="00B20A65">
      <w:pPr>
        <w:spacing w:line="240" w:lineRule="auto"/>
        <w:jc w:val="both"/>
        <w:rPr>
          <w:rFonts w:ascii="Arial" w:hAnsi="Arial" w:cs="Arial"/>
          <w:lang w:val="en-GB"/>
        </w:rPr>
      </w:pPr>
      <w:r w:rsidRPr="00B20A65">
        <w:rPr>
          <w:rFonts w:ascii="Arial" w:hAnsi="Arial" w:cs="Arial"/>
          <w:lang w:val="en-GB"/>
        </w:rPr>
        <w:t>In the Tavipec group</w:t>
      </w:r>
      <w:r w:rsidR="00C23A00">
        <w:rPr>
          <w:rFonts w:ascii="Arial" w:hAnsi="Arial" w:cs="Arial"/>
          <w:lang w:val="en-GB"/>
        </w:rPr>
        <w:t xml:space="preserve"> (ITT)</w:t>
      </w:r>
      <w:r w:rsidRPr="00B20A65">
        <w:rPr>
          <w:rFonts w:ascii="Arial" w:hAnsi="Arial" w:cs="Arial"/>
          <w:lang w:val="en-GB"/>
        </w:rPr>
        <w:t>, 62.4 %. 34.4 % and 3.2 % of patients, respectively were mildly, moderately, and severely impacted (ITT), but 28.3 %. 65.8 % and 5.8 % of patients, respectively in the Placebo group</w:t>
      </w:r>
      <w:r w:rsidR="002E2ABE">
        <w:rPr>
          <w:rFonts w:ascii="Arial" w:hAnsi="Arial" w:cs="Arial"/>
          <w:lang w:val="en-GB"/>
        </w:rPr>
        <w:t xml:space="preserve"> (</w:t>
      </w:r>
      <w:r w:rsidR="002E2ABE" w:rsidRPr="00AD2706">
        <w:rPr>
          <w:rFonts w:ascii="Arial" w:hAnsi="Arial" w:cs="Arial"/>
          <w:i/>
          <w:iCs/>
          <w:lang w:val="en-GB"/>
        </w:rPr>
        <w:t>Table 0</w:t>
      </w:r>
      <w:r w:rsidR="005C24C1" w:rsidRPr="00AD2706">
        <w:rPr>
          <w:rFonts w:ascii="Arial" w:hAnsi="Arial" w:cs="Arial"/>
          <w:i/>
          <w:iCs/>
          <w:lang w:val="en-GB"/>
        </w:rPr>
        <w:t>5</w:t>
      </w:r>
      <w:r w:rsidR="002E2ABE">
        <w:rPr>
          <w:rFonts w:ascii="Arial" w:hAnsi="Arial" w:cs="Arial"/>
          <w:lang w:val="en-GB"/>
        </w:rPr>
        <w:t>).</w:t>
      </w:r>
    </w:p>
    <w:p w14:paraId="7AA593D8" w14:textId="7516279F" w:rsidR="00264A1E" w:rsidRDefault="00264A1E" w:rsidP="008C5463">
      <w:pPr>
        <w:spacing w:line="240" w:lineRule="auto"/>
        <w:rPr>
          <w:rFonts w:ascii="Arial" w:hAnsi="Arial" w:cs="Arial"/>
          <w:b/>
          <w:bCs/>
          <w:lang w:val="en-GB"/>
        </w:rPr>
      </w:pPr>
    </w:p>
    <w:p w14:paraId="3D5B5F87" w14:textId="6D9724B0" w:rsidR="002E2ABE" w:rsidRDefault="002E2ABE" w:rsidP="008C5463">
      <w:pPr>
        <w:spacing w:line="240" w:lineRule="auto"/>
        <w:rPr>
          <w:rFonts w:ascii="Arial" w:hAnsi="Arial" w:cs="Arial"/>
          <w:b/>
          <w:bCs/>
          <w:lang w:val="en-GB"/>
        </w:rPr>
      </w:pPr>
      <w:r>
        <w:rPr>
          <w:rFonts w:ascii="Arial" w:hAnsi="Arial" w:cs="Arial"/>
          <w:b/>
          <w:bCs/>
          <w:lang w:val="en-GB"/>
        </w:rPr>
        <w:t>Table 0</w:t>
      </w:r>
      <w:r w:rsidR="00264A1E">
        <w:rPr>
          <w:rFonts w:ascii="Arial" w:hAnsi="Arial" w:cs="Arial"/>
          <w:b/>
          <w:bCs/>
          <w:lang w:val="en-GB"/>
        </w:rPr>
        <w:t>5</w:t>
      </w:r>
      <w:r>
        <w:rPr>
          <w:rFonts w:ascii="Arial" w:hAnsi="Arial" w:cs="Arial"/>
          <w:b/>
          <w:bCs/>
          <w:lang w:val="en-GB"/>
        </w:rPr>
        <w:t>: Impact of disease on QoL at day 7, ITT</w:t>
      </w:r>
    </w:p>
    <w:p w14:paraId="78CC8843" w14:textId="5AB33658" w:rsidR="00900314" w:rsidRDefault="002E2ABE" w:rsidP="008C5463">
      <w:pPr>
        <w:spacing w:line="240" w:lineRule="auto"/>
        <w:rPr>
          <w:rFonts w:ascii="Arial" w:hAnsi="Arial" w:cs="Arial"/>
          <w:b/>
          <w:bCs/>
          <w:lang w:val="en-GB"/>
        </w:rPr>
      </w:pPr>
      <w:r>
        <w:rPr>
          <w:noProof/>
        </w:rPr>
        <w:drawing>
          <wp:inline distT="0" distB="0" distL="0" distR="0" wp14:anchorId="1E827CD7" wp14:editId="726D78FE">
            <wp:extent cx="2760453" cy="1304055"/>
            <wp:effectExtent l="0" t="0" r="1905" b="0"/>
            <wp:docPr id="1" name="Grafik 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isch enthält.&#10;&#10;Automatisch generierte Beschreibung"/>
                    <pic:cNvPicPr/>
                  </pic:nvPicPr>
                  <pic:blipFill>
                    <a:blip r:embed="rId13"/>
                    <a:stretch>
                      <a:fillRect/>
                    </a:stretch>
                  </pic:blipFill>
                  <pic:spPr>
                    <a:xfrm>
                      <a:off x="0" y="0"/>
                      <a:ext cx="2775352" cy="1311093"/>
                    </a:xfrm>
                    <a:prstGeom prst="rect">
                      <a:avLst/>
                    </a:prstGeom>
                  </pic:spPr>
                </pic:pic>
              </a:graphicData>
            </a:graphic>
          </wp:inline>
        </w:drawing>
      </w:r>
    </w:p>
    <w:p w14:paraId="2838A2B7" w14:textId="77777777" w:rsidR="00F4693B" w:rsidRDefault="00F4693B" w:rsidP="008C5463">
      <w:pPr>
        <w:spacing w:line="240" w:lineRule="auto"/>
        <w:rPr>
          <w:rFonts w:ascii="Arial" w:hAnsi="Arial" w:cs="Arial"/>
          <w:b/>
          <w:bCs/>
          <w:lang w:val="en-GB"/>
        </w:rPr>
      </w:pPr>
    </w:p>
    <w:p w14:paraId="0B93821D" w14:textId="0558AC90" w:rsidR="004D0063" w:rsidRPr="004D0063" w:rsidRDefault="004D0063" w:rsidP="004D0063">
      <w:pPr>
        <w:spacing w:line="240" w:lineRule="auto"/>
        <w:jc w:val="both"/>
        <w:rPr>
          <w:rFonts w:ascii="Arial" w:hAnsi="Arial" w:cs="Arial"/>
          <w:lang w:val="en-GB"/>
        </w:rPr>
      </w:pPr>
      <w:r w:rsidRPr="004D0063">
        <w:rPr>
          <w:rFonts w:ascii="Arial" w:hAnsi="Arial" w:cs="Arial"/>
          <w:lang w:val="en-GB"/>
        </w:rPr>
        <w:lastRenderedPageBreak/>
        <w:t>The impact of disease on QoL from patient’s view was done by evaluation of the change of QoL score from baseline to EOT. The mean QoL score dropped from 7.72 at baseline to 1.20 at EOT in the Tavipec group and from 7.60 at baseline to 3.14 at EOT in the Placebo group, corresponding to an improvement by 6.52 and 4.46 score points, respectively</w:t>
      </w:r>
      <w:r w:rsidR="00AD2706">
        <w:rPr>
          <w:rFonts w:ascii="Arial" w:hAnsi="Arial" w:cs="Arial"/>
          <w:lang w:val="en-GB"/>
        </w:rPr>
        <w:t xml:space="preserve"> (</w:t>
      </w:r>
      <w:r w:rsidR="00AD2706" w:rsidRPr="00AD2706">
        <w:rPr>
          <w:rFonts w:ascii="Arial" w:hAnsi="Arial" w:cs="Arial"/>
          <w:i/>
          <w:iCs/>
          <w:lang w:val="en-GB"/>
        </w:rPr>
        <w:t>Table 06</w:t>
      </w:r>
      <w:r w:rsidR="00AD2706">
        <w:rPr>
          <w:rFonts w:ascii="Arial" w:hAnsi="Arial" w:cs="Arial"/>
          <w:lang w:val="en-GB"/>
        </w:rPr>
        <w:t>).</w:t>
      </w:r>
    </w:p>
    <w:p w14:paraId="7326F939" w14:textId="5B06EA3E" w:rsidR="009558F5" w:rsidRDefault="009558F5" w:rsidP="008C5463">
      <w:pPr>
        <w:spacing w:line="240" w:lineRule="auto"/>
        <w:rPr>
          <w:rFonts w:ascii="Arial" w:hAnsi="Arial" w:cs="Arial"/>
          <w:b/>
          <w:bCs/>
          <w:lang w:val="en-GB"/>
        </w:rPr>
      </w:pPr>
      <w:r w:rsidRPr="009558F5">
        <w:rPr>
          <w:rFonts w:ascii="Arial" w:hAnsi="Arial" w:cs="Arial"/>
          <w:b/>
          <w:bCs/>
          <w:lang w:val="en-GB"/>
        </w:rPr>
        <w:t xml:space="preserve">Table 06: QoL-score at baseline and day 10, ITT </w:t>
      </w:r>
    </w:p>
    <w:p w14:paraId="5BEFE448" w14:textId="1520B52B" w:rsidR="004D0063" w:rsidRDefault="004D0063" w:rsidP="008C5463">
      <w:pPr>
        <w:spacing w:line="240" w:lineRule="auto"/>
        <w:rPr>
          <w:rFonts w:ascii="Arial" w:hAnsi="Arial" w:cs="Arial"/>
          <w:b/>
          <w:bCs/>
          <w:lang w:val="en-GB"/>
        </w:rPr>
      </w:pPr>
      <w:r>
        <w:rPr>
          <w:noProof/>
        </w:rPr>
        <w:drawing>
          <wp:inline distT="0" distB="0" distL="0" distR="0" wp14:anchorId="232EBDF3" wp14:editId="2A5B8C43">
            <wp:extent cx="3781425" cy="576884"/>
            <wp:effectExtent l="0" t="0" r="0" b="0"/>
            <wp:docPr id="2" name="Grafik 2"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isch enthält.&#10;&#10;Automatisch generierte Beschreibung"/>
                    <pic:cNvPicPr/>
                  </pic:nvPicPr>
                  <pic:blipFill>
                    <a:blip r:embed="rId14"/>
                    <a:stretch>
                      <a:fillRect/>
                    </a:stretch>
                  </pic:blipFill>
                  <pic:spPr>
                    <a:xfrm>
                      <a:off x="0" y="0"/>
                      <a:ext cx="3837230" cy="585397"/>
                    </a:xfrm>
                    <a:prstGeom prst="rect">
                      <a:avLst/>
                    </a:prstGeom>
                  </pic:spPr>
                </pic:pic>
              </a:graphicData>
            </a:graphic>
          </wp:inline>
        </w:drawing>
      </w:r>
    </w:p>
    <w:p w14:paraId="22D2E965" w14:textId="7C7B113F" w:rsidR="004D0063" w:rsidRPr="009558F5" w:rsidRDefault="004D0063" w:rsidP="008C5463">
      <w:pPr>
        <w:spacing w:line="240" w:lineRule="auto"/>
        <w:rPr>
          <w:rFonts w:ascii="Arial" w:hAnsi="Arial" w:cs="Arial"/>
          <w:b/>
          <w:bCs/>
          <w:lang w:val="en-GB"/>
        </w:rPr>
      </w:pPr>
      <w:r>
        <w:rPr>
          <w:noProof/>
        </w:rPr>
        <w:drawing>
          <wp:inline distT="0" distB="0" distL="0" distR="0" wp14:anchorId="1851ABCE" wp14:editId="10B33946">
            <wp:extent cx="3762375" cy="899536"/>
            <wp:effectExtent l="0" t="0" r="0" b="0"/>
            <wp:docPr id="3" name="Grafik 3"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isch enthält.&#10;&#10;Automatisch generierte Beschreibung"/>
                    <pic:cNvPicPr/>
                  </pic:nvPicPr>
                  <pic:blipFill>
                    <a:blip r:embed="rId15"/>
                    <a:stretch>
                      <a:fillRect/>
                    </a:stretch>
                  </pic:blipFill>
                  <pic:spPr>
                    <a:xfrm>
                      <a:off x="0" y="0"/>
                      <a:ext cx="3790657" cy="906298"/>
                    </a:xfrm>
                    <a:prstGeom prst="rect">
                      <a:avLst/>
                    </a:prstGeom>
                  </pic:spPr>
                </pic:pic>
              </a:graphicData>
            </a:graphic>
          </wp:inline>
        </w:drawing>
      </w:r>
    </w:p>
    <w:p w14:paraId="31F100D6" w14:textId="77777777" w:rsidR="00F4693B" w:rsidRDefault="00F4693B" w:rsidP="008C5463">
      <w:pPr>
        <w:spacing w:line="240" w:lineRule="auto"/>
        <w:rPr>
          <w:rFonts w:ascii="Arial" w:hAnsi="Arial" w:cs="Arial"/>
          <w:b/>
          <w:bCs/>
          <w:lang w:val="en-GB"/>
        </w:rPr>
      </w:pPr>
    </w:p>
    <w:p w14:paraId="33270D20" w14:textId="04834281" w:rsidR="001B036B" w:rsidRPr="001B036B" w:rsidRDefault="001B036B" w:rsidP="008C5463">
      <w:pPr>
        <w:spacing w:line="240" w:lineRule="auto"/>
        <w:rPr>
          <w:rFonts w:ascii="Arial" w:hAnsi="Arial" w:cs="Arial"/>
          <w:lang w:val="en-GB"/>
        </w:rPr>
      </w:pPr>
      <w:r w:rsidRPr="00B20A65">
        <w:rPr>
          <w:rFonts w:ascii="Arial" w:hAnsi="Arial" w:cs="Arial"/>
          <w:lang w:val="en-GB"/>
        </w:rPr>
        <w:t>At the end of therapy</w:t>
      </w:r>
      <w:r>
        <w:rPr>
          <w:rFonts w:ascii="Arial" w:hAnsi="Arial" w:cs="Arial"/>
          <w:lang w:val="en-GB"/>
        </w:rPr>
        <w:t xml:space="preserve"> (day 10)</w:t>
      </w:r>
      <w:r w:rsidRPr="00B20A65">
        <w:rPr>
          <w:rFonts w:ascii="Arial" w:hAnsi="Arial" w:cs="Arial"/>
          <w:lang w:val="en-GB"/>
        </w:rPr>
        <w:t>, 94.1 % of evaluable Tavipec-treated patients in contrast to only 51.8 % of patients in the Placebo group reported to be mildly impacted</w:t>
      </w:r>
      <w:r w:rsidR="00AD2706">
        <w:rPr>
          <w:rFonts w:ascii="Arial" w:hAnsi="Arial" w:cs="Arial"/>
          <w:lang w:val="en-GB"/>
        </w:rPr>
        <w:t>. On the other hand, only 4.0 % of the Tavipec group reported a moderate impact, whereas 46.4 % of the Placebo group was moderate</w:t>
      </w:r>
      <w:r w:rsidR="00374AB0">
        <w:rPr>
          <w:rFonts w:ascii="Arial" w:hAnsi="Arial" w:cs="Arial"/>
          <w:lang w:val="en-GB"/>
        </w:rPr>
        <w:t>ly</w:t>
      </w:r>
      <w:r w:rsidR="00AD2706">
        <w:rPr>
          <w:rFonts w:ascii="Arial" w:hAnsi="Arial" w:cs="Arial"/>
          <w:lang w:val="en-GB"/>
        </w:rPr>
        <w:t xml:space="preserve"> impacted by the disease at day 10 </w:t>
      </w:r>
      <w:r>
        <w:rPr>
          <w:rFonts w:ascii="Arial" w:hAnsi="Arial" w:cs="Arial"/>
          <w:lang w:val="en-GB"/>
        </w:rPr>
        <w:t>(</w:t>
      </w:r>
      <w:r w:rsidRPr="00AD2706">
        <w:rPr>
          <w:rFonts w:ascii="Arial" w:hAnsi="Arial" w:cs="Arial"/>
          <w:i/>
          <w:iCs/>
          <w:lang w:val="en-GB"/>
        </w:rPr>
        <w:t>Table 07</w:t>
      </w:r>
      <w:r>
        <w:rPr>
          <w:rFonts w:ascii="Arial" w:hAnsi="Arial" w:cs="Arial"/>
          <w:lang w:val="en-GB"/>
        </w:rPr>
        <w:t>).</w:t>
      </w:r>
    </w:p>
    <w:p w14:paraId="4E444982" w14:textId="10E7D6DA" w:rsidR="00900314" w:rsidRDefault="001A72B0" w:rsidP="008C5463">
      <w:pPr>
        <w:spacing w:line="240" w:lineRule="auto"/>
        <w:rPr>
          <w:rFonts w:ascii="Arial" w:hAnsi="Arial" w:cs="Arial"/>
          <w:b/>
          <w:bCs/>
          <w:lang w:val="en-GB"/>
        </w:rPr>
      </w:pPr>
      <w:r>
        <w:rPr>
          <w:rFonts w:ascii="Arial" w:hAnsi="Arial" w:cs="Arial"/>
          <w:b/>
          <w:bCs/>
          <w:lang w:val="en-GB"/>
        </w:rPr>
        <w:t>Table 07: Impact of disease on QoL at day 10, ITT</w:t>
      </w:r>
    </w:p>
    <w:p w14:paraId="37E17434" w14:textId="4A78A4AD" w:rsidR="00900314" w:rsidRDefault="001A72B0" w:rsidP="008C5463">
      <w:pPr>
        <w:spacing w:line="240" w:lineRule="auto"/>
        <w:rPr>
          <w:rFonts w:ascii="Arial" w:hAnsi="Arial" w:cs="Arial"/>
          <w:b/>
          <w:bCs/>
          <w:lang w:val="en-GB"/>
        </w:rPr>
      </w:pPr>
      <w:r>
        <w:rPr>
          <w:noProof/>
        </w:rPr>
        <w:drawing>
          <wp:inline distT="0" distB="0" distL="0" distR="0" wp14:anchorId="09F71D2A" wp14:editId="4CCCCAA1">
            <wp:extent cx="3886200" cy="1458610"/>
            <wp:effectExtent l="0" t="0" r="0" b="8255"/>
            <wp:docPr id="224" name="Grafik 224"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Grafik 224" descr="Ein Bild, das Tisch enthält.&#10;&#10;Automatisch generierte Beschreibung"/>
                    <pic:cNvPicPr/>
                  </pic:nvPicPr>
                  <pic:blipFill>
                    <a:blip r:embed="rId16"/>
                    <a:stretch>
                      <a:fillRect/>
                    </a:stretch>
                  </pic:blipFill>
                  <pic:spPr>
                    <a:xfrm>
                      <a:off x="0" y="0"/>
                      <a:ext cx="3912897" cy="1468630"/>
                    </a:xfrm>
                    <a:prstGeom prst="rect">
                      <a:avLst/>
                    </a:prstGeom>
                  </pic:spPr>
                </pic:pic>
              </a:graphicData>
            </a:graphic>
          </wp:inline>
        </w:drawing>
      </w:r>
    </w:p>
    <w:p w14:paraId="5F34A679" w14:textId="01E355DD" w:rsidR="00251B05" w:rsidRDefault="00B65D04" w:rsidP="008C5463">
      <w:pPr>
        <w:spacing w:line="240" w:lineRule="auto"/>
        <w:rPr>
          <w:rFonts w:ascii="Arial" w:hAnsi="Arial" w:cs="Arial"/>
          <w:b/>
          <w:bCs/>
          <w:lang w:val="en-GB"/>
        </w:rPr>
      </w:pPr>
      <w:r>
        <w:rPr>
          <w:rFonts w:ascii="Arial" w:hAnsi="Arial" w:cs="Arial"/>
          <w:b/>
          <w:bCs/>
          <w:lang w:val="en-GB"/>
        </w:rPr>
        <w:br w:type="page"/>
      </w:r>
    </w:p>
    <w:p w14:paraId="07EF2173" w14:textId="09F9BA7E" w:rsidR="00374AB0" w:rsidRDefault="00374AB0" w:rsidP="008C5463">
      <w:pPr>
        <w:spacing w:line="240" w:lineRule="auto"/>
        <w:rPr>
          <w:rFonts w:ascii="Arial" w:hAnsi="Arial" w:cs="Arial"/>
          <w:b/>
          <w:bCs/>
          <w:lang w:val="en-GB"/>
        </w:rPr>
      </w:pPr>
      <w:r>
        <w:rPr>
          <w:rFonts w:ascii="Arial" w:hAnsi="Arial" w:cs="Arial"/>
          <w:b/>
          <w:bCs/>
          <w:lang w:val="en-GB"/>
        </w:rPr>
        <w:lastRenderedPageBreak/>
        <w:t>Table 08: Mean QoL score from baseline to EOT, change from baseline, ITT</w:t>
      </w:r>
    </w:p>
    <w:p w14:paraId="48DF38F7" w14:textId="1684D7B7" w:rsidR="00374AB0" w:rsidRDefault="00374AB0" w:rsidP="008C5463">
      <w:pPr>
        <w:spacing w:line="240" w:lineRule="auto"/>
        <w:rPr>
          <w:rFonts w:ascii="Arial" w:hAnsi="Arial" w:cs="Arial"/>
          <w:b/>
          <w:bCs/>
          <w:lang w:val="en-GB"/>
        </w:rPr>
      </w:pPr>
      <w:r>
        <w:rPr>
          <w:noProof/>
        </w:rPr>
        <w:drawing>
          <wp:inline distT="0" distB="0" distL="0" distR="0" wp14:anchorId="0119ED60" wp14:editId="7D23D03F">
            <wp:extent cx="4238625" cy="1136280"/>
            <wp:effectExtent l="0" t="0" r="0" b="6985"/>
            <wp:docPr id="25" name="Grafik 25"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descr="Ein Bild, das Tisch enthält.&#10;&#10;Automatisch generierte Beschreibung"/>
                    <pic:cNvPicPr/>
                  </pic:nvPicPr>
                  <pic:blipFill>
                    <a:blip r:embed="rId17"/>
                    <a:stretch>
                      <a:fillRect/>
                    </a:stretch>
                  </pic:blipFill>
                  <pic:spPr>
                    <a:xfrm>
                      <a:off x="0" y="0"/>
                      <a:ext cx="4293969" cy="1151116"/>
                    </a:xfrm>
                    <a:prstGeom prst="rect">
                      <a:avLst/>
                    </a:prstGeom>
                  </pic:spPr>
                </pic:pic>
              </a:graphicData>
            </a:graphic>
          </wp:inline>
        </w:drawing>
      </w:r>
    </w:p>
    <w:p w14:paraId="015443A7" w14:textId="77777777" w:rsidR="00B65D04" w:rsidRDefault="00B65D04" w:rsidP="008C5463">
      <w:pPr>
        <w:spacing w:line="240" w:lineRule="auto"/>
        <w:rPr>
          <w:rFonts w:ascii="Arial" w:hAnsi="Arial" w:cs="Arial"/>
          <w:b/>
          <w:bCs/>
          <w:lang w:val="en-GB"/>
        </w:rPr>
      </w:pPr>
    </w:p>
    <w:p w14:paraId="3357A76C" w14:textId="71E3D39F" w:rsidR="00B65D04" w:rsidRDefault="00B65D04" w:rsidP="008C5463">
      <w:pPr>
        <w:spacing w:line="240" w:lineRule="auto"/>
        <w:rPr>
          <w:rFonts w:ascii="Arial" w:hAnsi="Arial" w:cs="Arial"/>
          <w:b/>
          <w:bCs/>
          <w:lang w:val="en-GB"/>
        </w:rPr>
      </w:pPr>
      <w:r>
        <w:rPr>
          <w:rFonts w:ascii="Arial" w:hAnsi="Arial" w:cs="Arial"/>
          <w:b/>
          <w:bCs/>
          <w:lang w:val="en-GB"/>
        </w:rPr>
        <w:t>Table09: QoL score – mean change (improvement from baseline) at day 7 and day 10, ITT</w:t>
      </w:r>
    </w:p>
    <w:p w14:paraId="0441B273" w14:textId="18B40BAD" w:rsidR="00B65D04" w:rsidRDefault="00B65D04" w:rsidP="008C5463">
      <w:pPr>
        <w:spacing w:line="240" w:lineRule="auto"/>
        <w:rPr>
          <w:rFonts w:ascii="Arial" w:hAnsi="Arial" w:cs="Arial"/>
          <w:b/>
          <w:bCs/>
          <w:lang w:val="en-GB"/>
        </w:rPr>
      </w:pPr>
      <w:r>
        <w:rPr>
          <w:noProof/>
        </w:rPr>
        <w:drawing>
          <wp:inline distT="0" distB="0" distL="0" distR="0" wp14:anchorId="556D2558" wp14:editId="1A8C9DF9">
            <wp:extent cx="4248150" cy="866769"/>
            <wp:effectExtent l="0" t="0" r="0" b="0"/>
            <wp:docPr id="5" name="Grafik 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Text enthält.&#10;&#10;Automatisch generierte Beschreibung"/>
                    <pic:cNvPicPr/>
                  </pic:nvPicPr>
                  <pic:blipFill>
                    <a:blip r:embed="rId18"/>
                    <a:stretch>
                      <a:fillRect/>
                    </a:stretch>
                  </pic:blipFill>
                  <pic:spPr>
                    <a:xfrm>
                      <a:off x="0" y="0"/>
                      <a:ext cx="4290983" cy="875508"/>
                    </a:xfrm>
                    <a:prstGeom prst="rect">
                      <a:avLst/>
                    </a:prstGeom>
                  </pic:spPr>
                </pic:pic>
              </a:graphicData>
            </a:graphic>
          </wp:inline>
        </w:drawing>
      </w:r>
    </w:p>
    <w:p w14:paraId="4E30B38E" w14:textId="77777777" w:rsidR="00B65D04" w:rsidRDefault="00B65D04" w:rsidP="008C5463">
      <w:pPr>
        <w:spacing w:line="240" w:lineRule="auto"/>
        <w:rPr>
          <w:rFonts w:ascii="Arial" w:hAnsi="Arial" w:cs="Arial"/>
          <w:b/>
          <w:bCs/>
          <w:lang w:val="en-GB"/>
        </w:rPr>
      </w:pPr>
    </w:p>
    <w:p w14:paraId="09A7ACC4" w14:textId="0F014873" w:rsidR="001B036B" w:rsidRDefault="00374AB0" w:rsidP="00374AB0">
      <w:pPr>
        <w:tabs>
          <w:tab w:val="left" w:pos="910"/>
        </w:tabs>
        <w:spacing w:line="240" w:lineRule="auto"/>
        <w:jc w:val="both"/>
        <w:rPr>
          <w:rFonts w:ascii="Arial" w:hAnsi="Arial" w:cs="Arial"/>
          <w:lang w:val="en-GB"/>
        </w:rPr>
      </w:pPr>
      <w:r>
        <w:rPr>
          <w:rFonts w:ascii="Arial" w:hAnsi="Arial" w:cs="Arial"/>
          <w:lang w:val="en-GB"/>
        </w:rPr>
        <w:t>The</w:t>
      </w:r>
      <w:r w:rsidR="001B036B">
        <w:rPr>
          <w:rFonts w:ascii="Arial" w:hAnsi="Arial" w:cs="Arial"/>
          <w:lang w:val="en-GB"/>
        </w:rPr>
        <w:t xml:space="preserve"> proportion of patients reporting only a mild impact of disease on quality of life at baseline, day 7, and day 10 was 0.8 %. 62.4 %, and 94.1 %, respectively in the Tavipec group and 0 %, 28.3 % and 51.8 %, respectively in the Placebo group. This indicates a clear advantage of Tavipec over Placebo is seen</w:t>
      </w:r>
      <w:r w:rsidR="006209AC">
        <w:rPr>
          <w:rFonts w:ascii="Arial" w:hAnsi="Arial" w:cs="Arial"/>
          <w:lang w:val="en-GB"/>
        </w:rPr>
        <w:t xml:space="preserve"> (</w:t>
      </w:r>
      <w:r w:rsidR="006209AC" w:rsidRPr="006209AC">
        <w:rPr>
          <w:rFonts w:ascii="Arial" w:hAnsi="Arial" w:cs="Arial"/>
          <w:i/>
          <w:iCs/>
          <w:lang w:val="en-GB"/>
        </w:rPr>
        <w:t xml:space="preserve">Table </w:t>
      </w:r>
      <w:r w:rsidR="00B65D04">
        <w:rPr>
          <w:rFonts w:ascii="Arial" w:hAnsi="Arial" w:cs="Arial"/>
          <w:i/>
          <w:iCs/>
          <w:lang w:val="en-GB"/>
        </w:rPr>
        <w:t>10</w:t>
      </w:r>
      <w:r w:rsidR="006209AC">
        <w:rPr>
          <w:rFonts w:ascii="Arial" w:hAnsi="Arial" w:cs="Arial"/>
          <w:lang w:val="en-GB"/>
        </w:rPr>
        <w:t>).</w:t>
      </w:r>
    </w:p>
    <w:p w14:paraId="006A2DF6" w14:textId="72B14A85" w:rsidR="00251B05" w:rsidRPr="00251B05" w:rsidRDefault="00251B05" w:rsidP="00251B05">
      <w:pPr>
        <w:spacing w:line="240" w:lineRule="auto"/>
        <w:rPr>
          <w:rFonts w:ascii="Arial" w:hAnsi="Arial" w:cs="Arial"/>
          <w:b/>
          <w:bCs/>
          <w:lang w:val="en-GB"/>
        </w:rPr>
      </w:pPr>
      <w:r>
        <w:rPr>
          <w:rFonts w:ascii="Arial" w:hAnsi="Arial" w:cs="Arial"/>
          <w:b/>
          <w:bCs/>
          <w:lang w:val="en-GB"/>
        </w:rPr>
        <w:t xml:space="preserve">Table </w:t>
      </w:r>
      <w:r w:rsidR="00B65D04">
        <w:rPr>
          <w:rFonts w:ascii="Arial" w:hAnsi="Arial" w:cs="Arial"/>
          <w:b/>
          <w:bCs/>
          <w:lang w:val="en-GB"/>
        </w:rPr>
        <w:t>10</w:t>
      </w:r>
      <w:r>
        <w:rPr>
          <w:rFonts w:ascii="Arial" w:hAnsi="Arial" w:cs="Arial"/>
          <w:b/>
          <w:bCs/>
          <w:lang w:val="en-GB"/>
        </w:rPr>
        <w:t xml:space="preserve">: </w:t>
      </w:r>
      <w:r>
        <w:rPr>
          <w:rFonts w:ascii="Arial" w:hAnsi="Arial" w:cs="Arial"/>
          <w:b/>
          <w:bCs/>
          <w:lang w:val="en-GB"/>
        </w:rPr>
        <w:t>Impact of disease on QoL from baseline to EOT, ITT, % mild, moderate, severe</w:t>
      </w:r>
    </w:p>
    <w:p w14:paraId="4518D43A" w14:textId="0CE8A9D5" w:rsidR="00251B05" w:rsidRDefault="00251B05" w:rsidP="00374AB0">
      <w:pPr>
        <w:tabs>
          <w:tab w:val="left" w:pos="910"/>
        </w:tabs>
        <w:spacing w:line="240" w:lineRule="auto"/>
        <w:jc w:val="both"/>
        <w:rPr>
          <w:rFonts w:ascii="Arial" w:hAnsi="Arial" w:cs="Arial"/>
          <w:b/>
          <w:bCs/>
          <w:lang w:val="en-GB"/>
        </w:rPr>
      </w:pPr>
      <w:r>
        <w:rPr>
          <w:noProof/>
        </w:rPr>
        <w:drawing>
          <wp:inline distT="0" distB="0" distL="0" distR="0" wp14:anchorId="54C7FC83" wp14:editId="3B767D21">
            <wp:extent cx="5760720" cy="1254760"/>
            <wp:effectExtent l="0" t="0" r="0" b="2540"/>
            <wp:docPr id="4" name="Grafik 4"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isch enthält.&#10;&#10;Automatisch generierte Beschreibung"/>
                    <pic:cNvPicPr/>
                  </pic:nvPicPr>
                  <pic:blipFill>
                    <a:blip r:embed="rId19"/>
                    <a:stretch>
                      <a:fillRect/>
                    </a:stretch>
                  </pic:blipFill>
                  <pic:spPr>
                    <a:xfrm>
                      <a:off x="0" y="0"/>
                      <a:ext cx="5760720" cy="1254760"/>
                    </a:xfrm>
                    <a:prstGeom prst="rect">
                      <a:avLst/>
                    </a:prstGeom>
                  </pic:spPr>
                </pic:pic>
              </a:graphicData>
            </a:graphic>
          </wp:inline>
        </w:drawing>
      </w:r>
    </w:p>
    <w:p w14:paraId="65A6387A" w14:textId="40B4E39E" w:rsidR="008E23E5" w:rsidRPr="00C707F7" w:rsidRDefault="008E23E5" w:rsidP="008C5463">
      <w:pPr>
        <w:spacing w:line="240" w:lineRule="auto"/>
        <w:rPr>
          <w:rFonts w:ascii="Arial" w:hAnsi="Arial" w:cs="Arial"/>
          <w:b/>
          <w:bCs/>
          <w:lang w:val="en-GB"/>
        </w:rPr>
      </w:pPr>
    </w:p>
    <w:sectPr w:rsidR="008E23E5" w:rsidRPr="00C707F7">
      <w:footerReference w:type="defaul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59F89" w14:textId="77777777" w:rsidR="008C5463" w:rsidRDefault="008C5463" w:rsidP="008C5463">
      <w:pPr>
        <w:spacing w:after="0" w:line="240" w:lineRule="auto"/>
      </w:pPr>
      <w:r>
        <w:separator/>
      </w:r>
    </w:p>
  </w:endnote>
  <w:endnote w:type="continuationSeparator" w:id="0">
    <w:p w14:paraId="211C8C2E" w14:textId="77777777" w:rsidR="008C5463" w:rsidRDefault="008C5463" w:rsidP="008C5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276434"/>
      <w:docPartObj>
        <w:docPartGallery w:val="Page Numbers (Bottom of Page)"/>
        <w:docPartUnique/>
      </w:docPartObj>
    </w:sdtPr>
    <w:sdtEndPr/>
    <w:sdtContent>
      <w:sdt>
        <w:sdtPr>
          <w:id w:val="-1769616900"/>
          <w:docPartObj>
            <w:docPartGallery w:val="Page Numbers (Top of Page)"/>
            <w:docPartUnique/>
          </w:docPartObj>
        </w:sdtPr>
        <w:sdtEndPr/>
        <w:sdtContent>
          <w:p w14:paraId="3195E8C1" w14:textId="5DCBAF9D" w:rsidR="008C5463" w:rsidRDefault="008C5463">
            <w:pPr>
              <w:pStyle w:val="Fuzeile"/>
              <w:jc w:val="right"/>
            </w:pPr>
            <w:r>
              <w:rPr>
                <w:lang w:val="de-DE"/>
              </w:rPr>
              <w:t xml:space="preserve">Page </w:t>
            </w:r>
            <w:r>
              <w:rPr>
                <w:b/>
                <w:bCs/>
                <w:sz w:val="24"/>
                <w:szCs w:val="24"/>
              </w:rPr>
              <w:fldChar w:fldCharType="begin"/>
            </w:r>
            <w:r>
              <w:rPr>
                <w:b/>
                <w:bCs/>
              </w:rPr>
              <w:instrText>PAGE</w:instrText>
            </w:r>
            <w:r>
              <w:rPr>
                <w:b/>
                <w:bCs/>
                <w:sz w:val="24"/>
                <w:szCs w:val="24"/>
              </w:rPr>
              <w:fldChar w:fldCharType="separate"/>
            </w:r>
            <w:r>
              <w:rPr>
                <w:b/>
                <w:bCs/>
                <w:lang w:val="de-DE"/>
              </w:rPr>
              <w:t>2</w:t>
            </w:r>
            <w:r>
              <w:rPr>
                <w:b/>
                <w:bCs/>
                <w:sz w:val="24"/>
                <w:szCs w:val="24"/>
              </w:rPr>
              <w:fldChar w:fldCharType="end"/>
            </w:r>
            <w:r>
              <w:rPr>
                <w:lang w:val="de-DE"/>
              </w:rPr>
              <w:t xml:space="preserve"> </w:t>
            </w:r>
            <w:proofErr w:type="spellStart"/>
            <w:r>
              <w:rPr>
                <w:lang w:val="de-DE"/>
              </w:rPr>
              <w:t>of</w:t>
            </w:r>
            <w:proofErr w:type="spellEnd"/>
            <w:r>
              <w:rPr>
                <w:lang w:val="de-DE"/>
              </w:rPr>
              <w:t xml:space="preserve"> </w:t>
            </w:r>
            <w:r>
              <w:rPr>
                <w:b/>
                <w:bCs/>
                <w:sz w:val="24"/>
                <w:szCs w:val="24"/>
              </w:rPr>
              <w:fldChar w:fldCharType="begin"/>
            </w:r>
            <w:r>
              <w:rPr>
                <w:b/>
                <w:bCs/>
              </w:rPr>
              <w:instrText>NUMPAGES</w:instrText>
            </w:r>
            <w:r>
              <w:rPr>
                <w:b/>
                <w:bCs/>
                <w:sz w:val="24"/>
                <w:szCs w:val="24"/>
              </w:rPr>
              <w:fldChar w:fldCharType="separate"/>
            </w:r>
            <w:r>
              <w:rPr>
                <w:b/>
                <w:bCs/>
                <w:lang w:val="de-DE"/>
              </w:rPr>
              <w:t>2</w:t>
            </w:r>
            <w:r>
              <w:rPr>
                <w:b/>
                <w:bCs/>
                <w:sz w:val="24"/>
                <w:szCs w:val="24"/>
              </w:rPr>
              <w:fldChar w:fldCharType="end"/>
            </w:r>
          </w:p>
        </w:sdtContent>
      </w:sdt>
    </w:sdtContent>
  </w:sdt>
  <w:p w14:paraId="231E7398" w14:textId="77777777" w:rsidR="008C5463" w:rsidRDefault="008C54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0DB08" w14:textId="77777777" w:rsidR="008C5463" w:rsidRDefault="008C5463" w:rsidP="008C5463">
      <w:pPr>
        <w:spacing w:after="0" w:line="240" w:lineRule="auto"/>
      </w:pPr>
      <w:r>
        <w:separator/>
      </w:r>
    </w:p>
  </w:footnote>
  <w:footnote w:type="continuationSeparator" w:id="0">
    <w:p w14:paraId="255BAFC0" w14:textId="77777777" w:rsidR="008C5463" w:rsidRDefault="008C5463" w:rsidP="008C5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1BA0"/>
    <w:multiLevelType w:val="hybridMultilevel"/>
    <w:tmpl w:val="015455FE"/>
    <w:lvl w:ilvl="0" w:tplc="F56239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976AB"/>
    <w:multiLevelType w:val="multilevel"/>
    <w:tmpl w:val="A5CE7508"/>
    <w:lvl w:ilvl="0">
      <w:start w:val="1"/>
      <w:numFmt w:val="decimal"/>
      <w:lvlText w:val="%1"/>
      <w:lvlJc w:val="left"/>
      <w:pPr>
        <w:ind w:left="375" w:hanging="37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4A501F14"/>
    <w:multiLevelType w:val="hybridMultilevel"/>
    <w:tmpl w:val="5AD29D7E"/>
    <w:lvl w:ilvl="0" w:tplc="F562397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D74A7C"/>
    <w:multiLevelType w:val="multilevel"/>
    <w:tmpl w:val="A5CE7508"/>
    <w:lvl w:ilvl="0">
      <w:start w:val="1"/>
      <w:numFmt w:val="decimal"/>
      <w:lvlText w:val="%1"/>
      <w:lvlJc w:val="left"/>
      <w:pPr>
        <w:ind w:left="375" w:hanging="37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67531E45"/>
    <w:multiLevelType w:val="hybridMultilevel"/>
    <w:tmpl w:val="F7DC3752"/>
    <w:lvl w:ilvl="0" w:tplc="F56239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9558EE"/>
    <w:multiLevelType w:val="hybridMultilevel"/>
    <w:tmpl w:val="F2C03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3647199">
    <w:abstractNumId w:val="0"/>
  </w:num>
  <w:num w:numId="2" w16cid:durableId="1944417172">
    <w:abstractNumId w:val="2"/>
  </w:num>
  <w:num w:numId="3" w16cid:durableId="139880891">
    <w:abstractNumId w:val="1"/>
  </w:num>
  <w:num w:numId="4" w16cid:durableId="732436088">
    <w:abstractNumId w:val="3"/>
  </w:num>
  <w:num w:numId="5" w16cid:durableId="1981617849">
    <w:abstractNumId w:val="4"/>
  </w:num>
  <w:num w:numId="6" w16cid:durableId="20703802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D09"/>
    <w:rsid w:val="00086C63"/>
    <w:rsid w:val="000A354E"/>
    <w:rsid w:val="00143A20"/>
    <w:rsid w:val="0019675B"/>
    <w:rsid w:val="001A1C06"/>
    <w:rsid w:val="001A72B0"/>
    <w:rsid w:val="001B036B"/>
    <w:rsid w:val="00251B05"/>
    <w:rsid w:val="00264A1E"/>
    <w:rsid w:val="00266D09"/>
    <w:rsid w:val="002E2ABE"/>
    <w:rsid w:val="00300034"/>
    <w:rsid w:val="00374AB0"/>
    <w:rsid w:val="003A137E"/>
    <w:rsid w:val="00410D59"/>
    <w:rsid w:val="00495ABC"/>
    <w:rsid w:val="004D0063"/>
    <w:rsid w:val="004D7639"/>
    <w:rsid w:val="00506A09"/>
    <w:rsid w:val="0054305F"/>
    <w:rsid w:val="005566AF"/>
    <w:rsid w:val="005C24C1"/>
    <w:rsid w:val="006017B2"/>
    <w:rsid w:val="006209AC"/>
    <w:rsid w:val="00683F06"/>
    <w:rsid w:val="006D3E23"/>
    <w:rsid w:val="006D4474"/>
    <w:rsid w:val="006E0B7F"/>
    <w:rsid w:val="00731E22"/>
    <w:rsid w:val="007B271E"/>
    <w:rsid w:val="007F2044"/>
    <w:rsid w:val="008C5463"/>
    <w:rsid w:val="008D6D89"/>
    <w:rsid w:val="008E23E5"/>
    <w:rsid w:val="00900314"/>
    <w:rsid w:val="009558F5"/>
    <w:rsid w:val="00AC35EB"/>
    <w:rsid w:val="00AD2706"/>
    <w:rsid w:val="00AD43BB"/>
    <w:rsid w:val="00AE1A56"/>
    <w:rsid w:val="00B20A65"/>
    <w:rsid w:val="00B65D04"/>
    <w:rsid w:val="00B71CFA"/>
    <w:rsid w:val="00B83AE2"/>
    <w:rsid w:val="00BD3CE4"/>
    <w:rsid w:val="00C23A00"/>
    <w:rsid w:val="00C707F7"/>
    <w:rsid w:val="00CB3F7E"/>
    <w:rsid w:val="00CD2773"/>
    <w:rsid w:val="00CE1CE6"/>
    <w:rsid w:val="00D23D92"/>
    <w:rsid w:val="00D93D3E"/>
    <w:rsid w:val="00E22B9F"/>
    <w:rsid w:val="00E670E0"/>
    <w:rsid w:val="00F00F4D"/>
    <w:rsid w:val="00F26BCA"/>
    <w:rsid w:val="00F4693B"/>
    <w:rsid w:val="00F6734C"/>
    <w:rsid w:val="00F7508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EA62"/>
  <w15:chartTrackingRefBased/>
  <w15:docId w15:val="{65DEDC1E-E9D2-40F6-85F8-5D90424A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A137E"/>
    <w:pPr>
      <w:ind w:left="720"/>
      <w:contextualSpacing/>
    </w:pPr>
  </w:style>
  <w:style w:type="paragraph" w:styleId="Titel">
    <w:name w:val="Title"/>
    <w:basedOn w:val="Standard"/>
    <w:next w:val="Standard"/>
    <w:link w:val="TitelZchn"/>
    <w:uiPriority w:val="10"/>
    <w:qFormat/>
    <w:rsid w:val="003A137E"/>
    <w:pPr>
      <w:spacing w:after="0" w:line="240" w:lineRule="auto"/>
      <w:contextualSpacing/>
    </w:pPr>
    <w:rPr>
      <w:rFonts w:ascii="Arial" w:eastAsiaTheme="majorEastAsia" w:hAnsi="Arial" w:cstheme="majorBidi"/>
      <w:spacing w:val="-10"/>
      <w:kern w:val="28"/>
      <w:sz w:val="24"/>
      <w:szCs w:val="56"/>
    </w:rPr>
  </w:style>
  <w:style w:type="character" w:customStyle="1" w:styleId="TitelZchn">
    <w:name w:val="Titel Zchn"/>
    <w:basedOn w:val="Absatz-Standardschriftart"/>
    <w:link w:val="Titel"/>
    <w:uiPriority w:val="10"/>
    <w:rsid w:val="003A137E"/>
    <w:rPr>
      <w:rFonts w:ascii="Arial" w:eastAsiaTheme="majorEastAsia" w:hAnsi="Arial" w:cstheme="majorBidi"/>
      <w:spacing w:val="-10"/>
      <w:kern w:val="28"/>
      <w:sz w:val="24"/>
      <w:szCs w:val="56"/>
    </w:rPr>
  </w:style>
  <w:style w:type="paragraph" w:styleId="Untertitel">
    <w:name w:val="Subtitle"/>
    <w:basedOn w:val="Standard"/>
    <w:next w:val="Standard"/>
    <w:link w:val="UntertitelZchn"/>
    <w:uiPriority w:val="11"/>
    <w:qFormat/>
    <w:rsid w:val="003A137E"/>
    <w:pPr>
      <w:numPr>
        <w:ilvl w:val="1"/>
      </w:numPr>
    </w:pPr>
    <w:rPr>
      <w:rFonts w:ascii="Arial" w:eastAsiaTheme="minorEastAsia" w:hAnsi="Arial"/>
      <w:spacing w:val="15"/>
      <w:sz w:val="24"/>
    </w:rPr>
  </w:style>
  <w:style w:type="character" w:customStyle="1" w:styleId="UntertitelZchn">
    <w:name w:val="Untertitel Zchn"/>
    <w:basedOn w:val="Absatz-Standardschriftart"/>
    <w:link w:val="Untertitel"/>
    <w:uiPriority w:val="11"/>
    <w:rsid w:val="003A137E"/>
    <w:rPr>
      <w:rFonts w:ascii="Arial" w:eastAsiaTheme="minorEastAsia" w:hAnsi="Arial"/>
      <w:spacing w:val="15"/>
      <w:sz w:val="24"/>
    </w:rPr>
  </w:style>
  <w:style w:type="paragraph" w:styleId="Kopfzeile">
    <w:name w:val="header"/>
    <w:basedOn w:val="Standard"/>
    <w:link w:val="KopfzeileZchn"/>
    <w:uiPriority w:val="99"/>
    <w:unhideWhenUsed/>
    <w:rsid w:val="008C546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C5463"/>
  </w:style>
  <w:style w:type="paragraph" w:styleId="Fuzeile">
    <w:name w:val="footer"/>
    <w:basedOn w:val="Standard"/>
    <w:link w:val="FuzeileZchn"/>
    <w:uiPriority w:val="99"/>
    <w:unhideWhenUsed/>
    <w:rsid w:val="008C546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C5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456</Words>
  <Characters>2605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 Monika</dc:creator>
  <cp:keywords/>
  <dc:description/>
  <cp:lastModifiedBy>Huber Monika</cp:lastModifiedBy>
  <cp:revision>11</cp:revision>
  <cp:lastPrinted>2022-06-22T14:30:00Z</cp:lastPrinted>
  <dcterms:created xsi:type="dcterms:W3CDTF">2022-06-21T12:42:00Z</dcterms:created>
  <dcterms:modified xsi:type="dcterms:W3CDTF">2022-07-05T08:45:00Z</dcterms:modified>
</cp:coreProperties>
</file>