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1A6FB" w14:textId="66FBF2D5" w:rsidR="0023004C" w:rsidRPr="00C92DDF" w:rsidRDefault="0023004C" w:rsidP="0080481C">
      <w:pPr>
        <w:pStyle w:val="Normaalweb"/>
        <w:spacing w:after="0" w:line="480" w:lineRule="auto"/>
        <w:rPr>
          <w:rFonts w:ascii="Arial" w:hAnsi="Arial" w:cs="Arial"/>
          <w:bCs/>
          <w:iCs/>
          <w:sz w:val="22"/>
          <w:szCs w:val="22"/>
          <w:lang w:val="en-US"/>
        </w:rPr>
      </w:pPr>
      <w:r w:rsidRPr="00C92DDF">
        <w:rPr>
          <w:rFonts w:ascii="Arial" w:hAnsi="Arial" w:cs="Arial"/>
          <w:b/>
          <w:bCs/>
          <w:iCs/>
          <w:sz w:val="22"/>
          <w:szCs w:val="22"/>
          <w:lang w:val="en-US"/>
        </w:rPr>
        <w:t>TITLE:</w:t>
      </w:r>
      <w:r w:rsidRPr="00C92DDF">
        <w:rPr>
          <w:rFonts w:ascii="Arial" w:hAnsi="Arial" w:cs="Arial"/>
          <w:bCs/>
          <w:iCs/>
          <w:sz w:val="22"/>
          <w:szCs w:val="22"/>
          <w:lang w:val="en-US"/>
        </w:rPr>
        <w:t xml:space="preserve"> </w:t>
      </w:r>
      <w:r w:rsidR="00F9337D">
        <w:rPr>
          <w:rFonts w:ascii="Arial" w:hAnsi="Arial" w:cs="Arial"/>
          <w:bCs/>
          <w:iCs/>
          <w:sz w:val="22"/>
          <w:szCs w:val="22"/>
          <w:lang w:val="en-US"/>
        </w:rPr>
        <w:t>F</w:t>
      </w:r>
      <w:r w:rsidR="001327F0" w:rsidRPr="00C92DDF">
        <w:rPr>
          <w:rFonts w:ascii="Arial" w:hAnsi="Arial" w:cs="Arial"/>
          <w:bCs/>
          <w:iCs/>
          <w:sz w:val="22"/>
          <w:szCs w:val="22"/>
          <w:lang w:val="en-US"/>
        </w:rPr>
        <w:t>ertility management after operative laparoscopy in patients with high Endometriosis Fertility Index: expectant management o</w:t>
      </w:r>
      <w:r w:rsidR="00C92DDF">
        <w:rPr>
          <w:rFonts w:ascii="Arial" w:hAnsi="Arial" w:cs="Arial"/>
          <w:bCs/>
          <w:iCs/>
          <w:sz w:val="22"/>
          <w:szCs w:val="22"/>
          <w:lang w:val="en-US"/>
        </w:rPr>
        <w:t>r</w:t>
      </w:r>
      <w:r w:rsidR="001327F0" w:rsidRPr="00C92DDF">
        <w:rPr>
          <w:rFonts w:ascii="Arial" w:hAnsi="Arial" w:cs="Arial"/>
          <w:bCs/>
          <w:iCs/>
          <w:sz w:val="22"/>
          <w:szCs w:val="22"/>
          <w:lang w:val="en-US"/>
        </w:rPr>
        <w:t xml:space="preserve"> controlled ovarian stimulation and IUI? R</w:t>
      </w:r>
      <w:r w:rsidRPr="00C92DDF">
        <w:rPr>
          <w:rFonts w:ascii="Arial" w:hAnsi="Arial" w:cs="Arial"/>
          <w:bCs/>
          <w:iCs/>
          <w:sz w:val="22"/>
          <w:szCs w:val="22"/>
          <w:lang w:val="en-US"/>
        </w:rPr>
        <w:t xml:space="preserve">esults from a randomized controlled trial and a parallel </w:t>
      </w:r>
      <w:r w:rsidR="0080481C" w:rsidRPr="00C92DDF">
        <w:rPr>
          <w:rFonts w:ascii="Arial" w:hAnsi="Arial" w:cs="Arial"/>
          <w:bCs/>
          <w:iCs/>
          <w:sz w:val="22"/>
          <w:szCs w:val="22"/>
          <w:lang w:val="en-US"/>
        </w:rPr>
        <w:t xml:space="preserve">prospective </w:t>
      </w:r>
      <w:r w:rsidRPr="00C92DDF">
        <w:rPr>
          <w:rFonts w:ascii="Arial" w:hAnsi="Arial" w:cs="Arial"/>
          <w:bCs/>
          <w:iCs/>
          <w:sz w:val="22"/>
          <w:szCs w:val="22"/>
          <w:lang w:val="en-US"/>
        </w:rPr>
        <w:t>observational study</w:t>
      </w:r>
    </w:p>
    <w:p w14:paraId="4E7FCBC4" w14:textId="77777777" w:rsidR="0023004C" w:rsidRPr="0080481C" w:rsidRDefault="0023004C" w:rsidP="0080481C">
      <w:pPr>
        <w:pStyle w:val="Normaalweb"/>
        <w:spacing w:after="0" w:line="480" w:lineRule="auto"/>
        <w:rPr>
          <w:rFonts w:ascii="Arial" w:hAnsi="Arial" w:cs="Arial"/>
          <w:bCs/>
          <w:iCs/>
          <w:color w:val="333333"/>
          <w:sz w:val="22"/>
          <w:szCs w:val="22"/>
          <w:lang w:val="en-US"/>
        </w:rPr>
      </w:pPr>
    </w:p>
    <w:p w14:paraId="17B8FD37" w14:textId="1DDEEA8C" w:rsidR="0023004C" w:rsidRPr="0080481C" w:rsidRDefault="0023004C" w:rsidP="0080481C">
      <w:pPr>
        <w:pStyle w:val="Normaalweb"/>
        <w:spacing w:after="0" w:line="480" w:lineRule="auto"/>
        <w:rPr>
          <w:rFonts w:ascii="Arial" w:hAnsi="Arial" w:cs="Arial"/>
          <w:bCs/>
          <w:iCs/>
          <w:color w:val="333333"/>
          <w:sz w:val="22"/>
          <w:szCs w:val="22"/>
          <w:lang w:val="en-US"/>
        </w:rPr>
      </w:pPr>
      <w:r w:rsidRPr="0080481C">
        <w:rPr>
          <w:rFonts w:ascii="Arial" w:hAnsi="Arial" w:cs="Arial"/>
          <w:b/>
          <w:bCs/>
          <w:iCs/>
          <w:color w:val="333333"/>
          <w:sz w:val="22"/>
          <w:szCs w:val="22"/>
          <w:lang w:val="en-US"/>
        </w:rPr>
        <w:t>Authors:</w:t>
      </w:r>
      <w:r w:rsidRPr="0080481C">
        <w:rPr>
          <w:rFonts w:ascii="Arial" w:hAnsi="Arial" w:cs="Arial"/>
          <w:bCs/>
          <w:iCs/>
          <w:color w:val="333333"/>
          <w:sz w:val="22"/>
          <w:szCs w:val="22"/>
          <w:lang w:val="en-US"/>
        </w:rPr>
        <w:t xml:space="preserve"> C. Tomassetti</w:t>
      </w:r>
      <w:r w:rsidRPr="0080481C">
        <w:rPr>
          <w:rFonts w:ascii="Arial" w:hAnsi="Arial" w:cs="Arial"/>
          <w:bCs/>
          <w:iCs/>
          <w:color w:val="333333"/>
          <w:sz w:val="22"/>
          <w:szCs w:val="22"/>
          <w:vertAlign w:val="superscript"/>
          <w:lang w:val="en-US"/>
        </w:rPr>
        <w:t>1</w:t>
      </w:r>
      <w:r w:rsidRPr="0080481C">
        <w:rPr>
          <w:rFonts w:ascii="Arial" w:hAnsi="Arial" w:cs="Arial"/>
          <w:bCs/>
          <w:iCs/>
          <w:color w:val="333333"/>
          <w:sz w:val="22"/>
          <w:szCs w:val="22"/>
          <w:lang w:val="en-US"/>
        </w:rPr>
        <w:t>, MD</w:t>
      </w:r>
      <w:r w:rsidRPr="00C92DDF">
        <w:rPr>
          <w:rFonts w:ascii="Arial" w:hAnsi="Arial" w:cs="Arial"/>
          <w:bCs/>
          <w:iCs/>
          <w:color w:val="333333"/>
          <w:sz w:val="22"/>
          <w:szCs w:val="22"/>
          <w:lang w:val="en-US"/>
        </w:rPr>
        <w:t xml:space="preserve">, </w:t>
      </w:r>
      <w:r w:rsidR="006630C1" w:rsidRPr="00C92DDF">
        <w:rPr>
          <w:rFonts w:ascii="Arial" w:hAnsi="Arial" w:cs="Arial"/>
          <w:bCs/>
          <w:iCs/>
          <w:color w:val="333333"/>
          <w:sz w:val="22"/>
          <w:szCs w:val="22"/>
          <w:lang w:val="en-US"/>
        </w:rPr>
        <w:t>S. Lie Fong</w:t>
      </w:r>
      <w:r w:rsidR="006630C1" w:rsidRPr="00C92DDF">
        <w:rPr>
          <w:rFonts w:ascii="Arial" w:hAnsi="Arial" w:cs="Arial"/>
          <w:bCs/>
          <w:iCs/>
          <w:color w:val="333333"/>
          <w:sz w:val="22"/>
          <w:szCs w:val="22"/>
          <w:vertAlign w:val="superscript"/>
          <w:lang w:val="en-US"/>
        </w:rPr>
        <w:t>1</w:t>
      </w:r>
      <w:r w:rsidR="0080481C" w:rsidRPr="00C92DDF">
        <w:rPr>
          <w:rFonts w:ascii="Arial" w:hAnsi="Arial" w:cs="Arial"/>
          <w:bCs/>
          <w:iCs/>
          <w:color w:val="333333"/>
          <w:sz w:val="22"/>
          <w:szCs w:val="22"/>
          <w:lang w:val="en-US"/>
        </w:rPr>
        <w:t xml:space="preserve">, </w:t>
      </w:r>
      <w:r w:rsidRPr="00C92DDF">
        <w:rPr>
          <w:rFonts w:ascii="Arial" w:hAnsi="Arial" w:cs="Arial"/>
          <w:bCs/>
          <w:iCs/>
          <w:color w:val="333333"/>
          <w:sz w:val="22"/>
          <w:szCs w:val="22"/>
          <w:lang w:val="en-US"/>
        </w:rPr>
        <w:t>C. Meuleman</w:t>
      </w:r>
      <w:r w:rsidRPr="00C92DDF">
        <w:rPr>
          <w:rFonts w:ascii="Arial" w:hAnsi="Arial" w:cs="Arial"/>
          <w:bCs/>
          <w:iCs/>
          <w:color w:val="333333"/>
          <w:sz w:val="22"/>
          <w:szCs w:val="22"/>
          <w:vertAlign w:val="superscript"/>
          <w:lang w:val="en-US"/>
        </w:rPr>
        <w:t>1,3</w:t>
      </w:r>
      <w:r w:rsidRPr="00C92DDF">
        <w:rPr>
          <w:rFonts w:ascii="Arial" w:hAnsi="Arial" w:cs="Arial"/>
          <w:bCs/>
          <w:iCs/>
          <w:color w:val="333333"/>
          <w:sz w:val="22"/>
          <w:szCs w:val="22"/>
          <w:lang w:val="en-US"/>
        </w:rPr>
        <w:t>, MD,PhD</w:t>
      </w:r>
      <w:r w:rsidR="006630C1" w:rsidRPr="00C92DDF">
        <w:rPr>
          <w:rFonts w:ascii="Arial" w:hAnsi="Arial" w:cs="Arial"/>
          <w:bCs/>
          <w:iCs/>
          <w:color w:val="333333"/>
          <w:sz w:val="22"/>
          <w:szCs w:val="22"/>
          <w:lang w:val="en-US"/>
        </w:rPr>
        <w:t>, Myriam Welkenhuysen</w:t>
      </w:r>
      <w:r w:rsidR="00B0346A" w:rsidRPr="00C92DDF">
        <w:rPr>
          <w:rFonts w:ascii="Arial" w:hAnsi="Arial" w:cs="Arial"/>
          <w:bCs/>
          <w:iCs/>
          <w:color w:val="333333"/>
          <w:sz w:val="22"/>
          <w:szCs w:val="22"/>
          <w:vertAlign w:val="superscript"/>
          <w:lang w:val="en-US"/>
        </w:rPr>
        <w:t>1</w:t>
      </w:r>
      <w:r w:rsidR="006630C1" w:rsidRPr="00C92DDF">
        <w:rPr>
          <w:rFonts w:ascii="Arial" w:hAnsi="Arial" w:cs="Arial"/>
          <w:bCs/>
          <w:iCs/>
          <w:color w:val="333333"/>
          <w:sz w:val="22"/>
          <w:szCs w:val="22"/>
          <w:lang w:val="en-US"/>
        </w:rPr>
        <w:t>,</w:t>
      </w:r>
      <w:r w:rsidRPr="00C92DDF">
        <w:rPr>
          <w:rFonts w:ascii="Arial" w:hAnsi="Arial" w:cs="Arial"/>
          <w:bCs/>
          <w:iCs/>
          <w:color w:val="333333"/>
          <w:sz w:val="22"/>
          <w:szCs w:val="22"/>
          <w:lang w:val="en-US"/>
        </w:rPr>
        <w:t xml:space="preserve"> S. Fieuws</w:t>
      </w:r>
      <w:r w:rsidRPr="00C92DDF">
        <w:rPr>
          <w:rFonts w:ascii="Arial" w:hAnsi="Arial" w:cs="Arial"/>
          <w:bCs/>
          <w:iCs/>
          <w:color w:val="333333"/>
          <w:sz w:val="22"/>
          <w:szCs w:val="22"/>
          <w:vertAlign w:val="superscript"/>
          <w:lang w:val="en-US"/>
        </w:rPr>
        <w:t>4</w:t>
      </w:r>
      <w:r w:rsidRPr="00C92DDF">
        <w:rPr>
          <w:rFonts w:ascii="Arial" w:hAnsi="Arial" w:cs="Arial"/>
          <w:bCs/>
          <w:iCs/>
          <w:color w:val="333333"/>
          <w:sz w:val="22"/>
          <w:szCs w:val="22"/>
          <w:lang w:val="en-US"/>
        </w:rPr>
        <w:t>,</w:t>
      </w:r>
      <w:r w:rsidRPr="0080481C">
        <w:rPr>
          <w:rFonts w:ascii="Arial" w:hAnsi="Arial" w:cs="Arial"/>
          <w:bCs/>
          <w:iCs/>
          <w:color w:val="333333"/>
          <w:sz w:val="22"/>
          <w:szCs w:val="22"/>
          <w:lang w:val="en-US"/>
        </w:rPr>
        <w:t xml:space="preserve"> MSc</w:t>
      </w:r>
      <w:r w:rsidRPr="006630C1">
        <w:rPr>
          <w:rFonts w:ascii="Arial" w:hAnsi="Arial" w:cs="Arial"/>
          <w:bCs/>
          <w:iCs/>
          <w:color w:val="333333"/>
          <w:sz w:val="22"/>
          <w:szCs w:val="22"/>
          <w:lang w:val="en-US"/>
        </w:rPr>
        <w:t>, T. D’Hooghe</w:t>
      </w:r>
      <w:r w:rsidRPr="006630C1">
        <w:rPr>
          <w:rFonts w:ascii="Arial" w:hAnsi="Arial" w:cs="Arial"/>
          <w:bCs/>
          <w:iCs/>
          <w:color w:val="333333"/>
          <w:sz w:val="22"/>
          <w:szCs w:val="22"/>
          <w:vertAlign w:val="superscript"/>
          <w:lang w:val="en-US"/>
        </w:rPr>
        <w:t>3,5</w:t>
      </w:r>
      <w:r w:rsidRPr="006630C1">
        <w:rPr>
          <w:rFonts w:ascii="Arial" w:hAnsi="Arial" w:cs="Arial"/>
          <w:bCs/>
          <w:iCs/>
          <w:color w:val="333333"/>
          <w:sz w:val="22"/>
          <w:szCs w:val="22"/>
          <w:vertAlign w:val="subscript"/>
          <w:lang w:val="en-US"/>
        </w:rPr>
        <w:t>,</w:t>
      </w:r>
      <w:r w:rsidRPr="006630C1">
        <w:rPr>
          <w:rFonts w:ascii="Arial" w:hAnsi="Arial" w:cs="Arial"/>
          <w:bCs/>
          <w:iCs/>
          <w:color w:val="333333"/>
          <w:sz w:val="22"/>
          <w:szCs w:val="22"/>
          <w:lang w:val="en-US"/>
        </w:rPr>
        <w:t xml:space="preserve"> MD,PhD</w:t>
      </w:r>
    </w:p>
    <w:p w14:paraId="2ED6E6BF" w14:textId="2B601957" w:rsidR="0023004C" w:rsidRPr="0080481C" w:rsidRDefault="0023004C" w:rsidP="0080481C">
      <w:pPr>
        <w:pStyle w:val="Normaalweb"/>
        <w:spacing w:after="0" w:line="480" w:lineRule="auto"/>
        <w:rPr>
          <w:rFonts w:ascii="Arial" w:hAnsi="Arial" w:cs="Arial"/>
          <w:bCs/>
          <w:iCs/>
          <w:color w:val="333333"/>
          <w:sz w:val="22"/>
          <w:szCs w:val="22"/>
          <w:lang w:val="en-US"/>
        </w:rPr>
      </w:pPr>
      <w:r w:rsidRPr="0080481C">
        <w:rPr>
          <w:rFonts w:ascii="Arial" w:hAnsi="Arial" w:cs="Arial"/>
          <w:bCs/>
          <w:iCs/>
          <w:color w:val="333333"/>
          <w:sz w:val="22"/>
          <w:szCs w:val="22"/>
          <w:vertAlign w:val="superscript"/>
          <w:lang w:val="en-US"/>
        </w:rPr>
        <w:t>1</w:t>
      </w:r>
      <w:r w:rsidRPr="0080481C">
        <w:rPr>
          <w:rFonts w:ascii="Arial" w:hAnsi="Arial" w:cs="Arial"/>
          <w:bCs/>
          <w:iCs/>
          <w:color w:val="333333"/>
          <w:sz w:val="22"/>
          <w:szCs w:val="22"/>
          <w:lang w:val="en-US"/>
        </w:rPr>
        <w:t xml:space="preserve"> Department of Obstetrics and Gynecology, Leuven University Fertility Centre, University Hospitals Leuven, Leuven, Belgium</w:t>
      </w:r>
    </w:p>
    <w:p w14:paraId="055EF6F8" w14:textId="20B8D5FB" w:rsidR="0023004C" w:rsidRPr="0080481C" w:rsidRDefault="0023004C" w:rsidP="0080481C">
      <w:pPr>
        <w:pStyle w:val="Normaalweb"/>
        <w:spacing w:after="0" w:line="480" w:lineRule="auto"/>
        <w:rPr>
          <w:rFonts w:ascii="Arial" w:hAnsi="Arial" w:cs="Arial"/>
          <w:bCs/>
          <w:iCs/>
          <w:color w:val="333333"/>
          <w:sz w:val="22"/>
          <w:szCs w:val="22"/>
          <w:lang w:val="en-US"/>
        </w:rPr>
      </w:pPr>
      <w:r w:rsidRPr="0080481C">
        <w:rPr>
          <w:rFonts w:ascii="Arial" w:hAnsi="Arial" w:cs="Arial"/>
          <w:bCs/>
          <w:iCs/>
          <w:color w:val="333333"/>
          <w:sz w:val="22"/>
          <w:szCs w:val="22"/>
          <w:vertAlign w:val="superscript"/>
          <w:lang w:val="en-US"/>
        </w:rPr>
        <w:t>2</w:t>
      </w:r>
      <w:r w:rsidRPr="0080481C">
        <w:rPr>
          <w:rFonts w:ascii="Arial" w:hAnsi="Arial" w:cs="Arial"/>
          <w:bCs/>
          <w:iCs/>
          <w:color w:val="333333"/>
          <w:sz w:val="22"/>
          <w:szCs w:val="22"/>
          <w:lang w:val="en-US"/>
        </w:rPr>
        <w:t xml:space="preserve"> Department of Obstetrics and Gy</w:t>
      </w:r>
      <w:r w:rsidR="00F577F3">
        <w:rPr>
          <w:rFonts w:ascii="Arial" w:hAnsi="Arial" w:cs="Arial"/>
          <w:bCs/>
          <w:iCs/>
          <w:color w:val="333333"/>
          <w:sz w:val="22"/>
          <w:szCs w:val="22"/>
          <w:lang w:val="en-US"/>
        </w:rPr>
        <w:t>n</w:t>
      </w:r>
      <w:r w:rsidRPr="0080481C">
        <w:rPr>
          <w:rFonts w:ascii="Arial" w:hAnsi="Arial" w:cs="Arial"/>
          <w:bCs/>
          <w:iCs/>
          <w:color w:val="333333"/>
          <w:sz w:val="22"/>
          <w:szCs w:val="22"/>
          <w:lang w:val="en-US"/>
        </w:rPr>
        <w:t>ecology, University Hospitals Leuven, Leuven, Belgium</w:t>
      </w:r>
    </w:p>
    <w:p w14:paraId="273549CF" w14:textId="77777777" w:rsidR="0023004C" w:rsidRPr="0080481C" w:rsidRDefault="0023004C" w:rsidP="0080481C">
      <w:pPr>
        <w:pStyle w:val="Normaalweb"/>
        <w:spacing w:after="0" w:line="480" w:lineRule="auto"/>
        <w:rPr>
          <w:rFonts w:ascii="Arial" w:hAnsi="Arial" w:cs="Arial"/>
          <w:bCs/>
          <w:iCs/>
          <w:color w:val="333333"/>
          <w:sz w:val="22"/>
          <w:szCs w:val="22"/>
          <w:lang w:val="en-US"/>
        </w:rPr>
      </w:pPr>
      <w:r w:rsidRPr="0080481C">
        <w:rPr>
          <w:rFonts w:ascii="Arial" w:hAnsi="Arial" w:cs="Arial"/>
          <w:bCs/>
          <w:iCs/>
          <w:color w:val="333333"/>
          <w:sz w:val="22"/>
          <w:szCs w:val="22"/>
          <w:vertAlign w:val="superscript"/>
          <w:lang w:val="en-US"/>
        </w:rPr>
        <w:t>3</w:t>
      </w:r>
      <w:r w:rsidRPr="0080481C">
        <w:rPr>
          <w:rFonts w:ascii="Arial" w:hAnsi="Arial" w:cs="Arial"/>
          <w:bCs/>
          <w:iCs/>
          <w:color w:val="333333"/>
          <w:sz w:val="22"/>
          <w:szCs w:val="22"/>
          <w:lang w:val="en-US"/>
        </w:rPr>
        <w:t xml:space="preserve"> KU Leuven, Department of Development and Regeneration, Leuven, Belgium.</w:t>
      </w:r>
    </w:p>
    <w:p w14:paraId="425D4924" w14:textId="77777777" w:rsidR="006630C1" w:rsidRPr="006630C1" w:rsidRDefault="0023004C" w:rsidP="006630C1">
      <w:pPr>
        <w:pStyle w:val="Normaalweb"/>
        <w:spacing w:after="0" w:line="480" w:lineRule="auto"/>
        <w:rPr>
          <w:rFonts w:ascii="Arial" w:hAnsi="Arial" w:cs="Arial"/>
          <w:bCs/>
          <w:iCs/>
          <w:color w:val="333333"/>
          <w:sz w:val="22"/>
          <w:szCs w:val="22"/>
          <w:lang w:val="en-US"/>
        </w:rPr>
      </w:pPr>
      <w:r w:rsidRPr="0080481C">
        <w:rPr>
          <w:rFonts w:ascii="Arial" w:hAnsi="Arial" w:cs="Arial"/>
          <w:bCs/>
          <w:iCs/>
          <w:color w:val="333333"/>
          <w:sz w:val="22"/>
          <w:szCs w:val="22"/>
          <w:vertAlign w:val="superscript"/>
          <w:lang w:val="en-US"/>
        </w:rPr>
        <w:t>4</w:t>
      </w:r>
      <w:r w:rsidRPr="0080481C">
        <w:rPr>
          <w:rFonts w:ascii="Arial" w:hAnsi="Arial" w:cs="Arial"/>
          <w:bCs/>
          <w:iCs/>
          <w:color w:val="333333"/>
          <w:sz w:val="22"/>
          <w:szCs w:val="22"/>
          <w:lang w:val="en-US"/>
        </w:rPr>
        <w:t xml:space="preserve"> Interuniversity Centre for Biostatistics and Statistical Bioinformatics, Department of Public Health, KU Leuven, Leuven, Belgium.</w:t>
      </w:r>
      <w:r w:rsidR="006630C1">
        <w:rPr>
          <w:rFonts w:ascii="Arial" w:hAnsi="Arial" w:cs="Arial"/>
          <w:b/>
          <w:bCs/>
          <w:iCs/>
          <w:color w:val="333333"/>
          <w:sz w:val="22"/>
          <w:szCs w:val="22"/>
          <w:lang w:val="en-US"/>
        </w:rPr>
        <w:br w:type="page"/>
      </w:r>
    </w:p>
    <w:p w14:paraId="7C0CA2C0" w14:textId="77777777" w:rsidR="00DC3A9C" w:rsidRPr="006630C1" w:rsidRDefault="00DC3A9C" w:rsidP="00DC3A9C">
      <w:pPr>
        <w:pStyle w:val="Normaalweb"/>
        <w:spacing w:after="0" w:line="480" w:lineRule="auto"/>
        <w:rPr>
          <w:rFonts w:ascii="Arial" w:hAnsi="Arial" w:cs="Arial"/>
          <w:b/>
          <w:bCs/>
          <w:iCs/>
          <w:color w:val="333333"/>
          <w:sz w:val="22"/>
          <w:szCs w:val="22"/>
          <w:highlight w:val="yellow"/>
          <w:lang w:val="en-US"/>
        </w:rPr>
      </w:pPr>
      <w:r w:rsidRPr="006630C1">
        <w:rPr>
          <w:rFonts w:ascii="Arial" w:hAnsi="Arial" w:cs="Arial"/>
          <w:b/>
          <w:bCs/>
          <w:iCs/>
          <w:color w:val="333333"/>
          <w:sz w:val="22"/>
          <w:szCs w:val="22"/>
          <w:highlight w:val="yellow"/>
          <w:lang w:val="en-US"/>
        </w:rPr>
        <w:lastRenderedPageBreak/>
        <w:t>ABSTRACT</w:t>
      </w:r>
    </w:p>
    <w:p w14:paraId="0BCC9F22" w14:textId="77777777" w:rsidR="00DC3A9C" w:rsidRPr="00907252" w:rsidRDefault="00DC3A9C" w:rsidP="00DC3A9C">
      <w:pPr>
        <w:spacing w:line="480" w:lineRule="auto"/>
        <w:rPr>
          <w:rFonts w:ascii="Arial" w:hAnsi="Arial" w:cs="Arial"/>
          <w:bCs/>
          <w:iCs/>
          <w:color w:val="333333"/>
          <w:sz w:val="22"/>
          <w:szCs w:val="22"/>
          <w:lang w:val="en-US"/>
        </w:rPr>
      </w:pPr>
      <w:r w:rsidRPr="00907252">
        <w:rPr>
          <w:rFonts w:ascii="Arial" w:hAnsi="Arial" w:cs="Arial"/>
          <w:b/>
          <w:bCs/>
          <w:iCs/>
          <w:color w:val="333333"/>
          <w:sz w:val="22"/>
          <w:szCs w:val="22"/>
          <w:lang w:val="en-US"/>
        </w:rPr>
        <w:t xml:space="preserve">Study question: </w:t>
      </w:r>
      <w:r w:rsidRPr="00907252">
        <w:rPr>
          <w:rFonts w:ascii="Arial" w:hAnsi="Arial" w:cs="Arial"/>
          <w:bCs/>
          <w:iCs/>
          <w:color w:val="333333"/>
          <w:sz w:val="22"/>
          <w:szCs w:val="22"/>
          <w:lang w:val="en-US"/>
        </w:rPr>
        <w:t>Is there an added value to immediately starting IUI as compared to expectant management in patients after complete surgical endometriosis treatment with a high EFI?</w:t>
      </w:r>
    </w:p>
    <w:p w14:paraId="440186BC" w14:textId="77777777" w:rsidR="00DC3A9C" w:rsidRPr="006630C1" w:rsidRDefault="00DC3A9C" w:rsidP="00DC3A9C">
      <w:pPr>
        <w:pStyle w:val="Normaalweb"/>
        <w:spacing w:after="0" w:line="480" w:lineRule="auto"/>
        <w:rPr>
          <w:rFonts w:ascii="Arial" w:hAnsi="Arial" w:cs="Arial"/>
          <w:b/>
          <w:bCs/>
          <w:iCs/>
          <w:color w:val="333333"/>
          <w:sz w:val="22"/>
          <w:szCs w:val="22"/>
          <w:highlight w:val="yellow"/>
          <w:lang w:val="en-US"/>
        </w:rPr>
      </w:pPr>
      <w:r w:rsidRPr="006630C1">
        <w:rPr>
          <w:rFonts w:ascii="Arial" w:hAnsi="Arial" w:cs="Arial"/>
          <w:b/>
          <w:bCs/>
          <w:iCs/>
          <w:color w:val="333333"/>
          <w:sz w:val="22"/>
          <w:szCs w:val="22"/>
          <w:highlight w:val="yellow"/>
          <w:lang w:val="en-US"/>
        </w:rPr>
        <w:t xml:space="preserve">Summary answer: </w:t>
      </w:r>
      <w:r>
        <w:rPr>
          <w:rFonts w:ascii="Arial" w:hAnsi="Arial" w:cs="Arial"/>
          <w:sz w:val="22"/>
          <w:szCs w:val="22"/>
          <w:lang w:val="en-US"/>
        </w:rPr>
        <w:t>Our study did not show a significant advantage of immediate postoperative start of treatment with COH-IUI over expectant management on the cumulative clinical pregnancy rate after 7 menstrual cycles.</w:t>
      </w:r>
    </w:p>
    <w:p w14:paraId="099ABAA9" w14:textId="77777777" w:rsidR="00DC3A9C" w:rsidRPr="006630C1" w:rsidRDefault="00DC3A9C" w:rsidP="00DC3A9C">
      <w:pPr>
        <w:pStyle w:val="Normaalweb"/>
        <w:spacing w:after="0" w:line="480" w:lineRule="auto"/>
        <w:rPr>
          <w:rFonts w:ascii="Arial" w:hAnsi="Arial" w:cs="Arial"/>
          <w:b/>
          <w:bCs/>
          <w:iCs/>
          <w:color w:val="333333"/>
          <w:sz w:val="22"/>
          <w:szCs w:val="22"/>
          <w:highlight w:val="yellow"/>
          <w:lang w:val="en-US"/>
        </w:rPr>
      </w:pPr>
      <w:r w:rsidRPr="006630C1">
        <w:rPr>
          <w:rFonts w:ascii="Arial" w:hAnsi="Arial" w:cs="Arial"/>
          <w:b/>
          <w:bCs/>
          <w:iCs/>
          <w:color w:val="333333"/>
          <w:sz w:val="22"/>
          <w:szCs w:val="22"/>
          <w:highlight w:val="yellow"/>
          <w:lang w:val="en-US"/>
        </w:rPr>
        <w:t xml:space="preserve">What is known already: </w:t>
      </w:r>
      <w:r>
        <w:rPr>
          <w:rFonts w:ascii="Arial" w:hAnsi="Arial" w:cs="Arial"/>
          <w:sz w:val="22"/>
          <w:szCs w:val="22"/>
          <w:lang w:val="en-US"/>
        </w:rPr>
        <w:t xml:space="preserve">The place of treatment with </w:t>
      </w:r>
      <w:r w:rsidRPr="0080481C">
        <w:rPr>
          <w:rFonts w:ascii="Arial" w:hAnsi="Arial" w:cs="Arial"/>
          <w:sz w:val="22"/>
          <w:szCs w:val="22"/>
          <w:lang w:val="en-US"/>
        </w:rPr>
        <w:t xml:space="preserve">intra-uterine insemination (IUI) in </w:t>
      </w:r>
      <w:r>
        <w:rPr>
          <w:rFonts w:ascii="Arial" w:hAnsi="Arial" w:cs="Arial"/>
          <w:sz w:val="22"/>
          <w:szCs w:val="22"/>
          <w:lang w:val="en-US"/>
        </w:rPr>
        <w:t>subfertile women</w:t>
      </w:r>
      <w:r w:rsidRPr="0080481C">
        <w:rPr>
          <w:rFonts w:ascii="Arial" w:hAnsi="Arial" w:cs="Arial"/>
          <w:sz w:val="22"/>
          <w:szCs w:val="22"/>
          <w:lang w:val="en-US"/>
        </w:rPr>
        <w:t xml:space="preserve"> with endometriosis is not </w:t>
      </w:r>
      <w:r>
        <w:rPr>
          <w:rFonts w:ascii="Arial" w:hAnsi="Arial" w:cs="Arial"/>
          <w:sz w:val="22"/>
          <w:szCs w:val="22"/>
          <w:lang w:val="en-US"/>
        </w:rPr>
        <w:t>well</w:t>
      </w:r>
      <w:r w:rsidRPr="0080481C">
        <w:rPr>
          <w:rFonts w:ascii="Arial" w:hAnsi="Arial" w:cs="Arial"/>
          <w:sz w:val="22"/>
          <w:szCs w:val="22"/>
          <w:lang w:val="en-US"/>
        </w:rPr>
        <w:t xml:space="preserve"> established</w:t>
      </w:r>
      <w:r>
        <w:rPr>
          <w:rFonts w:ascii="Arial" w:hAnsi="Arial" w:cs="Arial"/>
          <w:sz w:val="22"/>
          <w:szCs w:val="22"/>
          <w:lang w:val="en-US"/>
        </w:rPr>
        <w:t>, and mainly studied in infertile women with rASRM stage I/II endometriosis (minimal/mild disease: mainly peritoneal lesions), preferably combined with controlled ovarian hyperstimulation (COH)</w:t>
      </w:r>
      <w:r w:rsidRPr="0080481C">
        <w:rPr>
          <w:rFonts w:ascii="Arial" w:hAnsi="Arial" w:cs="Arial"/>
          <w:sz w:val="22"/>
          <w:szCs w:val="22"/>
          <w:lang w:val="en-US"/>
        </w:rPr>
        <w:t>.</w:t>
      </w:r>
      <w:r>
        <w:rPr>
          <w:rFonts w:ascii="Arial" w:hAnsi="Arial" w:cs="Arial"/>
          <w:sz w:val="22"/>
          <w:szCs w:val="22"/>
          <w:lang w:val="en-US"/>
        </w:rPr>
        <w:t xml:space="preserve"> The Endometriosis Fertility Index (EFI) is a powerful clinical tool to predict non-ART pregnancy rate after surgical treatment for endometriosis, but so far no studies on COH+IUI in endometriosis patients have been done with patient selection by EFI-score.</w:t>
      </w:r>
    </w:p>
    <w:p w14:paraId="0FF78923" w14:textId="0EFDD0EA" w:rsidR="00DC3A9C" w:rsidRPr="0088634F" w:rsidRDefault="00DC3A9C" w:rsidP="00DC3A9C">
      <w:pPr>
        <w:pStyle w:val="Normaalweb"/>
        <w:spacing w:after="0" w:line="480" w:lineRule="auto"/>
        <w:rPr>
          <w:rFonts w:ascii="Arial" w:hAnsi="Arial" w:cs="Arial"/>
          <w:bCs/>
          <w:iCs/>
          <w:color w:val="333333"/>
          <w:sz w:val="22"/>
          <w:szCs w:val="22"/>
          <w:lang w:val="en-US"/>
        </w:rPr>
      </w:pPr>
      <w:r>
        <w:rPr>
          <w:rFonts w:ascii="Arial" w:hAnsi="Arial" w:cs="Arial"/>
          <w:b/>
          <w:bCs/>
          <w:iCs/>
          <w:color w:val="333333"/>
          <w:sz w:val="22"/>
          <w:szCs w:val="22"/>
          <w:highlight w:val="yellow"/>
          <w:lang w:val="en-US"/>
        </w:rPr>
        <w:t>Study design, size, duration:</w:t>
      </w:r>
      <w:r>
        <w:rPr>
          <w:rFonts w:ascii="Arial" w:hAnsi="Arial" w:cs="Arial"/>
          <w:bCs/>
          <w:iCs/>
          <w:color w:val="333333"/>
          <w:sz w:val="22"/>
          <w:szCs w:val="22"/>
          <w:lang w:val="en-US"/>
        </w:rPr>
        <w:t xml:space="preserve"> A single center randomized controlled trial (RCT) from March 2014 </w:t>
      </w:r>
      <w:r w:rsidR="007153B1">
        <w:rPr>
          <w:rFonts w:ascii="Arial" w:hAnsi="Arial" w:cs="Arial"/>
          <w:bCs/>
          <w:iCs/>
          <w:color w:val="333333"/>
          <w:sz w:val="22"/>
          <w:szCs w:val="22"/>
          <w:lang w:val="en-US"/>
        </w:rPr>
        <w:t xml:space="preserve">to </w:t>
      </w:r>
      <w:r>
        <w:rPr>
          <w:rFonts w:ascii="Arial" w:hAnsi="Arial" w:cs="Arial"/>
          <w:bCs/>
          <w:iCs/>
          <w:color w:val="333333"/>
          <w:sz w:val="22"/>
          <w:szCs w:val="22"/>
          <w:lang w:val="en-US"/>
        </w:rPr>
        <w:t>November 2016, comparing the clinical pregnancy rate (CPR) after 7 menstrual cycles of expectant management versus 7 menstrual cycles of which 4 planned COH+IUI-cycles (study hypothesis: CPR 35% versus 65% in favor of IUI). Targeted total sample size for the RCT was 94 subjects.</w:t>
      </w:r>
    </w:p>
    <w:p w14:paraId="2654CFD8" w14:textId="4AC139D2" w:rsidR="00DC3A9C" w:rsidRPr="006630C1" w:rsidRDefault="00DC3A9C" w:rsidP="00DC3A9C">
      <w:pPr>
        <w:pStyle w:val="Normaalweb"/>
        <w:spacing w:after="0" w:line="480" w:lineRule="auto"/>
        <w:rPr>
          <w:rFonts w:ascii="Arial" w:hAnsi="Arial" w:cs="Arial"/>
          <w:b/>
          <w:bCs/>
          <w:iCs/>
          <w:color w:val="333333"/>
          <w:sz w:val="22"/>
          <w:szCs w:val="22"/>
          <w:highlight w:val="yellow"/>
          <w:lang w:val="en-US"/>
        </w:rPr>
      </w:pPr>
      <w:r w:rsidRPr="006630C1">
        <w:rPr>
          <w:rFonts w:ascii="Arial" w:hAnsi="Arial" w:cs="Arial"/>
          <w:b/>
          <w:bCs/>
          <w:iCs/>
          <w:color w:val="333333"/>
          <w:sz w:val="22"/>
          <w:szCs w:val="22"/>
          <w:highlight w:val="yellow"/>
          <w:lang w:val="en-US"/>
        </w:rPr>
        <w:t>Participants/materials, setting, methods:</w:t>
      </w:r>
      <w:r>
        <w:rPr>
          <w:rFonts w:ascii="Arial" w:hAnsi="Arial" w:cs="Arial"/>
          <w:b/>
          <w:bCs/>
          <w:iCs/>
          <w:color w:val="333333"/>
          <w:sz w:val="22"/>
          <w:szCs w:val="22"/>
          <w:highlight w:val="yellow"/>
          <w:lang w:val="en-US"/>
        </w:rPr>
        <w:t xml:space="preserve"> </w:t>
      </w:r>
      <w:r>
        <w:rPr>
          <w:rFonts w:ascii="Arial" w:hAnsi="Arial" w:cs="Arial"/>
          <w:sz w:val="22"/>
          <w:szCs w:val="22"/>
          <w:lang w:val="en-GB"/>
        </w:rPr>
        <w:t>W</w:t>
      </w:r>
      <w:r w:rsidRPr="0021644D">
        <w:rPr>
          <w:rFonts w:ascii="Arial" w:hAnsi="Arial" w:cs="Arial"/>
          <w:sz w:val="22"/>
          <w:szCs w:val="22"/>
          <w:lang w:val="en-GB"/>
        </w:rPr>
        <w:t xml:space="preserve">omen who recently (maximum 6 months </w:t>
      </w:r>
      <w:r>
        <w:rPr>
          <w:rFonts w:ascii="Arial" w:hAnsi="Arial" w:cs="Arial"/>
          <w:sz w:val="22"/>
          <w:szCs w:val="22"/>
          <w:lang w:val="en-GB"/>
        </w:rPr>
        <w:t>prior to</w:t>
      </w:r>
      <w:r w:rsidRPr="0021644D">
        <w:rPr>
          <w:rFonts w:ascii="Arial" w:hAnsi="Arial" w:cs="Arial"/>
          <w:sz w:val="22"/>
          <w:szCs w:val="22"/>
          <w:lang w:val="en-GB"/>
        </w:rPr>
        <w:t xml:space="preserve"> randomization) underwent </w:t>
      </w:r>
      <w:r>
        <w:rPr>
          <w:rFonts w:ascii="Arial" w:hAnsi="Arial" w:cs="Arial"/>
          <w:sz w:val="22"/>
          <w:szCs w:val="22"/>
          <w:lang w:val="en-GB"/>
        </w:rPr>
        <w:t xml:space="preserve">complete </w:t>
      </w:r>
      <w:r w:rsidRPr="0021644D">
        <w:rPr>
          <w:rFonts w:ascii="Arial" w:hAnsi="Arial" w:cs="Arial"/>
          <w:sz w:val="22"/>
          <w:szCs w:val="22"/>
          <w:lang w:val="en-GB"/>
        </w:rPr>
        <w:t xml:space="preserve">endometriosis surgery at </w:t>
      </w:r>
      <w:r>
        <w:rPr>
          <w:rFonts w:ascii="Arial" w:hAnsi="Arial" w:cs="Arial"/>
          <w:sz w:val="22"/>
          <w:szCs w:val="22"/>
          <w:lang w:val="en-GB"/>
        </w:rPr>
        <w:t xml:space="preserve">the </w:t>
      </w:r>
      <w:r w:rsidRPr="0021644D">
        <w:rPr>
          <w:rFonts w:ascii="Arial" w:hAnsi="Arial" w:cs="Arial"/>
          <w:sz w:val="22"/>
          <w:szCs w:val="22"/>
          <w:lang w:val="en-GB"/>
        </w:rPr>
        <w:t>LUFc (</w:t>
      </w:r>
      <w:r>
        <w:rPr>
          <w:rFonts w:ascii="Arial" w:hAnsi="Arial" w:cs="Arial"/>
          <w:sz w:val="22"/>
          <w:szCs w:val="22"/>
          <w:lang w:val="en-GB"/>
        </w:rPr>
        <w:t xml:space="preserve">for </w:t>
      </w:r>
      <w:r w:rsidRPr="0021644D">
        <w:rPr>
          <w:rFonts w:ascii="Arial" w:hAnsi="Arial" w:cs="Arial"/>
          <w:sz w:val="22"/>
          <w:szCs w:val="22"/>
          <w:lang w:val="en-GB"/>
        </w:rPr>
        <w:t>any rAFS stage) and who ha</w:t>
      </w:r>
      <w:r>
        <w:rPr>
          <w:rFonts w:ascii="Arial" w:hAnsi="Arial" w:cs="Arial"/>
          <w:sz w:val="22"/>
          <w:szCs w:val="22"/>
          <w:lang w:val="en-GB"/>
        </w:rPr>
        <w:t>d</w:t>
      </w:r>
      <w:r w:rsidRPr="0021644D">
        <w:rPr>
          <w:rFonts w:ascii="Arial" w:hAnsi="Arial" w:cs="Arial"/>
          <w:sz w:val="22"/>
          <w:szCs w:val="22"/>
          <w:lang w:val="en-GB"/>
        </w:rPr>
        <w:t xml:space="preserve"> a an EFI score of 7 or higher</w:t>
      </w:r>
      <w:r>
        <w:rPr>
          <w:rFonts w:ascii="Arial" w:hAnsi="Arial" w:cs="Arial"/>
          <w:sz w:val="22"/>
          <w:szCs w:val="22"/>
          <w:lang w:val="en-GB"/>
        </w:rPr>
        <w:t xml:space="preserve">, were eligible for this study. Further inclusion criteria were: age </w:t>
      </w:r>
      <w:r w:rsidRPr="0021644D">
        <w:rPr>
          <w:rFonts w:ascii="Arial" w:hAnsi="Arial" w:cs="Arial"/>
          <w:sz w:val="22"/>
          <w:szCs w:val="22"/>
          <w:lang w:val="en-GB"/>
        </w:rPr>
        <w:t xml:space="preserve">18 until 37 </w:t>
      </w:r>
      <w:r>
        <w:rPr>
          <w:rFonts w:ascii="Arial" w:hAnsi="Arial" w:cs="Arial"/>
          <w:sz w:val="22"/>
          <w:szCs w:val="22"/>
          <w:lang w:val="en-GB"/>
        </w:rPr>
        <w:t>years inclusive, proof of regular ovulatory menstrual cycles, a</w:t>
      </w:r>
      <w:r w:rsidRPr="0021644D">
        <w:rPr>
          <w:rFonts w:ascii="Arial" w:hAnsi="Arial" w:cs="Arial"/>
          <w:sz w:val="22"/>
          <w:szCs w:val="22"/>
          <w:lang w:val="en-GB"/>
        </w:rPr>
        <w:t>t least one functional tube at surgery</w:t>
      </w:r>
      <w:r>
        <w:rPr>
          <w:rFonts w:ascii="Arial" w:hAnsi="Arial" w:cs="Arial"/>
          <w:sz w:val="22"/>
          <w:szCs w:val="22"/>
          <w:lang w:val="en-GB"/>
        </w:rPr>
        <w:t>, partner with normal s</w:t>
      </w:r>
      <w:r w:rsidRPr="0021644D">
        <w:rPr>
          <w:rFonts w:ascii="Arial" w:hAnsi="Arial" w:cs="Arial"/>
          <w:sz w:val="22"/>
          <w:szCs w:val="22"/>
          <w:lang w:val="en-GB"/>
        </w:rPr>
        <w:t xml:space="preserve">perm sample </w:t>
      </w:r>
      <w:r>
        <w:rPr>
          <w:rFonts w:ascii="Arial" w:hAnsi="Arial" w:cs="Arial"/>
          <w:sz w:val="22"/>
          <w:szCs w:val="22"/>
          <w:lang w:val="en-GB"/>
        </w:rPr>
        <w:t xml:space="preserve">or </w:t>
      </w:r>
      <w:r w:rsidRPr="0021644D">
        <w:rPr>
          <w:rFonts w:ascii="Arial" w:hAnsi="Arial" w:cs="Arial"/>
          <w:sz w:val="22"/>
          <w:szCs w:val="22"/>
          <w:lang w:val="en-GB"/>
        </w:rPr>
        <w:t>mild male factor</w:t>
      </w:r>
      <w:r>
        <w:rPr>
          <w:rFonts w:ascii="Arial" w:hAnsi="Arial" w:cs="Arial"/>
          <w:sz w:val="22"/>
          <w:szCs w:val="22"/>
          <w:lang w:val="en-GB"/>
        </w:rPr>
        <w:t xml:space="preserve">, a normal uterine cavity, and a basal FSH level below 20 IU/l. The LUFc is a tertiary university referral center for both endometriosis and infertility. </w:t>
      </w:r>
      <w:r w:rsidR="007153B1">
        <w:rPr>
          <w:rFonts w:ascii="Arial" w:hAnsi="Arial" w:cs="Arial"/>
          <w:sz w:val="22"/>
          <w:szCs w:val="22"/>
          <w:lang w:val="en-GB"/>
        </w:rPr>
        <w:t>P</w:t>
      </w:r>
      <w:r>
        <w:rPr>
          <w:rFonts w:ascii="Arial" w:hAnsi="Arial" w:cs="Arial"/>
          <w:sz w:val="22"/>
          <w:szCs w:val="22"/>
          <w:lang w:val="en-GB"/>
        </w:rPr>
        <w:t xml:space="preserve">atients were randomly allocated on a 1 : 1 ratio to either expectant management (R-exp) or gonadotrophin COH+IUI (R-IUI). </w:t>
      </w:r>
    </w:p>
    <w:p w14:paraId="1EB659ED" w14:textId="71D3FBBC" w:rsidR="00DC3A9C" w:rsidRPr="00C32D72" w:rsidRDefault="00DC3A9C" w:rsidP="00DC3A9C">
      <w:pPr>
        <w:spacing w:line="480" w:lineRule="auto"/>
        <w:rPr>
          <w:rFonts w:ascii="Arial" w:hAnsi="Arial" w:cs="Arial"/>
          <w:sz w:val="22"/>
          <w:szCs w:val="22"/>
          <w:lang w:val="en-US"/>
        </w:rPr>
      </w:pPr>
      <w:r w:rsidRPr="006630C1">
        <w:rPr>
          <w:rFonts w:ascii="Arial" w:hAnsi="Arial" w:cs="Arial"/>
          <w:b/>
          <w:bCs/>
          <w:iCs/>
          <w:color w:val="333333"/>
          <w:sz w:val="22"/>
          <w:szCs w:val="22"/>
          <w:highlight w:val="yellow"/>
          <w:lang w:val="en-US"/>
        </w:rPr>
        <w:lastRenderedPageBreak/>
        <w:t xml:space="preserve">Main </w:t>
      </w:r>
      <w:r>
        <w:rPr>
          <w:rFonts w:ascii="Arial" w:hAnsi="Arial" w:cs="Arial"/>
          <w:b/>
          <w:bCs/>
          <w:iCs/>
          <w:color w:val="333333"/>
          <w:sz w:val="22"/>
          <w:szCs w:val="22"/>
          <w:highlight w:val="yellow"/>
          <w:lang w:val="en-US"/>
        </w:rPr>
        <w:t>results and the role of chance:</w:t>
      </w:r>
      <w:r>
        <w:rPr>
          <w:rFonts w:ascii="Arial" w:hAnsi="Arial" w:cs="Arial"/>
          <w:bCs/>
          <w:iCs/>
          <w:color w:val="333333"/>
          <w:sz w:val="22"/>
          <w:szCs w:val="22"/>
          <w:highlight w:val="yellow"/>
          <w:lang w:val="en-US"/>
        </w:rPr>
        <w:t xml:space="preserve"> </w:t>
      </w:r>
      <w:r>
        <w:rPr>
          <w:rFonts w:ascii="Arial" w:hAnsi="Arial" w:cs="Arial"/>
          <w:bCs/>
          <w:iCs/>
          <w:color w:val="333333"/>
          <w:sz w:val="22"/>
          <w:szCs w:val="22"/>
          <w:lang w:val="en-US"/>
        </w:rPr>
        <w:t xml:space="preserve">Due to slow recruitment, the RCT was stopped prematurely (together with the observational study). 25 patients were randomized, 12 in the expectant and 13 in the COH+IUI group. </w:t>
      </w:r>
      <w:r>
        <w:rPr>
          <w:rFonts w:ascii="Arial" w:hAnsi="Arial" w:cs="Arial"/>
          <w:sz w:val="22"/>
          <w:szCs w:val="22"/>
          <w:lang w:val="en-US"/>
        </w:rPr>
        <w:t xml:space="preserve">In patients in the R-IUI-Group, cycles are a mix of spontaneous and COH+IUI cycles (48% with COH-IUI). The cumulative clinical </w:t>
      </w:r>
      <w:r w:rsidRPr="00C32D72">
        <w:rPr>
          <w:rFonts w:ascii="Arial" w:hAnsi="Arial" w:cs="Arial"/>
          <w:sz w:val="22"/>
          <w:szCs w:val="22"/>
          <w:lang w:val="en-US"/>
        </w:rPr>
        <w:t xml:space="preserve">pregnancy rate (7 menstrual cycles) was 54.6% (95%CI 36.5-74.6) in the R-exp group and 31.6% (95%CI 15.4-57.8) in the R-IUI-group (p=0.28, log-rank test). </w:t>
      </w:r>
    </w:p>
    <w:p w14:paraId="4B692A44" w14:textId="0DFF135C" w:rsidR="00DC3A9C" w:rsidRPr="00D1680F" w:rsidRDefault="007153B1" w:rsidP="00DC3A9C">
      <w:pPr>
        <w:spacing w:line="480" w:lineRule="auto"/>
        <w:rPr>
          <w:rFonts w:ascii="Arial" w:hAnsi="Arial" w:cs="Arial"/>
          <w:bCs/>
          <w:iCs/>
          <w:color w:val="333333"/>
          <w:sz w:val="22"/>
          <w:szCs w:val="22"/>
          <w:lang w:val="en-US"/>
        </w:rPr>
      </w:pPr>
      <w:r>
        <w:rPr>
          <w:rFonts w:ascii="Arial" w:hAnsi="Arial" w:cs="Arial"/>
          <w:sz w:val="22"/>
          <w:szCs w:val="22"/>
          <w:lang w:val="en-US"/>
        </w:rPr>
        <w:t xml:space="preserve"> </w:t>
      </w:r>
      <w:r w:rsidR="00DC3A9C">
        <w:rPr>
          <w:rFonts w:ascii="Arial" w:hAnsi="Arial" w:cs="Arial"/>
          <w:sz w:val="22"/>
          <w:szCs w:val="22"/>
          <w:lang w:val="en-US"/>
        </w:rPr>
        <w:t>Half of the pregnancies in the R-IUI group were spontaneous pregnancies.</w:t>
      </w:r>
    </w:p>
    <w:p w14:paraId="1C875D1B" w14:textId="5E64A427" w:rsidR="00DC3A9C" w:rsidRPr="006630C1" w:rsidRDefault="00DC3A9C" w:rsidP="00DC3A9C">
      <w:pPr>
        <w:pStyle w:val="Normaalweb"/>
        <w:tabs>
          <w:tab w:val="center" w:pos="4536"/>
        </w:tabs>
        <w:spacing w:after="0" w:line="480" w:lineRule="auto"/>
        <w:rPr>
          <w:rFonts w:ascii="Arial" w:hAnsi="Arial" w:cs="Arial"/>
          <w:b/>
          <w:bCs/>
          <w:iCs/>
          <w:color w:val="333333"/>
          <w:sz w:val="22"/>
          <w:szCs w:val="22"/>
          <w:highlight w:val="yellow"/>
          <w:lang w:val="en-US"/>
        </w:rPr>
      </w:pPr>
      <w:r w:rsidRPr="006630C1">
        <w:rPr>
          <w:rFonts w:ascii="Arial" w:hAnsi="Arial" w:cs="Arial"/>
          <w:b/>
          <w:bCs/>
          <w:iCs/>
          <w:color w:val="333333"/>
          <w:sz w:val="22"/>
          <w:szCs w:val="22"/>
          <w:highlight w:val="yellow"/>
          <w:lang w:val="en-US"/>
        </w:rPr>
        <w:t xml:space="preserve">Limitations, reasons for caution: </w:t>
      </w:r>
      <w:r>
        <w:rPr>
          <w:rFonts w:ascii="Arial" w:hAnsi="Arial" w:cs="Arial"/>
          <w:b/>
          <w:bCs/>
          <w:iCs/>
          <w:color w:val="333333"/>
          <w:sz w:val="22"/>
          <w:szCs w:val="22"/>
          <w:highlight w:val="yellow"/>
          <w:lang w:val="en-US"/>
        </w:rPr>
        <w:tab/>
      </w:r>
      <w:r w:rsidRPr="003D2FEB">
        <w:rPr>
          <w:rFonts w:ascii="Arial" w:hAnsi="Arial" w:cs="Arial"/>
          <w:bCs/>
          <w:iCs/>
          <w:color w:val="333333"/>
          <w:sz w:val="22"/>
          <w:szCs w:val="22"/>
          <w:lang w:val="en-US"/>
        </w:rPr>
        <w:t xml:space="preserve">The </w:t>
      </w:r>
      <w:r>
        <w:rPr>
          <w:rFonts w:ascii="Arial" w:hAnsi="Arial" w:cs="Arial"/>
          <w:sz w:val="22"/>
          <w:szCs w:val="22"/>
          <w:lang w:val="en-US"/>
        </w:rPr>
        <w:t xml:space="preserve">RCT lacked recruitment of the targeted sample size in the RCT, but a conditional power calculation revealed that even in the most optimistic scenario the probability of confirmation of our study hypothesis was estimated to be only 22.8%. </w:t>
      </w:r>
    </w:p>
    <w:p w14:paraId="100B8597" w14:textId="1C696517" w:rsidR="00DC3A9C" w:rsidRPr="003D2FEB" w:rsidRDefault="00DC3A9C" w:rsidP="00DC3A9C">
      <w:pPr>
        <w:spacing w:line="480" w:lineRule="auto"/>
        <w:rPr>
          <w:rFonts w:ascii="Arial" w:hAnsi="Arial" w:cs="Arial"/>
          <w:sz w:val="22"/>
          <w:szCs w:val="22"/>
          <w:lang w:val="en-US"/>
        </w:rPr>
      </w:pPr>
      <w:r w:rsidRPr="006630C1">
        <w:rPr>
          <w:rFonts w:ascii="Arial" w:hAnsi="Arial" w:cs="Arial"/>
          <w:b/>
          <w:bCs/>
          <w:iCs/>
          <w:color w:val="333333"/>
          <w:sz w:val="22"/>
          <w:szCs w:val="22"/>
          <w:highlight w:val="yellow"/>
          <w:lang w:val="en-US"/>
        </w:rPr>
        <w:t>Wider implications of the findings:</w:t>
      </w:r>
      <w:r w:rsidRPr="000E01FB">
        <w:rPr>
          <w:rFonts w:ascii="Arial" w:hAnsi="Arial" w:cs="Arial"/>
          <w:sz w:val="22"/>
          <w:szCs w:val="22"/>
          <w:lang w:val="en-US"/>
        </w:rPr>
        <w:t xml:space="preserve">  </w:t>
      </w:r>
      <w:r w:rsidR="007153B1">
        <w:rPr>
          <w:rFonts w:ascii="Arial" w:hAnsi="Arial" w:cs="Arial"/>
          <w:sz w:val="22"/>
          <w:szCs w:val="22"/>
          <w:lang w:val="en-US"/>
        </w:rPr>
        <w:t>We</w:t>
      </w:r>
      <w:r>
        <w:rPr>
          <w:rFonts w:ascii="Arial" w:hAnsi="Arial" w:cs="Arial"/>
          <w:sz w:val="22"/>
          <w:szCs w:val="22"/>
          <w:lang w:val="en-US"/>
        </w:rPr>
        <w:t xml:space="preserve"> postulate that </w:t>
      </w:r>
      <w:r w:rsidRPr="000E01FB">
        <w:rPr>
          <w:rFonts w:ascii="Arial" w:hAnsi="Arial" w:cs="Arial"/>
          <w:sz w:val="22"/>
          <w:szCs w:val="22"/>
          <w:lang w:val="en-US"/>
        </w:rPr>
        <w:t xml:space="preserve">surgical treatment </w:t>
      </w:r>
      <w:r>
        <w:rPr>
          <w:rFonts w:ascii="Arial" w:hAnsi="Arial" w:cs="Arial"/>
          <w:sz w:val="22"/>
          <w:szCs w:val="22"/>
          <w:lang w:val="en-US"/>
        </w:rPr>
        <w:t>is initially sufficient in women with</w:t>
      </w:r>
      <w:r w:rsidRPr="000E01FB">
        <w:rPr>
          <w:rFonts w:ascii="Arial" w:hAnsi="Arial" w:cs="Arial"/>
          <w:sz w:val="22"/>
          <w:szCs w:val="22"/>
          <w:lang w:val="en-US"/>
        </w:rPr>
        <w:t xml:space="preserve"> EFI scores 7-10. </w:t>
      </w:r>
    </w:p>
    <w:p w14:paraId="2510AED9" w14:textId="528B3080" w:rsidR="00DC3A9C" w:rsidRPr="00907252" w:rsidRDefault="00DC3A9C" w:rsidP="00DC3A9C">
      <w:pPr>
        <w:spacing w:line="480" w:lineRule="auto"/>
        <w:rPr>
          <w:rFonts w:ascii="Arial" w:hAnsi="Arial" w:cs="Arial"/>
          <w:sz w:val="22"/>
          <w:szCs w:val="22"/>
          <w:lang w:val="en-US"/>
        </w:rPr>
      </w:pPr>
      <w:r w:rsidRPr="006630C1">
        <w:rPr>
          <w:rFonts w:ascii="Arial" w:hAnsi="Arial" w:cs="Arial"/>
          <w:b/>
          <w:sz w:val="22"/>
          <w:szCs w:val="22"/>
          <w:highlight w:val="yellow"/>
          <w:lang w:val="en-US"/>
        </w:rPr>
        <w:t xml:space="preserve">Study funding/competing interest(s): </w:t>
      </w:r>
      <w:r w:rsidRPr="00907252">
        <w:rPr>
          <w:rFonts w:ascii="Arial" w:hAnsi="Arial" w:cs="Arial"/>
          <w:sz w:val="22"/>
          <w:szCs w:val="22"/>
          <w:lang w:val="en-US"/>
        </w:rPr>
        <w:t xml:space="preserve">C.T. is supported previously by the Clinical Research Fund of the University Hospitals of Leuven (KOF) and currently by the Fund for Scientific Research Flanders, Belgium (FWO). </w:t>
      </w:r>
      <w:r w:rsidR="007153B1">
        <w:rPr>
          <w:rFonts w:ascii="Arial" w:hAnsi="Arial" w:cs="Arial"/>
          <w:sz w:val="22"/>
          <w:szCs w:val="22"/>
          <w:lang w:val="en-US"/>
        </w:rPr>
        <w:t>T</w:t>
      </w:r>
      <w:r w:rsidRPr="00907252">
        <w:rPr>
          <w:rFonts w:ascii="Arial" w:hAnsi="Arial" w:cs="Arial"/>
          <w:sz w:val="22"/>
          <w:szCs w:val="22"/>
          <w:lang w:val="en-US"/>
        </w:rPr>
        <w:t>he gonadotrophins used were provided by Ferring Pharmaceuticals. The LUFC receives unrestricted research grants from Ferring Pharmaceuticals and Merck</w:t>
      </w:r>
      <w:r w:rsidR="007153B1">
        <w:rPr>
          <w:rFonts w:ascii="Arial" w:hAnsi="Arial" w:cs="Arial"/>
          <w:sz w:val="22"/>
          <w:szCs w:val="22"/>
          <w:lang w:val="en-US"/>
        </w:rPr>
        <w:t>-Serono</w:t>
      </w:r>
      <w:r w:rsidRPr="00907252">
        <w:rPr>
          <w:rFonts w:ascii="Arial" w:hAnsi="Arial" w:cs="Arial"/>
          <w:sz w:val="22"/>
          <w:szCs w:val="22"/>
          <w:lang w:val="en-US"/>
        </w:rPr>
        <w:t xml:space="preserve">. The authors declare that there is no conflict of interest.  </w:t>
      </w:r>
    </w:p>
    <w:p w14:paraId="0C108F21" w14:textId="77777777" w:rsidR="00DC3A9C" w:rsidRPr="00907252" w:rsidRDefault="00DC3A9C" w:rsidP="00DC3A9C">
      <w:pPr>
        <w:spacing w:line="480" w:lineRule="auto"/>
        <w:rPr>
          <w:rFonts w:ascii="Arial" w:hAnsi="Arial" w:cs="Arial"/>
          <w:sz w:val="22"/>
          <w:szCs w:val="22"/>
          <w:highlight w:val="yellow"/>
          <w:lang w:val="en-US"/>
        </w:rPr>
      </w:pPr>
      <w:r w:rsidRPr="00907252">
        <w:rPr>
          <w:rFonts w:ascii="Arial" w:hAnsi="Arial" w:cs="Arial"/>
          <w:b/>
          <w:sz w:val="22"/>
          <w:szCs w:val="22"/>
          <w:highlight w:val="yellow"/>
          <w:lang w:val="en-US"/>
        </w:rPr>
        <w:t>Trial registration number</w:t>
      </w:r>
      <w:r w:rsidRPr="00907252">
        <w:rPr>
          <w:rFonts w:ascii="Arial" w:hAnsi="Arial" w:cs="Arial"/>
          <w:b/>
          <w:sz w:val="22"/>
          <w:szCs w:val="22"/>
          <w:lang w:val="en-US"/>
        </w:rPr>
        <w:t>:</w:t>
      </w:r>
      <w:r w:rsidRPr="00907252">
        <w:rPr>
          <w:rFonts w:ascii="Arial" w:hAnsi="Arial" w:cs="Arial"/>
          <w:sz w:val="22"/>
          <w:szCs w:val="22"/>
          <w:lang w:val="en-US"/>
        </w:rPr>
        <w:t xml:space="preserve"> study registration number at UZ Leuven Clinical Trial Center: S5</w:t>
      </w:r>
      <w:r>
        <w:rPr>
          <w:rFonts w:ascii="Arial" w:hAnsi="Arial" w:cs="Arial"/>
          <w:sz w:val="22"/>
          <w:szCs w:val="22"/>
          <w:lang w:val="en-US"/>
        </w:rPr>
        <w:t>5983;</w:t>
      </w:r>
      <w:r w:rsidRPr="00907252">
        <w:rPr>
          <w:lang w:val="en-US"/>
        </w:rPr>
        <w:t xml:space="preserve"> </w:t>
      </w:r>
      <w:r w:rsidRPr="00907252">
        <w:rPr>
          <w:rFonts w:ascii="Arial" w:hAnsi="Arial" w:cs="Arial"/>
          <w:sz w:val="22"/>
          <w:szCs w:val="22"/>
          <w:lang w:val="en-US"/>
        </w:rPr>
        <w:t>EudraCT number 2013-005420-42</w:t>
      </w:r>
      <w:r>
        <w:rPr>
          <w:rFonts w:ascii="Arial" w:hAnsi="Arial" w:cs="Arial"/>
          <w:sz w:val="22"/>
          <w:szCs w:val="22"/>
          <w:lang w:val="en-US"/>
        </w:rPr>
        <w:t>;</w:t>
      </w:r>
      <w:r w:rsidRPr="00907252">
        <w:rPr>
          <w:rFonts w:ascii="Arial" w:hAnsi="Arial" w:cs="Arial"/>
          <w:sz w:val="22"/>
          <w:szCs w:val="22"/>
          <w:lang w:val="en-US"/>
        </w:rPr>
        <w:t xml:space="preserve"> clinicaltrials.gov: NCT02636400</w:t>
      </w:r>
    </w:p>
    <w:p w14:paraId="724FA5B9" w14:textId="77777777" w:rsidR="00DC3A9C" w:rsidRPr="00907252" w:rsidRDefault="00DC3A9C" w:rsidP="00DC3A9C">
      <w:pPr>
        <w:spacing w:line="480" w:lineRule="auto"/>
        <w:rPr>
          <w:rFonts w:ascii="Arial" w:hAnsi="Arial" w:cs="Arial"/>
          <w:sz w:val="22"/>
          <w:szCs w:val="22"/>
          <w:lang w:val="en-US"/>
        </w:rPr>
      </w:pPr>
      <w:r w:rsidRPr="00907252">
        <w:rPr>
          <w:rFonts w:ascii="Arial" w:hAnsi="Arial" w:cs="Arial"/>
          <w:b/>
          <w:sz w:val="22"/>
          <w:szCs w:val="22"/>
          <w:lang w:val="en-US"/>
        </w:rPr>
        <w:t xml:space="preserve">Key words: </w:t>
      </w:r>
      <w:r w:rsidRPr="00907252">
        <w:rPr>
          <w:rFonts w:ascii="Arial" w:hAnsi="Arial" w:cs="Arial"/>
          <w:sz w:val="22"/>
          <w:szCs w:val="22"/>
          <w:lang w:val="en-US"/>
        </w:rPr>
        <w:t>endometriosis, laparoscopy, insemination, clinical pregnancy</w:t>
      </w:r>
    </w:p>
    <w:p w14:paraId="7495A802" w14:textId="77777777" w:rsidR="00DC3A9C" w:rsidRPr="00452993" w:rsidRDefault="00DC3A9C" w:rsidP="00DC3A9C">
      <w:pPr>
        <w:spacing w:line="480" w:lineRule="auto"/>
        <w:rPr>
          <w:lang w:val="en-US"/>
        </w:rPr>
      </w:pPr>
    </w:p>
    <w:p w14:paraId="31CE24C2" w14:textId="77777777" w:rsidR="0080481C" w:rsidRPr="00907252" w:rsidRDefault="0080481C" w:rsidP="00DC3A9C">
      <w:pPr>
        <w:spacing w:line="480" w:lineRule="auto"/>
        <w:rPr>
          <w:rFonts w:ascii="Arial" w:hAnsi="Arial" w:cs="Arial"/>
          <w:sz w:val="22"/>
          <w:szCs w:val="22"/>
          <w:lang w:val="en-US"/>
        </w:rPr>
      </w:pPr>
    </w:p>
    <w:p w14:paraId="4C64E2DE" w14:textId="77777777" w:rsidR="0080481C" w:rsidRPr="00907252" w:rsidRDefault="0080481C" w:rsidP="00DC3A9C">
      <w:pPr>
        <w:spacing w:line="480" w:lineRule="auto"/>
        <w:rPr>
          <w:rFonts w:ascii="Arial" w:hAnsi="Arial" w:cs="Arial"/>
          <w:b/>
          <w:sz w:val="22"/>
          <w:szCs w:val="22"/>
          <w:lang w:val="en-US"/>
        </w:rPr>
      </w:pPr>
      <w:r w:rsidRPr="00907252">
        <w:rPr>
          <w:rFonts w:ascii="Arial" w:hAnsi="Arial" w:cs="Arial"/>
          <w:b/>
          <w:sz w:val="22"/>
          <w:szCs w:val="22"/>
          <w:lang w:val="en-US"/>
        </w:rPr>
        <w:br w:type="page"/>
      </w:r>
    </w:p>
    <w:p w14:paraId="556047EC" w14:textId="77777777" w:rsidR="0080481C" w:rsidRDefault="0080481C" w:rsidP="0080481C">
      <w:pPr>
        <w:spacing w:line="480" w:lineRule="auto"/>
        <w:rPr>
          <w:rFonts w:ascii="Arial" w:hAnsi="Arial" w:cs="Arial"/>
          <w:b/>
          <w:sz w:val="22"/>
          <w:szCs w:val="22"/>
          <w:lang w:val="en-US"/>
        </w:rPr>
      </w:pPr>
      <w:r w:rsidRPr="0080481C">
        <w:rPr>
          <w:rFonts w:ascii="Arial" w:hAnsi="Arial" w:cs="Arial"/>
          <w:b/>
          <w:sz w:val="22"/>
          <w:szCs w:val="22"/>
          <w:lang w:val="en-US"/>
        </w:rPr>
        <w:lastRenderedPageBreak/>
        <w:t>INTRODUCTION</w:t>
      </w:r>
    </w:p>
    <w:p w14:paraId="69B40A70" w14:textId="655593A3" w:rsidR="00256351" w:rsidRDefault="0080481C" w:rsidP="00256351">
      <w:pPr>
        <w:spacing w:line="480" w:lineRule="auto"/>
        <w:rPr>
          <w:rFonts w:ascii="Arial" w:hAnsi="Arial" w:cs="Arial"/>
          <w:sz w:val="22"/>
          <w:szCs w:val="22"/>
          <w:lang w:val="en-US"/>
        </w:rPr>
      </w:pPr>
      <w:r>
        <w:rPr>
          <w:rFonts w:ascii="Arial" w:hAnsi="Arial" w:cs="Arial"/>
          <w:sz w:val="22"/>
          <w:szCs w:val="22"/>
          <w:lang w:val="en-US"/>
        </w:rPr>
        <w:t xml:space="preserve">The </w:t>
      </w:r>
      <w:r w:rsidR="007825D6">
        <w:rPr>
          <w:rFonts w:ascii="Arial" w:hAnsi="Arial" w:cs="Arial"/>
          <w:sz w:val="22"/>
          <w:szCs w:val="22"/>
          <w:lang w:val="en-US"/>
        </w:rPr>
        <w:t>place</w:t>
      </w:r>
      <w:r>
        <w:rPr>
          <w:rFonts w:ascii="Arial" w:hAnsi="Arial" w:cs="Arial"/>
          <w:sz w:val="22"/>
          <w:szCs w:val="22"/>
          <w:lang w:val="en-US"/>
        </w:rPr>
        <w:t xml:space="preserve"> of treatment with </w:t>
      </w:r>
      <w:r w:rsidRPr="0080481C">
        <w:rPr>
          <w:rFonts w:ascii="Arial" w:hAnsi="Arial" w:cs="Arial"/>
          <w:sz w:val="22"/>
          <w:szCs w:val="22"/>
          <w:lang w:val="en-US"/>
        </w:rPr>
        <w:t xml:space="preserve">intra-uterine insemination (IUI) in </w:t>
      </w:r>
      <w:r>
        <w:rPr>
          <w:rFonts w:ascii="Arial" w:hAnsi="Arial" w:cs="Arial"/>
          <w:sz w:val="22"/>
          <w:szCs w:val="22"/>
          <w:lang w:val="en-US"/>
        </w:rPr>
        <w:t xml:space="preserve">subfertile </w:t>
      </w:r>
      <w:r w:rsidR="00E71D1A">
        <w:rPr>
          <w:rFonts w:ascii="Arial" w:hAnsi="Arial" w:cs="Arial"/>
          <w:sz w:val="22"/>
          <w:szCs w:val="22"/>
          <w:lang w:val="en-US"/>
        </w:rPr>
        <w:t>women</w:t>
      </w:r>
      <w:r w:rsidRPr="0080481C">
        <w:rPr>
          <w:rFonts w:ascii="Arial" w:hAnsi="Arial" w:cs="Arial"/>
          <w:sz w:val="22"/>
          <w:szCs w:val="22"/>
          <w:lang w:val="en-US"/>
        </w:rPr>
        <w:t xml:space="preserve"> with endometriosis is not </w:t>
      </w:r>
      <w:r w:rsidR="007825D6">
        <w:rPr>
          <w:rFonts w:ascii="Arial" w:hAnsi="Arial" w:cs="Arial"/>
          <w:sz w:val="22"/>
          <w:szCs w:val="22"/>
          <w:lang w:val="en-US"/>
        </w:rPr>
        <w:t>well</w:t>
      </w:r>
      <w:r w:rsidRPr="0080481C">
        <w:rPr>
          <w:rFonts w:ascii="Arial" w:hAnsi="Arial" w:cs="Arial"/>
          <w:sz w:val="22"/>
          <w:szCs w:val="22"/>
          <w:lang w:val="en-US"/>
        </w:rPr>
        <w:t xml:space="preserve"> established</w:t>
      </w:r>
      <w:r w:rsidR="00551063">
        <w:rPr>
          <w:rFonts w:ascii="Arial" w:hAnsi="Arial" w:cs="Arial"/>
          <w:sz w:val="22"/>
          <w:szCs w:val="22"/>
          <w:lang w:val="en-US"/>
        </w:rPr>
        <w:t>, and primarily studied in rASRM stage I/II endometriosis (minimal/mild disease</w:t>
      </w:r>
      <w:r w:rsidR="00B0346A">
        <w:rPr>
          <w:rFonts w:ascii="Arial" w:hAnsi="Arial" w:cs="Arial"/>
          <w:sz w:val="22"/>
          <w:szCs w:val="22"/>
          <w:lang w:val="en-US"/>
        </w:rPr>
        <w:t>:</w:t>
      </w:r>
      <w:r w:rsidR="00551063">
        <w:rPr>
          <w:rFonts w:ascii="Arial" w:hAnsi="Arial" w:cs="Arial"/>
          <w:sz w:val="22"/>
          <w:szCs w:val="22"/>
          <w:lang w:val="en-US"/>
        </w:rPr>
        <w:t xml:space="preserve"> mainly peritoneal</w:t>
      </w:r>
      <w:r w:rsidR="00B0346A">
        <w:rPr>
          <w:rFonts w:ascii="Arial" w:hAnsi="Arial" w:cs="Arial"/>
          <w:sz w:val="22"/>
          <w:szCs w:val="22"/>
          <w:lang w:val="en-US"/>
        </w:rPr>
        <w:t xml:space="preserve"> lesions</w:t>
      </w:r>
      <w:r w:rsidR="00551063">
        <w:rPr>
          <w:rFonts w:ascii="Arial" w:hAnsi="Arial" w:cs="Arial"/>
          <w:sz w:val="22"/>
          <w:szCs w:val="22"/>
          <w:lang w:val="en-US"/>
        </w:rPr>
        <w:t>)</w:t>
      </w:r>
      <w:r w:rsidRPr="0080481C">
        <w:rPr>
          <w:rFonts w:ascii="Arial" w:hAnsi="Arial" w:cs="Arial"/>
          <w:sz w:val="22"/>
          <w:szCs w:val="22"/>
          <w:lang w:val="en-US"/>
        </w:rPr>
        <w:t>.</w:t>
      </w:r>
      <w:r w:rsidR="00CF039F">
        <w:rPr>
          <w:rFonts w:ascii="Arial" w:hAnsi="Arial" w:cs="Arial"/>
          <w:sz w:val="22"/>
          <w:szCs w:val="22"/>
          <w:lang w:val="en-US"/>
        </w:rPr>
        <w:t xml:space="preserve"> </w:t>
      </w:r>
      <w:r w:rsidR="00CF039F" w:rsidRPr="00CF039F">
        <w:rPr>
          <w:rFonts w:ascii="Arial" w:hAnsi="Arial" w:cs="Arial"/>
          <w:sz w:val="22"/>
          <w:szCs w:val="22"/>
          <w:lang w:val="en-US"/>
        </w:rPr>
        <w:t xml:space="preserve">IUI has been proposed as </w:t>
      </w:r>
      <w:r w:rsidR="006D51C4">
        <w:rPr>
          <w:rFonts w:ascii="Arial" w:hAnsi="Arial" w:cs="Arial"/>
          <w:sz w:val="22"/>
          <w:szCs w:val="22"/>
          <w:lang w:val="en-US"/>
        </w:rPr>
        <w:t>a</w:t>
      </w:r>
      <w:r w:rsidR="00E71D1A">
        <w:rPr>
          <w:rFonts w:ascii="Arial" w:hAnsi="Arial" w:cs="Arial"/>
          <w:sz w:val="22"/>
          <w:szCs w:val="22"/>
          <w:lang w:val="en-US"/>
        </w:rPr>
        <w:t xml:space="preserve"> </w:t>
      </w:r>
      <w:r w:rsidR="00CF039F" w:rsidRPr="00CF039F">
        <w:rPr>
          <w:rFonts w:ascii="Arial" w:hAnsi="Arial" w:cs="Arial"/>
          <w:sz w:val="22"/>
          <w:szCs w:val="22"/>
          <w:lang w:val="en-US"/>
        </w:rPr>
        <w:t xml:space="preserve">first treatment option in women with </w:t>
      </w:r>
      <w:r w:rsidR="006D51C4">
        <w:rPr>
          <w:rFonts w:ascii="Arial" w:hAnsi="Arial" w:cs="Arial"/>
          <w:sz w:val="22"/>
          <w:szCs w:val="22"/>
          <w:lang w:val="en-US"/>
        </w:rPr>
        <w:t xml:space="preserve">rASRM </w:t>
      </w:r>
      <w:r w:rsidR="00CF039F" w:rsidRPr="00CF039F">
        <w:rPr>
          <w:rFonts w:ascii="Arial" w:hAnsi="Arial" w:cs="Arial"/>
          <w:sz w:val="22"/>
          <w:szCs w:val="22"/>
          <w:lang w:val="en-US"/>
        </w:rPr>
        <w:t>stage I</w:t>
      </w:r>
      <w:r w:rsidR="006D51C4">
        <w:rPr>
          <w:rFonts w:ascii="Arial" w:hAnsi="Arial" w:cs="Arial"/>
          <w:sz w:val="22"/>
          <w:szCs w:val="22"/>
          <w:lang w:val="en-US"/>
        </w:rPr>
        <w:t>/</w:t>
      </w:r>
      <w:r w:rsidR="00CF039F" w:rsidRPr="00CF039F">
        <w:rPr>
          <w:rFonts w:ascii="Arial" w:hAnsi="Arial" w:cs="Arial"/>
          <w:sz w:val="22"/>
          <w:szCs w:val="22"/>
          <w:lang w:val="en-US"/>
        </w:rPr>
        <w:t xml:space="preserve">II </w:t>
      </w:r>
      <w:r w:rsidR="006D51C4">
        <w:rPr>
          <w:rFonts w:ascii="Arial" w:hAnsi="Arial" w:cs="Arial"/>
          <w:sz w:val="22"/>
          <w:szCs w:val="22"/>
          <w:lang w:val="en-US"/>
        </w:rPr>
        <w:t>endometriosis</w:t>
      </w:r>
      <w:r w:rsidR="00CF039F">
        <w:rPr>
          <w:rFonts w:ascii="Arial" w:hAnsi="Arial" w:cs="Arial"/>
          <w:sz w:val="22"/>
          <w:szCs w:val="22"/>
          <w:lang w:val="en-US"/>
        </w:rPr>
        <w:t xml:space="preserve"> </w:t>
      </w:r>
      <w:r w:rsidR="00CF039F" w:rsidRPr="0080481C">
        <w:rPr>
          <w:rFonts w:ascii="Arial" w:hAnsi="Arial" w:cs="Arial"/>
          <w:sz w:val="22"/>
          <w:szCs w:val="22"/>
          <w:lang w:val="en-US"/>
        </w:rPr>
        <w:t>(</w:t>
      </w:r>
      <w:r w:rsidR="00CF039F">
        <w:rPr>
          <w:rFonts w:ascii="Arial" w:hAnsi="Arial" w:cs="Arial"/>
          <w:sz w:val="22"/>
          <w:szCs w:val="22"/>
          <w:lang w:val="en-US"/>
        </w:rPr>
        <w:t>Dunselman et al, 2014; ASRM, 2012</w:t>
      </w:r>
      <w:r w:rsidR="00CF039F" w:rsidRPr="0080481C">
        <w:rPr>
          <w:rFonts w:ascii="Arial" w:hAnsi="Arial" w:cs="Arial"/>
          <w:sz w:val="22"/>
          <w:szCs w:val="22"/>
          <w:lang w:val="en-US"/>
        </w:rPr>
        <w:t>)</w:t>
      </w:r>
      <w:r w:rsidR="00256351">
        <w:rPr>
          <w:rFonts w:ascii="Arial" w:hAnsi="Arial" w:cs="Arial"/>
          <w:sz w:val="22"/>
          <w:szCs w:val="22"/>
          <w:lang w:val="en-US"/>
        </w:rPr>
        <w:t>, although pregnancy rates in</w:t>
      </w:r>
      <w:r w:rsidR="00CF039F">
        <w:rPr>
          <w:rFonts w:ascii="Arial" w:hAnsi="Arial" w:cs="Arial"/>
          <w:sz w:val="22"/>
          <w:szCs w:val="22"/>
          <w:lang w:val="en-US"/>
        </w:rPr>
        <w:t xml:space="preserve"> surgically</w:t>
      </w:r>
      <w:r w:rsidR="00256351">
        <w:rPr>
          <w:rFonts w:ascii="Arial" w:hAnsi="Arial" w:cs="Arial"/>
          <w:sz w:val="22"/>
          <w:szCs w:val="22"/>
          <w:lang w:val="en-US"/>
        </w:rPr>
        <w:t xml:space="preserve"> untreated </w:t>
      </w:r>
      <w:r w:rsidR="00551063">
        <w:rPr>
          <w:rFonts w:ascii="Arial" w:hAnsi="Arial" w:cs="Arial"/>
          <w:sz w:val="22"/>
          <w:szCs w:val="22"/>
          <w:lang w:val="en-US"/>
        </w:rPr>
        <w:t>stage I/II</w:t>
      </w:r>
      <w:r w:rsidR="00256351">
        <w:rPr>
          <w:rFonts w:ascii="Arial" w:hAnsi="Arial" w:cs="Arial"/>
          <w:sz w:val="22"/>
          <w:szCs w:val="22"/>
          <w:lang w:val="en-US"/>
        </w:rPr>
        <w:t xml:space="preserve"> endometriosis patients are lower than in patients with unexplained infertility (based on a retrospective (Nuojua-Huttonen et al, 1999) and a prospective cohort study (</w:t>
      </w:r>
      <w:r w:rsidR="00256351" w:rsidRPr="0080481C">
        <w:rPr>
          <w:rFonts w:ascii="Arial" w:hAnsi="Arial" w:cs="Arial"/>
          <w:sz w:val="22"/>
          <w:szCs w:val="22"/>
          <w:lang w:val="en-US"/>
        </w:rPr>
        <w:t>Omland et al</w:t>
      </w:r>
      <w:r w:rsidR="00256351">
        <w:rPr>
          <w:rFonts w:ascii="Arial" w:hAnsi="Arial" w:cs="Arial"/>
          <w:sz w:val="22"/>
          <w:szCs w:val="22"/>
          <w:lang w:val="en-US"/>
        </w:rPr>
        <w:t>, 1</w:t>
      </w:r>
      <w:r w:rsidR="00256351" w:rsidRPr="0080481C">
        <w:rPr>
          <w:rFonts w:ascii="Arial" w:hAnsi="Arial" w:cs="Arial"/>
          <w:sz w:val="22"/>
          <w:szCs w:val="22"/>
          <w:lang w:val="en-US"/>
        </w:rPr>
        <w:t>998</w:t>
      </w:r>
      <w:r w:rsidR="00256351">
        <w:rPr>
          <w:rFonts w:ascii="Arial" w:hAnsi="Arial" w:cs="Arial"/>
          <w:sz w:val="22"/>
          <w:szCs w:val="22"/>
          <w:lang w:val="en-US"/>
        </w:rPr>
        <w:t>)). In</w:t>
      </w:r>
      <w:r w:rsidR="004D2FCE">
        <w:rPr>
          <w:rFonts w:ascii="Arial" w:hAnsi="Arial" w:cs="Arial"/>
          <w:sz w:val="22"/>
          <w:szCs w:val="22"/>
          <w:lang w:val="en-US"/>
        </w:rPr>
        <w:t xml:space="preserve"> surgically</w:t>
      </w:r>
      <w:r w:rsidR="00256351">
        <w:rPr>
          <w:rFonts w:ascii="Arial" w:hAnsi="Arial" w:cs="Arial"/>
          <w:sz w:val="22"/>
          <w:szCs w:val="22"/>
          <w:lang w:val="en-US"/>
        </w:rPr>
        <w:t xml:space="preserve"> treated </w:t>
      </w:r>
      <w:r w:rsidR="00551063">
        <w:rPr>
          <w:rFonts w:ascii="Arial" w:hAnsi="Arial" w:cs="Arial"/>
          <w:sz w:val="22"/>
          <w:szCs w:val="22"/>
          <w:lang w:val="en-US"/>
        </w:rPr>
        <w:t>stage I/II</w:t>
      </w:r>
      <w:r w:rsidR="00551063" w:rsidRPr="0080481C">
        <w:rPr>
          <w:rFonts w:ascii="Arial" w:hAnsi="Arial" w:cs="Arial"/>
          <w:sz w:val="22"/>
          <w:szCs w:val="22"/>
          <w:lang w:val="en-US"/>
        </w:rPr>
        <w:t xml:space="preserve"> </w:t>
      </w:r>
      <w:r w:rsidR="00256351">
        <w:rPr>
          <w:rFonts w:ascii="Arial" w:hAnsi="Arial" w:cs="Arial"/>
          <w:sz w:val="22"/>
          <w:szCs w:val="22"/>
          <w:lang w:val="en-US"/>
        </w:rPr>
        <w:t>endometriosis patients</w:t>
      </w:r>
      <w:r w:rsidR="00256351" w:rsidRPr="0080481C">
        <w:rPr>
          <w:rFonts w:ascii="Arial" w:hAnsi="Arial" w:cs="Arial"/>
          <w:sz w:val="22"/>
          <w:szCs w:val="22"/>
          <w:lang w:val="en-US"/>
        </w:rPr>
        <w:t xml:space="preserve">, a study from our own center (Werbrouck et al, 2006) showed that IUI with </w:t>
      </w:r>
      <w:r w:rsidR="006630C1">
        <w:rPr>
          <w:rFonts w:ascii="Arial" w:hAnsi="Arial" w:cs="Arial"/>
          <w:sz w:val="22"/>
          <w:szCs w:val="22"/>
          <w:lang w:val="en-US"/>
        </w:rPr>
        <w:t>controlled ovarian hyper-stimulation (COH)</w:t>
      </w:r>
      <w:r w:rsidR="006630C1" w:rsidRPr="0080481C">
        <w:rPr>
          <w:rFonts w:ascii="Arial" w:hAnsi="Arial" w:cs="Arial"/>
          <w:sz w:val="22"/>
          <w:szCs w:val="22"/>
          <w:lang w:val="en-US"/>
        </w:rPr>
        <w:t xml:space="preserve"> </w:t>
      </w:r>
      <w:r w:rsidR="006630C1">
        <w:rPr>
          <w:rFonts w:ascii="Arial" w:hAnsi="Arial" w:cs="Arial"/>
          <w:sz w:val="22"/>
          <w:szCs w:val="22"/>
          <w:lang w:val="en-US"/>
        </w:rPr>
        <w:t xml:space="preserve">with </w:t>
      </w:r>
      <w:r w:rsidR="00256351" w:rsidRPr="0080481C">
        <w:rPr>
          <w:rFonts w:ascii="Arial" w:hAnsi="Arial" w:cs="Arial"/>
          <w:sz w:val="22"/>
          <w:szCs w:val="22"/>
          <w:lang w:val="en-US"/>
        </w:rPr>
        <w:t>gonadotrophin</w:t>
      </w:r>
      <w:r w:rsidR="006630C1">
        <w:rPr>
          <w:rFonts w:ascii="Arial" w:hAnsi="Arial" w:cs="Arial"/>
          <w:sz w:val="22"/>
          <w:szCs w:val="22"/>
          <w:lang w:val="en-US"/>
        </w:rPr>
        <w:t xml:space="preserve">s </w:t>
      </w:r>
      <w:r w:rsidR="00256351" w:rsidRPr="0080481C">
        <w:rPr>
          <w:rFonts w:ascii="Arial" w:hAnsi="Arial" w:cs="Arial"/>
          <w:sz w:val="22"/>
          <w:szCs w:val="22"/>
          <w:lang w:val="en-US"/>
        </w:rPr>
        <w:t xml:space="preserve">was similarly effective </w:t>
      </w:r>
      <w:r w:rsidR="00551063">
        <w:rPr>
          <w:rFonts w:ascii="Arial" w:hAnsi="Arial" w:cs="Arial"/>
          <w:sz w:val="22"/>
          <w:szCs w:val="22"/>
          <w:lang w:val="en-US"/>
        </w:rPr>
        <w:t xml:space="preserve">as in </w:t>
      </w:r>
      <w:r w:rsidR="00256351" w:rsidRPr="0080481C">
        <w:rPr>
          <w:rFonts w:ascii="Arial" w:hAnsi="Arial" w:cs="Arial"/>
          <w:sz w:val="22"/>
          <w:szCs w:val="22"/>
          <w:lang w:val="en-US"/>
        </w:rPr>
        <w:t>wome</w:t>
      </w:r>
      <w:r w:rsidR="00256351">
        <w:rPr>
          <w:rFonts w:ascii="Arial" w:hAnsi="Arial" w:cs="Arial"/>
          <w:sz w:val="22"/>
          <w:szCs w:val="22"/>
          <w:lang w:val="en-US"/>
        </w:rPr>
        <w:t>n with unexplained infertility, which</w:t>
      </w:r>
      <w:r w:rsidR="00256351" w:rsidRPr="0080481C">
        <w:rPr>
          <w:rFonts w:ascii="Arial" w:hAnsi="Arial" w:cs="Arial"/>
          <w:sz w:val="22"/>
          <w:szCs w:val="22"/>
          <w:lang w:val="en-US"/>
        </w:rPr>
        <w:t xml:space="preserve"> might </w:t>
      </w:r>
      <w:r w:rsidR="00256351">
        <w:rPr>
          <w:rFonts w:ascii="Arial" w:hAnsi="Arial" w:cs="Arial"/>
          <w:sz w:val="22"/>
          <w:szCs w:val="22"/>
          <w:lang w:val="en-US"/>
        </w:rPr>
        <w:t>indirectly</w:t>
      </w:r>
      <w:r w:rsidR="00256351" w:rsidRPr="0080481C">
        <w:rPr>
          <w:rFonts w:ascii="Arial" w:hAnsi="Arial" w:cs="Arial"/>
          <w:sz w:val="22"/>
          <w:szCs w:val="22"/>
          <w:lang w:val="en-US"/>
        </w:rPr>
        <w:t xml:space="preserve"> </w:t>
      </w:r>
      <w:r w:rsidR="00256351">
        <w:rPr>
          <w:rFonts w:ascii="Arial" w:hAnsi="Arial" w:cs="Arial"/>
          <w:sz w:val="22"/>
          <w:szCs w:val="22"/>
          <w:lang w:val="en-US"/>
        </w:rPr>
        <w:t xml:space="preserve">show that surgery for endometriosis improves IUI pregnancy rates for endometriosis patients </w:t>
      </w:r>
      <w:r w:rsidR="00256351" w:rsidRPr="0080481C">
        <w:rPr>
          <w:rFonts w:ascii="Arial" w:hAnsi="Arial" w:cs="Arial"/>
          <w:sz w:val="22"/>
          <w:szCs w:val="22"/>
          <w:lang w:val="en-US"/>
        </w:rPr>
        <w:t>(Werbrouck et al, 2006; De Ziegler et al, 2010).</w:t>
      </w:r>
      <w:r w:rsidR="00256351">
        <w:rPr>
          <w:rFonts w:ascii="Arial" w:hAnsi="Arial" w:cs="Arial"/>
          <w:sz w:val="22"/>
          <w:szCs w:val="22"/>
          <w:lang w:val="en-US"/>
        </w:rPr>
        <w:t xml:space="preserve"> In</w:t>
      </w:r>
      <w:r w:rsidR="00CF039F">
        <w:rPr>
          <w:rFonts w:ascii="Arial" w:hAnsi="Arial" w:cs="Arial"/>
          <w:sz w:val="22"/>
          <w:szCs w:val="22"/>
          <w:lang w:val="en-US"/>
        </w:rPr>
        <w:t xml:space="preserve"> addition, in</w:t>
      </w:r>
      <w:r w:rsidR="00256351">
        <w:rPr>
          <w:rFonts w:ascii="Arial" w:hAnsi="Arial" w:cs="Arial"/>
          <w:sz w:val="22"/>
          <w:szCs w:val="22"/>
          <w:lang w:val="en-US"/>
        </w:rPr>
        <w:t xml:space="preserve"> a randomized study by Nulsen et al</w:t>
      </w:r>
      <w:r w:rsidR="006630C1">
        <w:rPr>
          <w:rFonts w:ascii="Arial" w:hAnsi="Arial" w:cs="Arial"/>
          <w:sz w:val="22"/>
          <w:szCs w:val="22"/>
          <w:lang w:val="en-US"/>
        </w:rPr>
        <w:t>.</w:t>
      </w:r>
      <w:r w:rsidR="00256351">
        <w:rPr>
          <w:rFonts w:ascii="Arial" w:hAnsi="Arial" w:cs="Arial"/>
          <w:sz w:val="22"/>
          <w:szCs w:val="22"/>
          <w:lang w:val="en-US"/>
        </w:rPr>
        <w:t xml:space="preserve"> (1993), it was concluded that  - when performing IUI in patients </w:t>
      </w:r>
      <w:r w:rsidR="00551063">
        <w:rPr>
          <w:rFonts w:ascii="Arial" w:hAnsi="Arial" w:cs="Arial"/>
          <w:sz w:val="22"/>
          <w:szCs w:val="22"/>
          <w:lang w:val="en-US"/>
        </w:rPr>
        <w:t xml:space="preserve">with </w:t>
      </w:r>
      <w:r w:rsidR="004D2FCE">
        <w:rPr>
          <w:rFonts w:ascii="Arial" w:hAnsi="Arial" w:cs="Arial"/>
          <w:sz w:val="22"/>
          <w:szCs w:val="22"/>
          <w:lang w:val="en-US"/>
        </w:rPr>
        <w:t xml:space="preserve">stage I/II </w:t>
      </w:r>
      <w:r w:rsidR="00551063">
        <w:rPr>
          <w:rFonts w:ascii="Arial" w:hAnsi="Arial" w:cs="Arial"/>
          <w:sz w:val="22"/>
          <w:szCs w:val="22"/>
          <w:lang w:val="en-US"/>
        </w:rPr>
        <w:t>endometriosis -</w:t>
      </w:r>
      <w:r w:rsidR="00256351">
        <w:rPr>
          <w:rFonts w:ascii="Arial" w:hAnsi="Arial" w:cs="Arial"/>
          <w:sz w:val="22"/>
          <w:szCs w:val="22"/>
          <w:lang w:val="en-US"/>
        </w:rPr>
        <w:t xml:space="preserve"> it is better to combine </w:t>
      </w:r>
      <w:r w:rsidR="00551063">
        <w:rPr>
          <w:rFonts w:ascii="Arial" w:hAnsi="Arial" w:cs="Arial"/>
          <w:sz w:val="22"/>
          <w:szCs w:val="22"/>
          <w:lang w:val="en-US"/>
        </w:rPr>
        <w:t>COH (</w:t>
      </w:r>
      <w:r w:rsidR="00256351">
        <w:rPr>
          <w:rFonts w:ascii="Arial" w:hAnsi="Arial" w:cs="Arial"/>
          <w:sz w:val="22"/>
          <w:szCs w:val="22"/>
          <w:lang w:val="en-US"/>
        </w:rPr>
        <w:t>with gonadotrophins</w:t>
      </w:r>
      <w:r w:rsidR="00551063">
        <w:rPr>
          <w:rFonts w:ascii="Arial" w:hAnsi="Arial" w:cs="Arial"/>
          <w:sz w:val="22"/>
          <w:szCs w:val="22"/>
          <w:lang w:val="en-US"/>
        </w:rPr>
        <w:t>) with IUI as opposed to performing IUI in a natural cycle</w:t>
      </w:r>
      <w:r w:rsidR="00B84F73">
        <w:rPr>
          <w:rFonts w:ascii="Arial" w:hAnsi="Arial" w:cs="Arial"/>
          <w:sz w:val="22"/>
          <w:szCs w:val="22"/>
          <w:lang w:val="en-US"/>
        </w:rPr>
        <w:t>. In</w:t>
      </w:r>
      <w:r w:rsidR="00551063">
        <w:rPr>
          <w:rFonts w:ascii="Arial" w:hAnsi="Arial" w:cs="Arial"/>
          <w:sz w:val="22"/>
          <w:szCs w:val="22"/>
          <w:lang w:val="en-US"/>
        </w:rPr>
        <w:t xml:space="preserve"> a general IUI setting, COH with gonadotrophins is superior to c</w:t>
      </w:r>
      <w:r w:rsidR="00551063" w:rsidRPr="0080481C">
        <w:rPr>
          <w:rFonts w:ascii="Arial" w:hAnsi="Arial" w:cs="Arial"/>
          <w:sz w:val="22"/>
          <w:szCs w:val="22"/>
          <w:lang w:val="en-US"/>
        </w:rPr>
        <w:t xml:space="preserve">lomiphene citrate </w:t>
      </w:r>
      <w:r w:rsidR="00551063">
        <w:rPr>
          <w:rFonts w:ascii="Arial" w:hAnsi="Arial" w:cs="Arial"/>
          <w:sz w:val="22"/>
          <w:szCs w:val="22"/>
          <w:lang w:val="en-US"/>
        </w:rPr>
        <w:t>as it results</w:t>
      </w:r>
      <w:r w:rsidR="00551063" w:rsidRPr="0080481C">
        <w:rPr>
          <w:rFonts w:ascii="Arial" w:hAnsi="Arial" w:cs="Arial"/>
          <w:sz w:val="22"/>
          <w:szCs w:val="22"/>
          <w:lang w:val="en-US"/>
        </w:rPr>
        <w:t xml:space="preserve"> in a higher clinical pregnancy </w:t>
      </w:r>
      <w:r w:rsidR="006630C1">
        <w:rPr>
          <w:rFonts w:ascii="Arial" w:hAnsi="Arial" w:cs="Arial"/>
          <w:sz w:val="22"/>
          <w:szCs w:val="22"/>
          <w:lang w:val="en-US"/>
        </w:rPr>
        <w:t xml:space="preserve">rate </w:t>
      </w:r>
      <w:r w:rsidR="00551063">
        <w:rPr>
          <w:rFonts w:ascii="Arial" w:hAnsi="Arial" w:cs="Arial"/>
          <w:sz w:val="22"/>
          <w:szCs w:val="22"/>
          <w:lang w:val="en-US"/>
        </w:rPr>
        <w:t>(Peeraer et al</w:t>
      </w:r>
      <w:r w:rsidR="006630C1">
        <w:rPr>
          <w:rFonts w:ascii="Arial" w:hAnsi="Arial" w:cs="Arial"/>
          <w:sz w:val="22"/>
          <w:szCs w:val="22"/>
          <w:lang w:val="en-US"/>
        </w:rPr>
        <w:t>.</w:t>
      </w:r>
      <w:r w:rsidR="00551063">
        <w:rPr>
          <w:rFonts w:ascii="Arial" w:hAnsi="Arial" w:cs="Arial"/>
          <w:sz w:val="22"/>
          <w:szCs w:val="22"/>
          <w:lang w:val="en-US"/>
        </w:rPr>
        <w:t xml:space="preserve">, </w:t>
      </w:r>
      <w:r w:rsidR="004D2FCE">
        <w:rPr>
          <w:rFonts w:ascii="Arial" w:hAnsi="Arial" w:cs="Arial"/>
          <w:sz w:val="22"/>
          <w:szCs w:val="22"/>
          <w:lang w:val="en-US"/>
        </w:rPr>
        <w:t>2015</w:t>
      </w:r>
      <w:r w:rsidR="00551063" w:rsidRPr="0080481C">
        <w:rPr>
          <w:rFonts w:ascii="Arial" w:hAnsi="Arial" w:cs="Arial"/>
          <w:sz w:val="22"/>
          <w:szCs w:val="22"/>
          <w:lang w:val="en-US"/>
        </w:rPr>
        <w:t>).</w:t>
      </w:r>
    </w:p>
    <w:p w14:paraId="3B01657F" w14:textId="70B042AE" w:rsidR="007825D6" w:rsidRDefault="00BF0A15" w:rsidP="00256351">
      <w:pPr>
        <w:spacing w:line="480" w:lineRule="auto"/>
        <w:rPr>
          <w:rFonts w:ascii="Arial" w:hAnsi="Arial" w:cs="Arial"/>
          <w:sz w:val="22"/>
          <w:szCs w:val="22"/>
          <w:lang w:val="en-US"/>
        </w:rPr>
      </w:pPr>
      <w:r>
        <w:rPr>
          <w:rFonts w:ascii="Arial" w:hAnsi="Arial" w:cs="Arial"/>
          <w:sz w:val="22"/>
          <w:szCs w:val="22"/>
          <w:lang w:val="en-US"/>
        </w:rPr>
        <w:t>W</w:t>
      </w:r>
      <w:r w:rsidR="00256351">
        <w:rPr>
          <w:rFonts w:ascii="Arial" w:hAnsi="Arial" w:cs="Arial"/>
          <w:sz w:val="22"/>
          <w:szCs w:val="22"/>
          <w:lang w:val="en-US"/>
        </w:rPr>
        <w:t xml:space="preserve">hether IUI is better than expectant management </w:t>
      </w:r>
      <w:r w:rsidR="004D2FCE">
        <w:rPr>
          <w:rFonts w:ascii="Arial" w:hAnsi="Arial" w:cs="Arial"/>
          <w:sz w:val="22"/>
          <w:szCs w:val="22"/>
          <w:lang w:val="en-US"/>
        </w:rPr>
        <w:t xml:space="preserve">in surgically treated endometriosis patients who do not directly </w:t>
      </w:r>
      <w:r w:rsidR="006630C1">
        <w:rPr>
          <w:rFonts w:ascii="Arial" w:hAnsi="Arial" w:cs="Arial"/>
          <w:sz w:val="22"/>
          <w:szCs w:val="22"/>
          <w:lang w:val="en-US"/>
        </w:rPr>
        <w:t xml:space="preserve">need </w:t>
      </w:r>
      <w:r w:rsidR="004D2FCE">
        <w:rPr>
          <w:rFonts w:ascii="Arial" w:hAnsi="Arial" w:cs="Arial"/>
          <w:sz w:val="22"/>
          <w:szCs w:val="22"/>
          <w:lang w:val="en-US"/>
        </w:rPr>
        <w:t xml:space="preserve">ART-treatment, </w:t>
      </w:r>
      <w:r w:rsidR="00256351">
        <w:rPr>
          <w:rFonts w:ascii="Arial" w:hAnsi="Arial" w:cs="Arial"/>
          <w:sz w:val="22"/>
          <w:szCs w:val="22"/>
          <w:lang w:val="en-US"/>
        </w:rPr>
        <w:t xml:space="preserve">remains </w:t>
      </w:r>
      <w:r w:rsidR="004D2FCE">
        <w:rPr>
          <w:rFonts w:ascii="Arial" w:hAnsi="Arial" w:cs="Arial"/>
          <w:sz w:val="22"/>
          <w:szCs w:val="22"/>
          <w:lang w:val="en-US"/>
        </w:rPr>
        <w:t>unclear</w:t>
      </w:r>
      <w:r w:rsidR="00256351">
        <w:rPr>
          <w:rFonts w:ascii="Arial" w:hAnsi="Arial" w:cs="Arial"/>
          <w:sz w:val="22"/>
          <w:szCs w:val="22"/>
          <w:lang w:val="en-US"/>
        </w:rPr>
        <w:t xml:space="preserve">. </w:t>
      </w:r>
      <w:r w:rsidR="007825D6">
        <w:rPr>
          <w:rFonts w:ascii="Arial" w:hAnsi="Arial" w:cs="Arial"/>
          <w:sz w:val="22"/>
          <w:szCs w:val="22"/>
          <w:lang w:val="en-US"/>
        </w:rPr>
        <w:t xml:space="preserve">An older randomized controlled trial (Tummon et al., 1997), performed in 103 patients with </w:t>
      </w:r>
      <w:r w:rsidR="004D2FCE">
        <w:rPr>
          <w:rFonts w:ascii="Arial" w:hAnsi="Arial" w:cs="Arial"/>
          <w:sz w:val="22"/>
          <w:szCs w:val="22"/>
          <w:lang w:val="en-US"/>
        </w:rPr>
        <w:t>stage I/II</w:t>
      </w:r>
      <w:r w:rsidR="007825D6">
        <w:rPr>
          <w:rFonts w:ascii="Arial" w:hAnsi="Arial" w:cs="Arial"/>
          <w:sz w:val="22"/>
          <w:szCs w:val="22"/>
          <w:lang w:val="en-US"/>
        </w:rPr>
        <w:t xml:space="preserve"> endometriosis</w:t>
      </w:r>
      <w:r w:rsidR="004D2FCE">
        <w:rPr>
          <w:rFonts w:ascii="Arial" w:hAnsi="Arial" w:cs="Arial"/>
          <w:sz w:val="22"/>
          <w:szCs w:val="22"/>
          <w:lang w:val="en-US"/>
        </w:rPr>
        <w:t>,</w:t>
      </w:r>
      <w:r w:rsidR="007825D6">
        <w:rPr>
          <w:rFonts w:ascii="Arial" w:hAnsi="Arial" w:cs="Arial"/>
          <w:sz w:val="22"/>
          <w:szCs w:val="22"/>
          <w:lang w:val="en-US"/>
        </w:rPr>
        <w:t xml:space="preserve"> </w:t>
      </w:r>
      <w:r w:rsidR="00256351">
        <w:rPr>
          <w:rFonts w:ascii="Arial" w:hAnsi="Arial" w:cs="Arial"/>
          <w:sz w:val="22"/>
          <w:szCs w:val="22"/>
          <w:lang w:val="en-US"/>
        </w:rPr>
        <w:t xml:space="preserve">compared COH + IUI with no treatment, and found higher live birth rates in the COH+IUI group. </w:t>
      </w:r>
      <w:r w:rsidR="004D2FCE">
        <w:rPr>
          <w:rFonts w:ascii="Arial" w:hAnsi="Arial" w:cs="Arial"/>
          <w:sz w:val="22"/>
          <w:szCs w:val="22"/>
          <w:lang w:val="en-US"/>
        </w:rPr>
        <w:t xml:space="preserve">However, only about half </w:t>
      </w:r>
      <w:r>
        <w:rPr>
          <w:rFonts w:ascii="Arial" w:hAnsi="Arial" w:cs="Arial"/>
          <w:sz w:val="22"/>
          <w:szCs w:val="22"/>
          <w:lang w:val="en-US"/>
        </w:rPr>
        <w:t xml:space="preserve">of the included patients </w:t>
      </w:r>
      <w:r w:rsidR="004D2FCE">
        <w:rPr>
          <w:rFonts w:ascii="Arial" w:hAnsi="Arial" w:cs="Arial"/>
          <w:sz w:val="22"/>
          <w:szCs w:val="22"/>
          <w:lang w:val="en-US"/>
        </w:rPr>
        <w:t>underwent prior surgical reduction</w:t>
      </w:r>
      <w:r>
        <w:rPr>
          <w:rFonts w:ascii="Arial" w:hAnsi="Arial" w:cs="Arial"/>
          <w:sz w:val="22"/>
          <w:szCs w:val="22"/>
          <w:lang w:val="en-US"/>
        </w:rPr>
        <w:t xml:space="preserve"> (47% in the COH+IUI group and 68% in the no treatment group</w:t>
      </w:r>
      <w:r w:rsidR="004D2FCE">
        <w:rPr>
          <w:rFonts w:ascii="Arial" w:hAnsi="Arial" w:cs="Arial"/>
          <w:sz w:val="22"/>
          <w:szCs w:val="22"/>
          <w:lang w:val="en-US"/>
        </w:rPr>
        <w:t>),</w:t>
      </w:r>
      <w:r>
        <w:rPr>
          <w:rFonts w:ascii="Arial" w:hAnsi="Arial" w:cs="Arial"/>
          <w:sz w:val="22"/>
          <w:szCs w:val="22"/>
          <w:lang w:val="en-US"/>
        </w:rPr>
        <w:t xml:space="preserve"> and </w:t>
      </w:r>
      <w:r w:rsidR="006630C1">
        <w:rPr>
          <w:rFonts w:ascii="Arial" w:hAnsi="Arial" w:cs="Arial"/>
          <w:sz w:val="22"/>
          <w:szCs w:val="22"/>
          <w:lang w:val="en-US"/>
        </w:rPr>
        <w:t xml:space="preserve">the span of the limits of the </w:t>
      </w:r>
      <w:r>
        <w:rPr>
          <w:rFonts w:ascii="Arial" w:hAnsi="Arial" w:cs="Arial"/>
          <w:sz w:val="22"/>
          <w:szCs w:val="22"/>
          <w:lang w:val="en-US"/>
        </w:rPr>
        <w:t>95%</w:t>
      </w:r>
      <w:r w:rsidR="006630C1">
        <w:rPr>
          <w:rFonts w:ascii="Arial" w:hAnsi="Arial" w:cs="Arial"/>
          <w:sz w:val="22"/>
          <w:szCs w:val="22"/>
          <w:lang w:val="en-US"/>
        </w:rPr>
        <w:t xml:space="preserve">confidence intervals (CI) </w:t>
      </w:r>
      <w:r>
        <w:rPr>
          <w:rFonts w:ascii="Arial" w:hAnsi="Arial" w:cs="Arial"/>
          <w:sz w:val="22"/>
          <w:szCs w:val="22"/>
          <w:lang w:val="en-US"/>
        </w:rPr>
        <w:t>of the</w:t>
      </w:r>
      <w:r w:rsidR="006630C1">
        <w:rPr>
          <w:rFonts w:ascii="Arial" w:hAnsi="Arial" w:cs="Arial"/>
          <w:sz w:val="22"/>
          <w:szCs w:val="22"/>
          <w:lang w:val="en-US"/>
        </w:rPr>
        <w:t xml:space="preserve"> odds ratio (</w:t>
      </w:r>
      <w:r>
        <w:rPr>
          <w:rFonts w:ascii="Arial" w:hAnsi="Arial" w:cs="Arial"/>
          <w:sz w:val="22"/>
          <w:szCs w:val="22"/>
          <w:lang w:val="en-US"/>
        </w:rPr>
        <w:t>OR</w:t>
      </w:r>
      <w:r w:rsidR="006630C1">
        <w:rPr>
          <w:rFonts w:ascii="Arial" w:hAnsi="Arial" w:cs="Arial"/>
          <w:sz w:val="22"/>
          <w:szCs w:val="22"/>
          <w:lang w:val="en-US"/>
        </w:rPr>
        <w:t>)</w:t>
      </w:r>
      <w:r>
        <w:rPr>
          <w:rFonts w:ascii="Arial" w:hAnsi="Arial" w:cs="Arial"/>
          <w:sz w:val="22"/>
          <w:szCs w:val="22"/>
          <w:lang w:val="en-US"/>
        </w:rPr>
        <w:t xml:space="preserve"> for live birth was very wide (OR 5.6; 95%CI 1.8-17.4).</w:t>
      </w:r>
      <w:r w:rsidR="004D2FCE">
        <w:rPr>
          <w:rFonts w:ascii="Arial" w:hAnsi="Arial" w:cs="Arial"/>
          <w:sz w:val="22"/>
          <w:szCs w:val="22"/>
          <w:lang w:val="en-US"/>
        </w:rPr>
        <w:t xml:space="preserve"> </w:t>
      </w:r>
      <w:r w:rsidR="00256351">
        <w:rPr>
          <w:rFonts w:ascii="Arial" w:hAnsi="Arial" w:cs="Arial"/>
          <w:sz w:val="22"/>
          <w:szCs w:val="22"/>
          <w:lang w:val="en-US"/>
        </w:rPr>
        <w:t>Th</w:t>
      </w:r>
      <w:r w:rsidR="0043798D">
        <w:rPr>
          <w:rFonts w:ascii="Arial" w:hAnsi="Arial" w:cs="Arial"/>
          <w:sz w:val="22"/>
          <w:szCs w:val="22"/>
          <w:lang w:val="en-US"/>
        </w:rPr>
        <w:t>ese results</w:t>
      </w:r>
      <w:r w:rsidR="00256351">
        <w:rPr>
          <w:rFonts w:ascii="Arial" w:hAnsi="Arial" w:cs="Arial"/>
          <w:sz w:val="22"/>
          <w:szCs w:val="22"/>
          <w:lang w:val="en-US"/>
        </w:rPr>
        <w:t xml:space="preserve"> </w:t>
      </w:r>
      <w:r>
        <w:rPr>
          <w:rFonts w:ascii="Arial" w:hAnsi="Arial" w:cs="Arial"/>
          <w:sz w:val="22"/>
          <w:szCs w:val="22"/>
          <w:lang w:val="en-US"/>
        </w:rPr>
        <w:t>could</w:t>
      </w:r>
      <w:r w:rsidR="00256351">
        <w:rPr>
          <w:rFonts w:ascii="Arial" w:hAnsi="Arial" w:cs="Arial"/>
          <w:sz w:val="22"/>
          <w:szCs w:val="22"/>
          <w:lang w:val="en-US"/>
        </w:rPr>
        <w:t xml:space="preserve"> not </w:t>
      </w:r>
      <w:r>
        <w:rPr>
          <w:rFonts w:ascii="Arial" w:hAnsi="Arial" w:cs="Arial"/>
          <w:sz w:val="22"/>
          <w:szCs w:val="22"/>
          <w:lang w:val="en-US"/>
        </w:rPr>
        <w:t xml:space="preserve">be </w:t>
      </w:r>
      <w:r w:rsidR="00256351">
        <w:rPr>
          <w:rFonts w:ascii="Arial" w:hAnsi="Arial" w:cs="Arial"/>
          <w:sz w:val="22"/>
          <w:szCs w:val="22"/>
          <w:lang w:val="en-US"/>
        </w:rPr>
        <w:t xml:space="preserve">confirmed by a more recent retrospective analysis by Gandhi et al (2013) in patients who were all treated surgically for endometriosis: </w:t>
      </w:r>
      <w:r>
        <w:rPr>
          <w:rFonts w:ascii="Arial" w:hAnsi="Arial" w:cs="Arial"/>
          <w:sz w:val="22"/>
          <w:szCs w:val="22"/>
          <w:lang w:val="en-US"/>
        </w:rPr>
        <w:t xml:space="preserve">they found that </w:t>
      </w:r>
      <w:r w:rsidR="00256351">
        <w:rPr>
          <w:rFonts w:ascii="Arial" w:hAnsi="Arial" w:cs="Arial"/>
          <w:sz w:val="22"/>
          <w:szCs w:val="22"/>
          <w:lang w:val="en-US"/>
        </w:rPr>
        <w:t xml:space="preserve">COH+IUI did not improve pregnancy rates in any stage of endometriosis as compared to no active treatment. </w:t>
      </w:r>
    </w:p>
    <w:p w14:paraId="3F9F87D0" w14:textId="1C1A81FD" w:rsidR="00B84F73" w:rsidRDefault="0080481C" w:rsidP="0080481C">
      <w:pPr>
        <w:spacing w:line="480" w:lineRule="auto"/>
        <w:rPr>
          <w:rFonts w:ascii="Arial" w:hAnsi="Arial" w:cs="Arial"/>
          <w:sz w:val="22"/>
          <w:szCs w:val="22"/>
          <w:lang w:val="en-US"/>
        </w:rPr>
      </w:pPr>
      <w:r w:rsidRPr="0080481C">
        <w:rPr>
          <w:rFonts w:ascii="Arial" w:hAnsi="Arial" w:cs="Arial"/>
          <w:sz w:val="22"/>
          <w:szCs w:val="22"/>
          <w:lang w:val="en-US"/>
        </w:rPr>
        <w:lastRenderedPageBreak/>
        <w:t>The Endometriosis Fertility Index (EFI) is a recently validated (Adamson and Pasta 2010, Tomassetti et al, 2013) scoring system to predict non-ART pregnancy rates in postoperative endometriosis patients, tak</w:t>
      </w:r>
      <w:r w:rsidR="0043798D">
        <w:rPr>
          <w:rFonts w:ascii="Arial" w:hAnsi="Arial" w:cs="Arial"/>
          <w:sz w:val="22"/>
          <w:szCs w:val="22"/>
          <w:lang w:val="en-US"/>
        </w:rPr>
        <w:t>ing</w:t>
      </w:r>
      <w:r w:rsidRPr="0080481C">
        <w:rPr>
          <w:rFonts w:ascii="Arial" w:hAnsi="Arial" w:cs="Arial"/>
          <w:sz w:val="22"/>
          <w:szCs w:val="22"/>
          <w:lang w:val="en-US"/>
        </w:rPr>
        <w:t xml:space="preserve"> all endometriosis stages into account. </w:t>
      </w:r>
      <w:r w:rsidR="0043798D">
        <w:rPr>
          <w:rFonts w:ascii="Arial" w:hAnsi="Arial" w:cs="Arial"/>
          <w:sz w:val="22"/>
          <w:szCs w:val="22"/>
          <w:lang w:val="en-US"/>
        </w:rPr>
        <w:t xml:space="preserve">The score ranges from 0 to 10, with the highest score representing the highest probability for postoperative non-ART pregnancy. </w:t>
      </w:r>
      <w:r w:rsidRPr="0080481C">
        <w:rPr>
          <w:rFonts w:ascii="Arial" w:hAnsi="Arial" w:cs="Arial"/>
          <w:sz w:val="22"/>
          <w:szCs w:val="22"/>
          <w:lang w:val="en-US"/>
        </w:rPr>
        <w:t xml:space="preserve">As the EFI prediction pools spontaneous pregnancies and pregnancies after treatment with IUI (e.g. of all non-ART pregnancies, 64% were achieved spontaneously versus 36% with IUI in our study (Tomassetti et al, 2013)), it does not give an insight if IUI would have an added value </w:t>
      </w:r>
      <w:r w:rsidR="006630C1">
        <w:rPr>
          <w:rFonts w:ascii="Arial" w:hAnsi="Arial" w:cs="Arial"/>
          <w:sz w:val="22"/>
          <w:szCs w:val="22"/>
          <w:lang w:val="en-US"/>
        </w:rPr>
        <w:t xml:space="preserve">when </w:t>
      </w:r>
      <w:r w:rsidRPr="0080481C">
        <w:rPr>
          <w:rFonts w:ascii="Arial" w:hAnsi="Arial" w:cs="Arial"/>
          <w:sz w:val="22"/>
          <w:szCs w:val="22"/>
          <w:lang w:val="en-US"/>
        </w:rPr>
        <w:t>compared to expectant management.</w:t>
      </w:r>
      <w:r w:rsidR="00B84F73">
        <w:rPr>
          <w:rFonts w:ascii="Arial" w:hAnsi="Arial" w:cs="Arial"/>
          <w:sz w:val="22"/>
          <w:szCs w:val="22"/>
          <w:lang w:val="en-US"/>
        </w:rPr>
        <w:t xml:space="preserve"> </w:t>
      </w:r>
      <w:r w:rsidR="0043798D">
        <w:rPr>
          <w:rFonts w:ascii="Arial" w:hAnsi="Arial" w:cs="Arial"/>
          <w:sz w:val="22"/>
          <w:szCs w:val="22"/>
          <w:lang w:val="en-US"/>
        </w:rPr>
        <w:t>Furthermore</w:t>
      </w:r>
      <w:r w:rsidR="00B84F73">
        <w:rPr>
          <w:rFonts w:ascii="Arial" w:hAnsi="Arial" w:cs="Arial"/>
          <w:sz w:val="22"/>
          <w:szCs w:val="22"/>
          <w:lang w:val="en-US"/>
        </w:rPr>
        <w:t xml:space="preserve">, none of the above cited studies on IUI in endometriosis patients have taken the EFI into account, although it is clear that the EFI has a far better value in selecting patients for a non-ART management than the rASRM stage. Therefore, the aim of our study was to assess whether </w:t>
      </w:r>
      <w:r w:rsidR="0043798D">
        <w:rPr>
          <w:rFonts w:ascii="Arial" w:hAnsi="Arial" w:cs="Arial"/>
          <w:sz w:val="22"/>
          <w:szCs w:val="22"/>
          <w:lang w:val="en-US"/>
        </w:rPr>
        <w:t>starting</w:t>
      </w:r>
      <w:r w:rsidR="00907252">
        <w:rPr>
          <w:rFonts w:ascii="Arial" w:hAnsi="Arial" w:cs="Arial"/>
          <w:sz w:val="22"/>
          <w:szCs w:val="22"/>
          <w:lang w:val="en-US"/>
        </w:rPr>
        <w:t xml:space="preserve"> </w:t>
      </w:r>
      <w:r w:rsidR="00B84F73">
        <w:rPr>
          <w:rFonts w:ascii="Arial" w:hAnsi="Arial" w:cs="Arial"/>
          <w:sz w:val="22"/>
          <w:szCs w:val="22"/>
          <w:lang w:val="en-US"/>
        </w:rPr>
        <w:t xml:space="preserve">COH + IUI </w:t>
      </w:r>
      <w:r w:rsidR="0043798D">
        <w:rPr>
          <w:rFonts w:ascii="Arial" w:hAnsi="Arial" w:cs="Arial"/>
          <w:sz w:val="22"/>
          <w:szCs w:val="22"/>
          <w:lang w:val="en-US"/>
        </w:rPr>
        <w:t xml:space="preserve">immediately post-surgery </w:t>
      </w:r>
      <w:r w:rsidR="00B84F73">
        <w:rPr>
          <w:rFonts w:ascii="Arial" w:hAnsi="Arial" w:cs="Arial"/>
          <w:sz w:val="22"/>
          <w:szCs w:val="22"/>
          <w:lang w:val="en-US"/>
        </w:rPr>
        <w:t>has an added value above expectant management in surgically treated endometriosis patients with a high EFI</w:t>
      </w:r>
      <w:r w:rsidR="0043798D">
        <w:rPr>
          <w:rFonts w:ascii="Arial" w:hAnsi="Arial" w:cs="Arial"/>
          <w:sz w:val="22"/>
          <w:szCs w:val="22"/>
          <w:lang w:val="en-US"/>
        </w:rPr>
        <w:t xml:space="preserve"> (i.e. a good prognosis for non-ART pregnancy)</w:t>
      </w:r>
      <w:r w:rsidR="00B84F73">
        <w:rPr>
          <w:rFonts w:ascii="Arial" w:hAnsi="Arial" w:cs="Arial"/>
          <w:sz w:val="22"/>
          <w:szCs w:val="22"/>
          <w:lang w:val="en-US"/>
        </w:rPr>
        <w:t xml:space="preserve">. </w:t>
      </w:r>
      <w:r w:rsidR="00D53C61" w:rsidRPr="00F9337D">
        <w:rPr>
          <w:rFonts w:ascii="Arial" w:hAnsi="Arial" w:cs="Arial"/>
          <w:sz w:val="22"/>
          <w:szCs w:val="22"/>
          <w:lang w:val="en-US"/>
        </w:rPr>
        <w:t>Both the results from a randomized trial with early discontinuation, as from a parallel-running prospective cohort study will be discussed in this chapter.</w:t>
      </w:r>
    </w:p>
    <w:p w14:paraId="662A05C2" w14:textId="77777777" w:rsidR="00B84F73" w:rsidRDefault="00B84F73" w:rsidP="0080481C">
      <w:pPr>
        <w:spacing w:line="480" w:lineRule="auto"/>
        <w:rPr>
          <w:rFonts w:ascii="Arial" w:hAnsi="Arial" w:cs="Arial"/>
          <w:sz w:val="22"/>
          <w:szCs w:val="22"/>
          <w:lang w:val="en-US"/>
        </w:rPr>
      </w:pPr>
    </w:p>
    <w:p w14:paraId="752BE373" w14:textId="77777777" w:rsidR="00B84F73" w:rsidRPr="00B84F73" w:rsidRDefault="00B84F73" w:rsidP="0080481C">
      <w:pPr>
        <w:spacing w:line="480" w:lineRule="auto"/>
        <w:rPr>
          <w:rFonts w:ascii="Arial" w:hAnsi="Arial" w:cs="Arial"/>
          <w:b/>
          <w:sz w:val="22"/>
          <w:szCs w:val="22"/>
          <w:lang w:val="en-US"/>
        </w:rPr>
      </w:pPr>
      <w:r w:rsidRPr="00B84F73">
        <w:rPr>
          <w:rFonts w:ascii="Arial" w:hAnsi="Arial" w:cs="Arial"/>
          <w:b/>
          <w:sz w:val="22"/>
          <w:szCs w:val="22"/>
          <w:lang w:val="en-US"/>
        </w:rPr>
        <w:t>MATERIALS AND METHODS</w:t>
      </w:r>
    </w:p>
    <w:p w14:paraId="2FC1BC46" w14:textId="77777777" w:rsidR="00B84F73" w:rsidRPr="00B84F73" w:rsidRDefault="00B84F73" w:rsidP="0080481C">
      <w:pPr>
        <w:spacing w:line="480" w:lineRule="auto"/>
        <w:rPr>
          <w:rFonts w:ascii="Arial" w:hAnsi="Arial" w:cs="Arial"/>
          <w:b/>
          <w:sz w:val="22"/>
          <w:szCs w:val="22"/>
          <w:lang w:val="en-US"/>
        </w:rPr>
      </w:pPr>
      <w:r w:rsidRPr="00B84F73">
        <w:rPr>
          <w:rFonts w:ascii="Arial" w:hAnsi="Arial" w:cs="Arial"/>
          <w:b/>
          <w:sz w:val="22"/>
          <w:szCs w:val="22"/>
          <w:lang w:val="en-US"/>
        </w:rPr>
        <w:t>Study design</w:t>
      </w:r>
    </w:p>
    <w:p w14:paraId="2C657927" w14:textId="77777777" w:rsidR="00D53C61" w:rsidRPr="007363A3" w:rsidRDefault="005C380B" w:rsidP="00D53C61">
      <w:pPr>
        <w:spacing w:line="480" w:lineRule="auto"/>
        <w:rPr>
          <w:rFonts w:ascii="Arial" w:hAnsi="Arial" w:cs="Arial"/>
          <w:sz w:val="22"/>
          <w:szCs w:val="22"/>
          <w:lang w:val="en-GB"/>
        </w:rPr>
      </w:pPr>
      <w:r>
        <w:rPr>
          <w:rFonts w:ascii="Arial" w:hAnsi="Arial" w:cs="Arial"/>
          <w:sz w:val="22"/>
          <w:szCs w:val="22"/>
          <w:lang w:val="en-US"/>
        </w:rPr>
        <w:t xml:space="preserve">We have conducted a single center open label randomized controlled trial (RCT) at the Leuven University Fertility Center, a tertiary referral center for </w:t>
      </w:r>
      <w:r w:rsidR="007363A3">
        <w:rPr>
          <w:rFonts w:ascii="Arial" w:hAnsi="Arial" w:cs="Arial"/>
          <w:sz w:val="22"/>
          <w:szCs w:val="22"/>
          <w:lang w:val="en-US"/>
        </w:rPr>
        <w:t xml:space="preserve">both </w:t>
      </w:r>
      <w:r>
        <w:rPr>
          <w:rFonts w:ascii="Arial" w:hAnsi="Arial" w:cs="Arial"/>
          <w:sz w:val="22"/>
          <w:szCs w:val="22"/>
          <w:lang w:val="en-US"/>
        </w:rPr>
        <w:t xml:space="preserve">endometriosis and infertility in the University Hospitals of Leuven, Belgium. </w:t>
      </w:r>
      <w:r w:rsidR="007363A3" w:rsidRPr="007363A3">
        <w:rPr>
          <w:rFonts w:ascii="Arial" w:hAnsi="Arial" w:cs="Arial"/>
          <w:sz w:val="22"/>
          <w:szCs w:val="22"/>
          <w:lang w:val="en-US"/>
        </w:rPr>
        <w:t>The trial was registered in the UZ Leuven trial registry as S55</w:t>
      </w:r>
      <w:r w:rsidR="007363A3">
        <w:rPr>
          <w:rFonts w:ascii="Arial" w:hAnsi="Arial" w:cs="Arial"/>
          <w:sz w:val="22"/>
          <w:szCs w:val="22"/>
          <w:lang w:val="en-US"/>
        </w:rPr>
        <w:t>983</w:t>
      </w:r>
      <w:r w:rsidR="007363A3" w:rsidRPr="007363A3">
        <w:rPr>
          <w:rFonts w:ascii="Arial" w:hAnsi="Arial" w:cs="Arial"/>
          <w:sz w:val="22"/>
          <w:szCs w:val="22"/>
          <w:lang w:val="en-US"/>
        </w:rPr>
        <w:t>, a</w:t>
      </w:r>
      <w:r w:rsidR="007363A3">
        <w:rPr>
          <w:rFonts w:ascii="Arial" w:hAnsi="Arial" w:cs="Arial"/>
          <w:sz w:val="22"/>
          <w:szCs w:val="22"/>
          <w:lang w:val="en-US"/>
        </w:rPr>
        <w:t>nd in EudraCT as number 2013-005420-42</w:t>
      </w:r>
      <w:r w:rsidR="00907252">
        <w:rPr>
          <w:rFonts w:ascii="Arial" w:hAnsi="Arial" w:cs="Arial"/>
          <w:sz w:val="22"/>
          <w:szCs w:val="22"/>
          <w:lang w:val="en-US"/>
        </w:rPr>
        <w:t xml:space="preserve">, and in </w:t>
      </w:r>
      <w:r w:rsidR="0021644D" w:rsidRPr="00907252">
        <w:rPr>
          <w:rFonts w:ascii="Arial" w:hAnsi="Arial" w:cs="Arial"/>
          <w:sz w:val="22"/>
          <w:szCs w:val="22"/>
          <w:lang w:val="en-US"/>
        </w:rPr>
        <w:t>clinicaltrials.gov</w:t>
      </w:r>
      <w:r w:rsidR="00907252" w:rsidRPr="00907252">
        <w:rPr>
          <w:rFonts w:ascii="Arial" w:hAnsi="Arial" w:cs="Arial"/>
          <w:sz w:val="22"/>
          <w:szCs w:val="22"/>
          <w:lang w:val="en-US"/>
        </w:rPr>
        <w:t xml:space="preserve"> as NCT02636400</w:t>
      </w:r>
      <w:r w:rsidR="00907252">
        <w:rPr>
          <w:rFonts w:ascii="Arial" w:hAnsi="Arial" w:cs="Arial"/>
          <w:sz w:val="22"/>
          <w:szCs w:val="22"/>
          <w:lang w:val="en-US"/>
        </w:rPr>
        <w:t>.</w:t>
      </w:r>
      <w:r w:rsidR="007363A3" w:rsidRPr="007363A3">
        <w:rPr>
          <w:rFonts w:ascii="Arial" w:hAnsi="Arial" w:cs="Arial"/>
          <w:sz w:val="22"/>
          <w:szCs w:val="22"/>
          <w:lang w:val="en-US"/>
        </w:rPr>
        <w:t xml:space="preserve"> The study was approved by both the UZ Leuven Ethical Committee and the competent authority (FAMHP: Federal agency for medicines and health products) on </w:t>
      </w:r>
      <w:r w:rsidR="007363A3">
        <w:rPr>
          <w:rFonts w:ascii="Arial" w:hAnsi="Arial" w:cs="Arial"/>
          <w:sz w:val="22"/>
          <w:szCs w:val="22"/>
          <w:lang w:val="en-US"/>
        </w:rPr>
        <w:t>January 27</w:t>
      </w:r>
      <w:r w:rsidR="007363A3" w:rsidRPr="007363A3">
        <w:rPr>
          <w:rFonts w:ascii="Arial" w:hAnsi="Arial" w:cs="Arial"/>
          <w:sz w:val="22"/>
          <w:szCs w:val="22"/>
          <w:vertAlign w:val="superscript"/>
          <w:lang w:val="en-US"/>
        </w:rPr>
        <w:t>th</w:t>
      </w:r>
      <w:r w:rsidR="007363A3">
        <w:rPr>
          <w:rFonts w:ascii="Arial" w:hAnsi="Arial" w:cs="Arial"/>
          <w:sz w:val="22"/>
          <w:szCs w:val="22"/>
          <w:lang w:val="en-US"/>
        </w:rPr>
        <w:t xml:space="preserve"> 2014</w:t>
      </w:r>
      <w:r w:rsidR="007363A3" w:rsidRPr="007363A3">
        <w:rPr>
          <w:rFonts w:ascii="Arial" w:hAnsi="Arial" w:cs="Arial"/>
          <w:sz w:val="22"/>
          <w:szCs w:val="22"/>
          <w:lang w:val="en-US"/>
        </w:rPr>
        <w:t xml:space="preserve"> and </w:t>
      </w:r>
      <w:r w:rsidR="007363A3">
        <w:rPr>
          <w:rFonts w:ascii="Arial" w:hAnsi="Arial" w:cs="Arial"/>
          <w:sz w:val="22"/>
          <w:szCs w:val="22"/>
          <w:lang w:val="en-US"/>
        </w:rPr>
        <w:t>February 6</w:t>
      </w:r>
      <w:r w:rsidR="007363A3" w:rsidRPr="007363A3">
        <w:rPr>
          <w:rFonts w:ascii="Arial" w:hAnsi="Arial" w:cs="Arial"/>
          <w:sz w:val="22"/>
          <w:szCs w:val="22"/>
          <w:vertAlign w:val="superscript"/>
          <w:lang w:val="en-US"/>
        </w:rPr>
        <w:t>th</w:t>
      </w:r>
      <w:r w:rsidR="007363A3">
        <w:rPr>
          <w:rFonts w:ascii="Arial" w:hAnsi="Arial" w:cs="Arial"/>
          <w:sz w:val="22"/>
          <w:szCs w:val="22"/>
          <w:lang w:val="en-US"/>
        </w:rPr>
        <w:t xml:space="preserve"> 2014</w:t>
      </w:r>
      <w:r w:rsidR="007363A3" w:rsidRPr="007363A3">
        <w:rPr>
          <w:rFonts w:ascii="Arial" w:hAnsi="Arial" w:cs="Arial"/>
          <w:sz w:val="22"/>
          <w:szCs w:val="22"/>
          <w:lang w:val="en-US"/>
        </w:rPr>
        <w:t xml:space="preserve"> respectively. Patient screening and recruitment started on </w:t>
      </w:r>
      <w:r w:rsidR="007363A3">
        <w:rPr>
          <w:rFonts w:ascii="Arial" w:hAnsi="Arial" w:cs="Arial"/>
          <w:sz w:val="22"/>
          <w:szCs w:val="22"/>
          <w:lang w:val="en-US"/>
        </w:rPr>
        <w:t>March 1</w:t>
      </w:r>
      <w:r w:rsidR="007363A3" w:rsidRPr="007363A3">
        <w:rPr>
          <w:rFonts w:ascii="Arial" w:hAnsi="Arial" w:cs="Arial"/>
          <w:sz w:val="22"/>
          <w:szCs w:val="22"/>
          <w:vertAlign w:val="superscript"/>
          <w:lang w:val="en-US"/>
        </w:rPr>
        <w:t>st</w:t>
      </w:r>
      <w:r w:rsidR="007363A3">
        <w:rPr>
          <w:rFonts w:ascii="Arial" w:hAnsi="Arial" w:cs="Arial"/>
          <w:sz w:val="22"/>
          <w:szCs w:val="22"/>
          <w:lang w:val="en-US"/>
        </w:rPr>
        <w:t xml:space="preserve"> 2014</w:t>
      </w:r>
      <w:r w:rsidR="007363A3" w:rsidRPr="007363A3">
        <w:rPr>
          <w:rFonts w:ascii="Arial" w:hAnsi="Arial" w:cs="Arial"/>
          <w:sz w:val="22"/>
          <w:szCs w:val="22"/>
          <w:lang w:val="en-US"/>
        </w:rPr>
        <w:t xml:space="preserve"> and ended on </w:t>
      </w:r>
      <w:r w:rsidR="007363A3">
        <w:rPr>
          <w:rFonts w:ascii="Arial" w:hAnsi="Arial" w:cs="Arial"/>
          <w:sz w:val="22"/>
          <w:szCs w:val="22"/>
          <w:lang w:val="en-US"/>
        </w:rPr>
        <w:t>November 31</w:t>
      </w:r>
      <w:r w:rsidR="007363A3" w:rsidRPr="007363A3">
        <w:rPr>
          <w:rFonts w:ascii="Arial" w:hAnsi="Arial" w:cs="Arial"/>
          <w:sz w:val="22"/>
          <w:szCs w:val="22"/>
          <w:vertAlign w:val="superscript"/>
          <w:lang w:val="en-US"/>
        </w:rPr>
        <w:t>st</w:t>
      </w:r>
      <w:r w:rsidR="007363A3">
        <w:rPr>
          <w:rFonts w:ascii="Arial" w:hAnsi="Arial" w:cs="Arial"/>
          <w:sz w:val="22"/>
          <w:szCs w:val="22"/>
          <w:lang w:val="en-US"/>
        </w:rPr>
        <w:t xml:space="preserve"> 2016</w:t>
      </w:r>
      <w:r w:rsidR="007363A3" w:rsidRPr="007363A3">
        <w:rPr>
          <w:rFonts w:ascii="Arial" w:hAnsi="Arial" w:cs="Arial"/>
          <w:sz w:val="22"/>
          <w:szCs w:val="22"/>
          <w:lang w:val="en-US"/>
        </w:rPr>
        <w:t xml:space="preserve">. All patients gave written informed consent. </w:t>
      </w:r>
      <w:r w:rsidR="00D53C61" w:rsidRPr="007363A3">
        <w:rPr>
          <w:rFonts w:ascii="Arial" w:hAnsi="Arial" w:cs="Arial"/>
          <w:sz w:val="22"/>
          <w:szCs w:val="22"/>
          <w:lang w:val="en-US"/>
        </w:rPr>
        <w:t xml:space="preserve">Patient level data are available from the corresponding author. </w:t>
      </w:r>
      <w:r w:rsidR="00D53C61" w:rsidRPr="007363A3">
        <w:rPr>
          <w:rFonts w:ascii="Arial" w:hAnsi="Arial" w:cs="Arial"/>
          <w:sz w:val="22"/>
          <w:szCs w:val="22"/>
          <w:lang w:val="en-US"/>
        </w:rPr>
        <w:lastRenderedPageBreak/>
        <w:t xml:space="preserve">Consent for data sharing with third parties was not obtained but the presented data are </w:t>
      </w:r>
      <w:r w:rsidR="00D53C61">
        <w:rPr>
          <w:rFonts w:ascii="Arial" w:hAnsi="Arial" w:cs="Arial"/>
          <w:sz w:val="22"/>
          <w:szCs w:val="22"/>
          <w:lang w:val="en-US"/>
        </w:rPr>
        <w:t>coded</w:t>
      </w:r>
      <w:r w:rsidR="00D53C61" w:rsidRPr="007363A3">
        <w:rPr>
          <w:rFonts w:ascii="Arial" w:hAnsi="Arial" w:cs="Arial"/>
          <w:sz w:val="22"/>
          <w:szCs w:val="22"/>
          <w:lang w:val="en-US"/>
        </w:rPr>
        <w:t xml:space="preserve"> and risk of identification is low.</w:t>
      </w:r>
    </w:p>
    <w:p w14:paraId="366088E5" w14:textId="77777777" w:rsidR="0021644D" w:rsidRPr="00D53C61" w:rsidRDefault="0021644D" w:rsidP="0080481C">
      <w:pPr>
        <w:spacing w:line="480" w:lineRule="auto"/>
        <w:rPr>
          <w:rFonts w:ascii="Arial" w:hAnsi="Arial" w:cs="Arial"/>
          <w:sz w:val="22"/>
          <w:szCs w:val="22"/>
          <w:lang w:val="en-GB"/>
        </w:rPr>
      </w:pPr>
    </w:p>
    <w:p w14:paraId="2A8F0C93" w14:textId="77777777"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Eligibility criteria</w:t>
      </w:r>
    </w:p>
    <w:p w14:paraId="6CE3C2F5" w14:textId="77777777" w:rsidR="00ED6002" w:rsidRDefault="0021644D" w:rsidP="00D53C61">
      <w:pPr>
        <w:spacing w:line="480" w:lineRule="auto"/>
        <w:rPr>
          <w:rFonts w:ascii="Arial" w:hAnsi="Arial" w:cs="Arial"/>
          <w:sz w:val="22"/>
          <w:szCs w:val="22"/>
          <w:lang w:val="en-GB"/>
        </w:rPr>
      </w:pPr>
      <w:r>
        <w:rPr>
          <w:rFonts w:ascii="Arial" w:hAnsi="Arial" w:cs="Arial"/>
          <w:sz w:val="22"/>
          <w:szCs w:val="22"/>
          <w:lang w:val="en-GB"/>
        </w:rPr>
        <w:t>W</w:t>
      </w:r>
      <w:r w:rsidRPr="0021644D">
        <w:rPr>
          <w:rFonts w:ascii="Arial" w:hAnsi="Arial" w:cs="Arial"/>
          <w:sz w:val="22"/>
          <w:szCs w:val="22"/>
          <w:lang w:val="en-GB"/>
        </w:rPr>
        <w:t xml:space="preserve">omen who recently (maximum 6 months </w:t>
      </w:r>
      <w:r w:rsidR="00907252">
        <w:rPr>
          <w:rFonts w:ascii="Arial" w:hAnsi="Arial" w:cs="Arial"/>
          <w:sz w:val="22"/>
          <w:szCs w:val="22"/>
          <w:lang w:val="en-GB"/>
        </w:rPr>
        <w:t>prior to</w:t>
      </w:r>
      <w:r w:rsidRPr="0021644D">
        <w:rPr>
          <w:rFonts w:ascii="Arial" w:hAnsi="Arial" w:cs="Arial"/>
          <w:sz w:val="22"/>
          <w:szCs w:val="22"/>
          <w:lang w:val="en-GB"/>
        </w:rPr>
        <w:t xml:space="preserve"> randomization) underwent endometriosis surgery at </w:t>
      </w:r>
      <w:r w:rsidR="00F6422D">
        <w:rPr>
          <w:rFonts w:ascii="Arial" w:hAnsi="Arial" w:cs="Arial"/>
          <w:sz w:val="22"/>
          <w:szCs w:val="22"/>
          <w:lang w:val="en-GB"/>
        </w:rPr>
        <w:t xml:space="preserve">the </w:t>
      </w:r>
      <w:r w:rsidRPr="0021644D">
        <w:rPr>
          <w:rFonts w:ascii="Arial" w:hAnsi="Arial" w:cs="Arial"/>
          <w:sz w:val="22"/>
          <w:szCs w:val="22"/>
          <w:lang w:val="en-GB"/>
        </w:rPr>
        <w:t>LUFc (</w:t>
      </w:r>
      <w:r w:rsidR="00F6422D">
        <w:rPr>
          <w:rFonts w:ascii="Arial" w:hAnsi="Arial" w:cs="Arial"/>
          <w:sz w:val="22"/>
          <w:szCs w:val="22"/>
          <w:lang w:val="en-GB"/>
        </w:rPr>
        <w:t xml:space="preserve">for </w:t>
      </w:r>
      <w:r w:rsidRPr="0021644D">
        <w:rPr>
          <w:rFonts w:ascii="Arial" w:hAnsi="Arial" w:cs="Arial"/>
          <w:sz w:val="22"/>
          <w:szCs w:val="22"/>
          <w:lang w:val="en-GB"/>
        </w:rPr>
        <w:t>any rAFS stage) and who ha</w:t>
      </w:r>
      <w:r w:rsidR="00F6422D">
        <w:rPr>
          <w:rFonts w:ascii="Arial" w:hAnsi="Arial" w:cs="Arial"/>
          <w:sz w:val="22"/>
          <w:szCs w:val="22"/>
          <w:lang w:val="en-GB"/>
        </w:rPr>
        <w:t>d</w:t>
      </w:r>
      <w:r w:rsidRPr="0021644D">
        <w:rPr>
          <w:rFonts w:ascii="Arial" w:hAnsi="Arial" w:cs="Arial"/>
          <w:sz w:val="22"/>
          <w:szCs w:val="22"/>
          <w:lang w:val="en-GB"/>
        </w:rPr>
        <w:t xml:space="preserve"> a good prognosis for achieving a pregnancy without ART, defined as having an EFI score of 7 or higher</w:t>
      </w:r>
      <w:r w:rsidR="00F6422D">
        <w:rPr>
          <w:rFonts w:ascii="Arial" w:hAnsi="Arial" w:cs="Arial"/>
          <w:sz w:val="22"/>
          <w:szCs w:val="22"/>
          <w:lang w:val="en-GB"/>
        </w:rPr>
        <w:t xml:space="preserve">, were eligible for this study. Further inclusion criteria were: </w:t>
      </w:r>
      <w:r w:rsidR="00D53C61">
        <w:rPr>
          <w:rFonts w:ascii="Arial" w:hAnsi="Arial" w:cs="Arial"/>
          <w:sz w:val="22"/>
          <w:szCs w:val="22"/>
          <w:lang w:val="en-GB"/>
        </w:rPr>
        <w:t xml:space="preserve">age </w:t>
      </w:r>
      <w:r w:rsidRPr="0021644D">
        <w:rPr>
          <w:rFonts w:ascii="Arial" w:hAnsi="Arial" w:cs="Arial"/>
          <w:sz w:val="22"/>
          <w:szCs w:val="22"/>
          <w:lang w:val="en-GB"/>
        </w:rPr>
        <w:t xml:space="preserve">from 18 until 37 </w:t>
      </w:r>
      <w:r w:rsidR="00F6422D">
        <w:rPr>
          <w:rFonts w:ascii="Arial" w:hAnsi="Arial" w:cs="Arial"/>
          <w:sz w:val="22"/>
          <w:szCs w:val="22"/>
          <w:lang w:val="en-GB"/>
        </w:rPr>
        <w:t xml:space="preserve">years inclusive at randomization, </w:t>
      </w:r>
      <w:r w:rsidRPr="0021644D">
        <w:rPr>
          <w:rFonts w:ascii="Arial" w:hAnsi="Arial" w:cs="Arial"/>
          <w:sz w:val="22"/>
          <w:szCs w:val="22"/>
          <w:lang w:val="en-GB"/>
        </w:rPr>
        <w:t>histologically proven endometriosis with complete</w:t>
      </w:r>
      <w:r w:rsidR="00F6422D">
        <w:rPr>
          <w:rFonts w:ascii="Arial" w:hAnsi="Arial" w:cs="Arial"/>
          <w:sz w:val="22"/>
          <w:szCs w:val="22"/>
          <w:lang w:val="en-GB"/>
        </w:rPr>
        <w:t xml:space="preserve"> resection of all endometriosis (no evidence of persistent or recurrent disease at randomization), proof of regular ovulatory menstrual cycles (min 24days – max 38days), a</w:t>
      </w:r>
      <w:r w:rsidRPr="0021644D">
        <w:rPr>
          <w:rFonts w:ascii="Arial" w:hAnsi="Arial" w:cs="Arial"/>
          <w:sz w:val="22"/>
          <w:szCs w:val="22"/>
          <w:lang w:val="en-GB"/>
        </w:rPr>
        <w:t>t least one functional tube at surgery</w:t>
      </w:r>
      <w:r w:rsidR="00F6422D">
        <w:rPr>
          <w:rFonts w:ascii="Arial" w:hAnsi="Arial" w:cs="Arial"/>
          <w:sz w:val="22"/>
          <w:szCs w:val="22"/>
          <w:lang w:val="en-GB"/>
        </w:rPr>
        <w:t>, partner with normal s</w:t>
      </w:r>
      <w:r w:rsidRPr="0021644D">
        <w:rPr>
          <w:rFonts w:ascii="Arial" w:hAnsi="Arial" w:cs="Arial"/>
          <w:sz w:val="22"/>
          <w:szCs w:val="22"/>
          <w:lang w:val="en-GB"/>
        </w:rPr>
        <w:t xml:space="preserve">perm sample </w:t>
      </w:r>
      <w:r w:rsidR="00F6422D">
        <w:rPr>
          <w:rFonts w:ascii="Arial" w:hAnsi="Arial" w:cs="Arial"/>
          <w:sz w:val="22"/>
          <w:szCs w:val="22"/>
          <w:lang w:val="en-GB"/>
        </w:rPr>
        <w:t xml:space="preserve">or </w:t>
      </w:r>
      <w:r w:rsidRPr="0021644D">
        <w:rPr>
          <w:rFonts w:ascii="Arial" w:hAnsi="Arial" w:cs="Arial"/>
          <w:sz w:val="22"/>
          <w:szCs w:val="22"/>
          <w:lang w:val="en-GB"/>
        </w:rPr>
        <w:t>mild male factor</w:t>
      </w:r>
      <w:r w:rsidR="00F6422D">
        <w:rPr>
          <w:rFonts w:ascii="Arial" w:hAnsi="Arial" w:cs="Arial"/>
          <w:sz w:val="22"/>
          <w:szCs w:val="22"/>
          <w:lang w:val="en-GB"/>
        </w:rPr>
        <w:t xml:space="preserve"> with </w:t>
      </w:r>
      <w:r w:rsidRPr="0021644D">
        <w:rPr>
          <w:rFonts w:ascii="Arial" w:hAnsi="Arial" w:cs="Arial"/>
          <w:sz w:val="22"/>
          <w:szCs w:val="22"/>
          <w:lang w:val="en-GB"/>
        </w:rPr>
        <w:t>total motile sperm count after capacitation</w:t>
      </w:r>
      <w:r w:rsidR="00F6422D">
        <w:rPr>
          <w:rFonts w:ascii="Arial" w:hAnsi="Arial" w:cs="Arial"/>
          <w:sz w:val="22"/>
          <w:szCs w:val="22"/>
          <w:lang w:val="en-GB"/>
        </w:rPr>
        <w:t xml:space="preserve"> (TMC)</w:t>
      </w:r>
      <w:r w:rsidRPr="0021644D">
        <w:rPr>
          <w:rFonts w:ascii="Arial" w:hAnsi="Arial" w:cs="Arial"/>
          <w:sz w:val="22"/>
          <w:szCs w:val="22"/>
          <w:lang w:val="en-GB"/>
        </w:rPr>
        <w:t xml:space="preserve"> in the diagnostic phase</w:t>
      </w:r>
      <w:r w:rsidR="00F6422D">
        <w:rPr>
          <w:rFonts w:ascii="Arial" w:hAnsi="Arial" w:cs="Arial"/>
          <w:sz w:val="22"/>
          <w:szCs w:val="22"/>
          <w:lang w:val="en-GB"/>
        </w:rPr>
        <w:t xml:space="preserve"> of</w:t>
      </w:r>
      <w:r w:rsidRPr="0021644D">
        <w:rPr>
          <w:rFonts w:ascii="Arial" w:hAnsi="Arial" w:cs="Arial"/>
          <w:sz w:val="22"/>
          <w:szCs w:val="22"/>
          <w:lang w:val="en-GB"/>
        </w:rPr>
        <w:t xml:space="preserve"> minimally 5 million (reflecting routine practice at LUFc)</w:t>
      </w:r>
      <w:r w:rsidR="00F6422D">
        <w:rPr>
          <w:rFonts w:ascii="Arial" w:hAnsi="Arial" w:cs="Arial"/>
          <w:sz w:val="22"/>
          <w:szCs w:val="22"/>
          <w:lang w:val="en-GB"/>
        </w:rPr>
        <w:t>, a</w:t>
      </w:r>
      <w:r w:rsidRPr="0021644D">
        <w:rPr>
          <w:rFonts w:ascii="Arial" w:hAnsi="Arial" w:cs="Arial"/>
          <w:sz w:val="22"/>
          <w:szCs w:val="22"/>
          <w:lang w:val="en-GB"/>
        </w:rPr>
        <w:t xml:space="preserve"> normal uterine cavity (including arcuate uterus</w:t>
      </w:r>
      <w:r w:rsidR="00F6422D">
        <w:rPr>
          <w:rFonts w:ascii="Arial" w:hAnsi="Arial" w:cs="Arial"/>
          <w:sz w:val="22"/>
          <w:szCs w:val="22"/>
          <w:lang w:val="en-GB"/>
        </w:rPr>
        <w:t xml:space="preserve"> and adenomyosis), and a basal FSH level below 20 IU/l.</w:t>
      </w:r>
      <w:r w:rsidR="000D51A5">
        <w:rPr>
          <w:rFonts w:ascii="Arial" w:hAnsi="Arial" w:cs="Arial"/>
          <w:sz w:val="22"/>
          <w:szCs w:val="22"/>
          <w:lang w:val="en-GB"/>
        </w:rPr>
        <w:t xml:space="preserve"> Participation to the RCT was proposed during hospitalization, at the first postoperative patient visit, or in between.</w:t>
      </w:r>
      <w:r w:rsidR="00F6422D">
        <w:rPr>
          <w:rFonts w:ascii="Arial" w:hAnsi="Arial" w:cs="Arial"/>
          <w:sz w:val="22"/>
          <w:szCs w:val="22"/>
          <w:lang w:val="en-GB"/>
        </w:rPr>
        <w:t xml:space="preserve"> </w:t>
      </w:r>
    </w:p>
    <w:p w14:paraId="1B628E81" w14:textId="5CA2B7F1" w:rsidR="00D53C61" w:rsidRDefault="007153B1" w:rsidP="00D53C61">
      <w:pPr>
        <w:spacing w:line="480" w:lineRule="auto"/>
        <w:rPr>
          <w:rFonts w:ascii="Arial" w:hAnsi="Arial" w:cs="Arial"/>
          <w:sz w:val="22"/>
          <w:szCs w:val="22"/>
          <w:lang w:val="en-US"/>
        </w:rPr>
      </w:pPr>
      <w:r>
        <w:rPr>
          <w:rFonts w:ascii="Arial" w:hAnsi="Arial" w:cs="Arial"/>
          <w:sz w:val="22"/>
          <w:szCs w:val="22"/>
          <w:lang w:val="en-GB"/>
        </w:rPr>
        <w:t>P</w:t>
      </w:r>
      <w:r w:rsidR="00F6422D" w:rsidRPr="00F9337D">
        <w:rPr>
          <w:rFonts w:ascii="Arial" w:hAnsi="Arial" w:cs="Arial"/>
          <w:sz w:val="22"/>
          <w:szCs w:val="22"/>
          <w:lang w:val="en-GB"/>
        </w:rPr>
        <w:t>atients were withdrawn from the study i</w:t>
      </w:r>
      <w:r w:rsidR="00ED6002" w:rsidRPr="00F9337D">
        <w:rPr>
          <w:rFonts w:ascii="Arial" w:hAnsi="Arial" w:cs="Arial"/>
          <w:sz w:val="22"/>
          <w:szCs w:val="22"/>
          <w:lang w:val="en-GB"/>
        </w:rPr>
        <w:t>n case of withdrawal of consent</w:t>
      </w:r>
      <w:r w:rsidR="00F6422D" w:rsidRPr="00F9337D">
        <w:rPr>
          <w:rFonts w:ascii="Arial" w:hAnsi="Arial" w:cs="Arial"/>
          <w:sz w:val="22"/>
          <w:szCs w:val="22"/>
          <w:lang w:val="en-GB"/>
        </w:rPr>
        <w:t xml:space="preserve">, if they developed a contra-indication </w:t>
      </w:r>
      <w:r w:rsidR="00F40FF2" w:rsidRPr="00F9337D">
        <w:rPr>
          <w:rFonts w:ascii="Arial" w:hAnsi="Arial" w:cs="Arial"/>
          <w:sz w:val="22"/>
          <w:szCs w:val="22"/>
          <w:lang w:val="en-GB"/>
        </w:rPr>
        <w:t xml:space="preserve">to become pregnant, or if </w:t>
      </w:r>
      <w:r w:rsidR="00ED6002" w:rsidRPr="00F9337D">
        <w:rPr>
          <w:rFonts w:ascii="Arial" w:hAnsi="Arial" w:cs="Arial"/>
          <w:sz w:val="22"/>
          <w:szCs w:val="22"/>
          <w:lang w:val="en-GB"/>
        </w:rPr>
        <w:t xml:space="preserve">contraception </w:t>
      </w:r>
      <w:r w:rsidR="00F6422D" w:rsidRPr="00F9337D">
        <w:rPr>
          <w:rFonts w:ascii="Arial" w:hAnsi="Arial" w:cs="Arial"/>
          <w:sz w:val="22"/>
          <w:szCs w:val="22"/>
          <w:lang w:val="en-GB"/>
        </w:rPr>
        <w:t>or ART were started prior to the end of the study period.</w:t>
      </w:r>
      <w:r w:rsidR="00ED6002" w:rsidRPr="00F9337D">
        <w:rPr>
          <w:rFonts w:ascii="Arial" w:hAnsi="Arial" w:cs="Arial"/>
          <w:sz w:val="22"/>
          <w:szCs w:val="22"/>
          <w:lang w:val="en-GB"/>
        </w:rPr>
        <w:t xml:space="preserve"> </w:t>
      </w:r>
    </w:p>
    <w:p w14:paraId="1E03C8D2" w14:textId="77777777" w:rsidR="00F6422D" w:rsidRPr="0021644D" w:rsidRDefault="00F6422D" w:rsidP="00F6422D">
      <w:pPr>
        <w:spacing w:line="480" w:lineRule="auto"/>
        <w:rPr>
          <w:rFonts w:ascii="Arial" w:hAnsi="Arial" w:cs="Arial"/>
          <w:sz w:val="22"/>
          <w:szCs w:val="22"/>
          <w:lang w:val="en-GB"/>
        </w:rPr>
      </w:pPr>
    </w:p>
    <w:p w14:paraId="123BD39E" w14:textId="77777777"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 xml:space="preserve">Randomization </w:t>
      </w:r>
      <w:r w:rsidR="007D67F3">
        <w:rPr>
          <w:rFonts w:ascii="Arial" w:hAnsi="Arial" w:cs="Arial"/>
          <w:b/>
          <w:sz w:val="22"/>
          <w:szCs w:val="22"/>
          <w:lang w:val="en-US"/>
        </w:rPr>
        <w:t>and blinding</w:t>
      </w:r>
    </w:p>
    <w:p w14:paraId="1C321823" w14:textId="4325F920" w:rsidR="00B84F73" w:rsidRDefault="007D67F3" w:rsidP="007D67F3">
      <w:pPr>
        <w:spacing w:line="480" w:lineRule="auto"/>
        <w:rPr>
          <w:rFonts w:ascii="Arial" w:hAnsi="Arial" w:cs="Arial"/>
          <w:sz w:val="22"/>
          <w:szCs w:val="22"/>
          <w:lang w:val="en-US"/>
        </w:rPr>
      </w:pPr>
      <w:r w:rsidRPr="007D67F3">
        <w:rPr>
          <w:rFonts w:ascii="Arial" w:hAnsi="Arial" w:cs="Arial"/>
          <w:sz w:val="22"/>
          <w:szCs w:val="22"/>
          <w:lang w:val="en-US"/>
        </w:rPr>
        <w:t>Patients who meet the study criteria</w:t>
      </w:r>
      <w:r>
        <w:rPr>
          <w:rFonts w:ascii="Arial" w:hAnsi="Arial" w:cs="Arial"/>
          <w:sz w:val="22"/>
          <w:szCs w:val="22"/>
          <w:lang w:val="en-US"/>
        </w:rPr>
        <w:t xml:space="preserve"> </w:t>
      </w:r>
      <w:r w:rsidRPr="007D67F3">
        <w:rPr>
          <w:rFonts w:ascii="Arial" w:hAnsi="Arial" w:cs="Arial"/>
          <w:sz w:val="22"/>
          <w:szCs w:val="22"/>
          <w:lang w:val="en-US"/>
        </w:rPr>
        <w:t xml:space="preserve">and who have signed the informed consent form (ICF) </w:t>
      </w:r>
      <w:r w:rsidR="00F40FF2">
        <w:rPr>
          <w:rFonts w:ascii="Arial" w:hAnsi="Arial" w:cs="Arial"/>
          <w:sz w:val="22"/>
          <w:szCs w:val="22"/>
          <w:lang w:val="en-US"/>
        </w:rPr>
        <w:t>(for the RCT</w:t>
      </w:r>
      <w:r w:rsidR="00F40FF2" w:rsidRPr="007D67F3">
        <w:rPr>
          <w:rFonts w:ascii="Arial" w:hAnsi="Arial" w:cs="Arial"/>
          <w:sz w:val="22"/>
          <w:szCs w:val="22"/>
          <w:lang w:val="en-US"/>
        </w:rPr>
        <w:t xml:space="preserve"> </w:t>
      </w:r>
      <w:r w:rsidR="00F40FF2">
        <w:rPr>
          <w:rFonts w:ascii="Arial" w:hAnsi="Arial" w:cs="Arial"/>
          <w:sz w:val="22"/>
          <w:szCs w:val="22"/>
          <w:lang w:val="en-US"/>
        </w:rPr>
        <w:t xml:space="preserve">part) </w:t>
      </w:r>
      <w:r w:rsidRPr="007D67F3">
        <w:rPr>
          <w:rFonts w:ascii="Arial" w:hAnsi="Arial" w:cs="Arial"/>
          <w:sz w:val="22"/>
          <w:szCs w:val="22"/>
          <w:lang w:val="en-US"/>
        </w:rPr>
        <w:t>were randomi</w:t>
      </w:r>
      <w:r>
        <w:rPr>
          <w:rFonts w:ascii="Arial" w:hAnsi="Arial" w:cs="Arial"/>
          <w:sz w:val="22"/>
          <w:szCs w:val="22"/>
          <w:lang w:val="en-US"/>
        </w:rPr>
        <w:t>z</w:t>
      </w:r>
      <w:r w:rsidRPr="007D67F3">
        <w:rPr>
          <w:rFonts w:ascii="Arial" w:hAnsi="Arial" w:cs="Arial"/>
          <w:sz w:val="22"/>
          <w:szCs w:val="22"/>
          <w:lang w:val="en-US"/>
        </w:rPr>
        <w:t>ed by a centralized web-based computer</w:t>
      </w:r>
      <w:r w:rsidR="00D53C61">
        <w:rPr>
          <w:rFonts w:ascii="Arial" w:hAnsi="Arial" w:cs="Arial"/>
          <w:sz w:val="22"/>
          <w:szCs w:val="22"/>
          <w:lang w:val="en-US"/>
        </w:rPr>
        <w:t xml:space="preserve"> </w:t>
      </w:r>
      <w:r w:rsidRPr="007D67F3">
        <w:rPr>
          <w:rFonts w:ascii="Arial" w:hAnsi="Arial" w:cs="Arial"/>
          <w:sz w:val="22"/>
          <w:szCs w:val="22"/>
          <w:lang w:val="en-US"/>
        </w:rPr>
        <w:t xml:space="preserve">generated list </w:t>
      </w:r>
      <w:r w:rsidR="00D53C61">
        <w:rPr>
          <w:rFonts w:ascii="Arial" w:hAnsi="Arial" w:cs="Arial"/>
          <w:sz w:val="22"/>
          <w:szCs w:val="22"/>
          <w:lang w:val="en-US"/>
        </w:rPr>
        <w:t>(www.uzleuven.be/rct)</w:t>
      </w:r>
      <w:r w:rsidR="00D53C61" w:rsidRPr="007D67F3">
        <w:rPr>
          <w:rFonts w:ascii="Arial" w:hAnsi="Arial" w:cs="Arial"/>
          <w:sz w:val="22"/>
          <w:szCs w:val="22"/>
          <w:lang w:val="en-US"/>
        </w:rPr>
        <w:t xml:space="preserve"> </w:t>
      </w:r>
      <w:r w:rsidRPr="007D67F3">
        <w:rPr>
          <w:rFonts w:ascii="Arial" w:hAnsi="Arial" w:cs="Arial"/>
          <w:sz w:val="22"/>
          <w:szCs w:val="22"/>
          <w:lang w:val="en-US"/>
        </w:rPr>
        <w:t>with a 1 to 1 ratio of patients assigned to group 1 (</w:t>
      </w:r>
      <w:r w:rsidR="009D426D">
        <w:rPr>
          <w:rFonts w:ascii="Arial" w:hAnsi="Arial" w:cs="Arial"/>
          <w:sz w:val="22"/>
          <w:szCs w:val="22"/>
          <w:lang w:val="en-US"/>
        </w:rPr>
        <w:t>R-expectant-</w:t>
      </w:r>
      <w:r w:rsidRPr="007D67F3">
        <w:rPr>
          <w:rFonts w:ascii="Arial" w:hAnsi="Arial" w:cs="Arial"/>
          <w:sz w:val="22"/>
          <w:szCs w:val="22"/>
          <w:lang w:val="en-US"/>
        </w:rPr>
        <w:t>group) and group 2 (</w:t>
      </w:r>
      <w:r w:rsidR="009D426D">
        <w:rPr>
          <w:rFonts w:ascii="Arial" w:hAnsi="Arial" w:cs="Arial"/>
          <w:sz w:val="22"/>
          <w:szCs w:val="22"/>
          <w:lang w:val="en-US"/>
        </w:rPr>
        <w:t>R-</w:t>
      </w:r>
      <w:r>
        <w:rPr>
          <w:rFonts w:ascii="Arial" w:hAnsi="Arial" w:cs="Arial"/>
          <w:sz w:val="22"/>
          <w:szCs w:val="22"/>
          <w:lang w:val="en-US"/>
        </w:rPr>
        <w:t>IUI</w:t>
      </w:r>
      <w:r w:rsidR="009D426D">
        <w:rPr>
          <w:rFonts w:ascii="Arial" w:hAnsi="Arial" w:cs="Arial"/>
          <w:sz w:val="22"/>
          <w:szCs w:val="22"/>
          <w:lang w:val="en-US"/>
        </w:rPr>
        <w:t>-</w:t>
      </w:r>
      <w:r w:rsidRPr="007D67F3">
        <w:rPr>
          <w:rFonts w:ascii="Arial" w:hAnsi="Arial" w:cs="Arial"/>
          <w:sz w:val="22"/>
          <w:szCs w:val="22"/>
          <w:lang w:val="en-US"/>
        </w:rPr>
        <w:t xml:space="preserve">group). No stratification by </w:t>
      </w:r>
      <w:r>
        <w:rPr>
          <w:rFonts w:ascii="Arial" w:hAnsi="Arial" w:cs="Arial"/>
          <w:sz w:val="22"/>
          <w:szCs w:val="22"/>
          <w:lang w:val="en-US"/>
        </w:rPr>
        <w:t>EFI score</w:t>
      </w:r>
      <w:r w:rsidRPr="007D67F3">
        <w:rPr>
          <w:rFonts w:ascii="Arial" w:hAnsi="Arial" w:cs="Arial"/>
          <w:sz w:val="22"/>
          <w:szCs w:val="22"/>
          <w:lang w:val="en-US"/>
        </w:rPr>
        <w:t xml:space="preserve"> or other variables was applied. Blinding was not possible due to the nature of the intervention.</w:t>
      </w:r>
    </w:p>
    <w:p w14:paraId="48D4B1FC" w14:textId="77777777" w:rsidR="007D67F3" w:rsidRDefault="007D67F3" w:rsidP="007D67F3">
      <w:pPr>
        <w:spacing w:line="480" w:lineRule="auto"/>
        <w:rPr>
          <w:rFonts w:ascii="Arial" w:hAnsi="Arial" w:cs="Arial"/>
          <w:sz w:val="22"/>
          <w:szCs w:val="22"/>
          <w:lang w:val="en-US"/>
        </w:rPr>
      </w:pPr>
    </w:p>
    <w:p w14:paraId="75B31B5D" w14:textId="77777777" w:rsidR="00AA076B" w:rsidRDefault="00AA076B" w:rsidP="007D67F3">
      <w:pPr>
        <w:spacing w:line="480" w:lineRule="auto"/>
        <w:rPr>
          <w:rFonts w:ascii="Arial" w:hAnsi="Arial" w:cs="Arial"/>
          <w:sz w:val="22"/>
          <w:szCs w:val="22"/>
          <w:lang w:val="en-US"/>
        </w:rPr>
      </w:pPr>
    </w:p>
    <w:p w14:paraId="22BCDE06" w14:textId="77777777" w:rsidR="00B84F73"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lastRenderedPageBreak/>
        <w:t>Study procedures</w:t>
      </w:r>
    </w:p>
    <w:p w14:paraId="617975D6" w14:textId="6977789B" w:rsidR="00D53C61" w:rsidRDefault="007153B1" w:rsidP="00D53C61">
      <w:pPr>
        <w:spacing w:line="480" w:lineRule="auto"/>
        <w:rPr>
          <w:rFonts w:ascii="Arial" w:hAnsi="Arial" w:cs="Arial"/>
          <w:sz w:val="22"/>
          <w:szCs w:val="22"/>
          <w:lang w:val="en-US"/>
        </w:rPr>
      </w:pPr>
      <w:r>
        <w:rPr>
          <w:rFonts w:ascii="Arial" w:hAnsi="Arial" w:cs="Arial"/>
          <w:sz w:val="22"/>
          <w:szCs w:val="22"/>
          <w:lang w:val="en-US"/>
        </w:rPr>
        <w:t>This study</w:t>
      </w:r>
      <w:r w:rsidR="00D53C61" w:rsidRPr="00F9337D">
        <w:rPr>
          <w:rFonts w:ascii="Arial" w:hAnsi="Arial" w:cs="Arial"/>
          <w:sz w:val="22"/>
          <w:szCs w:val="22"/>
          <w:lang w:val="en-US"/>
        </w:rPr>
        <w:t xml:space="preserve"> tested the hypothesis that the cumulative clinical pregnancy rate is higher after planned IUI-treatment than after expectant management within the same time frame (i.e. 7 menstrual cycles). </w:t>
      </w:r>
    </w:p>
    <w:p w14:paraId="429E5EFA" w14:textId="77777777" w:rsidR="003A7B4A" w:rsidRDefault="003A7B4A" w:rsidP="0080481C">
      <w:pPr>
        <w:spacing w:line="480" w:lineRule="auto"/>
        <w:rPr>
          <w:rFonts w:ascii="Arial" w:hAnsi="Arial" w:cs="Arial"/>
          <w:b/>
          <w:sz w:val="22"/>
          <w:szCs w:val="22"/>
          <w:lang w:val="en-US"/>
        </w:rPr>
      </w:pPr>
    </w:p>
    <w:p w14:paraId="4E647614" w14:textId="68FD6354" w:rsidR="007D67F3" w:rsidRDefault="007D67F3" w:rsidP="007D67F3">
      <w:pPr>
        <w:spacing w:line="480" w:lineRule="auto"/>
        <w:rPr>
          <w:rFonts w:ascii="Arial" w:hAnsi="Arial" w:cs="Arial"/>
          <w:sz w:val="22"/>
          <w:szCs w:val="22"/>
          <w:lang w:val="en-GB"/>
        </w:rPr>
      </w:pPr>
      <w:r w:rsidRPr="007D67F3">
        <w:rPr>
          <w:rFonts w:ascii="Arial" w:hAnsi="Arial" w:cs="Arial"/>
          <w:sz w:val="22"/>
          <w:szCs w:val="22"/>
          <w:lang w:val="en-GB"/>
        </w:rPr>
        <w:t xml:space="preserve">The study period for </w:t>
      </w:r>
      <w:r>
        <w:rPr>
          <w:rFonts w:ascii="Arial" w:hAnsi="Arial" w:cs="Arial"/>
          <w:sz w:val="22"/>
          <w:szCs w:val="22"/>
          <w:lang w:val="en-GB"/>
        </w:rPr>
        <w:t xml:space="preserve">all patients </w:t>
      </w:r>
      <w:r w:rsidR="00F40FF2">
        <w:rPr>
          <w:rFonts w:ascii="Arial" w:hAnsi="Arial" w:cs="Arial"/>
          <w:sz w:val="22"/>
          <w:szCs w:val="22"/>
          <w:lang w:val="en-GB"/>
        </w:rPr>
        <w:t>started</w:t>
      </w:r>
      <w:r w:rsidRPr="007D67F3">
        <w:rPr>
          <w:rFonts w:ascii="Arial" w:hAnsi="Arial" w:cs="Arial"/>
          <w:sz w:val="22"/>
          <w:szCs w:val="22"/>
          <w:lang w:val="en-GB"/>
        </w:rPr>
        <w:t xml:space="preserve"> at the onset of the first menstruation after randomisation</w:t>
      </w:r>
      <w:r w:rsidR="00B0346A">
        <w:rPr>
          <w:rFonts w:ascii="Arial" w:hAnsi="Arial" w:cs="Arial"/>
          <w:sz w:val="22"/>
          <w:szCs w:val="22"/>
          <w:lang w:val="en-GB"/>
        </w:rPr>
        <w:t xml:space="preserve"> (unless randomization took place in the early follicular phase)</w:t>
      </w:r>
      <w:r>
        <w:rPr>
          <w:rFonts w:ascii="Arial" w:hAnsi="Arial" w:cs="Arial"/>
          <w:sz w:val="22"/>
          <w:szCs w:val="22"/>
          <w:lang w:val="en-GB"/>
        </w:rPr>
        <w:t xml:space="preserve">, and </w:t>
      </w:r>
      <w:r w:rsidR="00F40FF2">
        <w:rPr>
          <w:rFonts w:ascii="Arial" w:hAnsi="Arial" w:cs="Arial"/>
          <w:sz w:val="22"/>
          <w:szCs w:val="22"/>
          <w:lang w:val="en-GB"/>
        </w:rPr>
        <w:t>lasted</w:t>
      </w:r>
      <w:r>
        <w:rPr>
          <w:rFonts w:ascii="Arial" w:hAnsi="Arial" w:cs="Arial"/>
          <w:sz w:val="22"/>
          <w:szCs w:val="22"/>
          <w:lang w:val="en-GB"/>
        </w:rPr>
        <w:t xml:space="preserve"> for </w:t>
      </w:r>
      <w:r w:rsidRPr="007D67F3">
        <w:rPr>
          <w:rFonts w:ascii="Arial" w:hAnsi="Arial" w:cs="Arial"/>
          <w:sz w:val="22"/>
          <w:szCs w:val="22"/>
          <w:lang w:val="en-GB"/>
        </w:rPr>
        <w:t xml:space="preserve">7 menstrual cycles. Patients </w:t>
      </w:r>
      <w:r>
        <w:rPr>
          <w:rFonts w:ascii="Arial" w:hAnsi="Arial" w:cs="Arial"/>
          <w:sz w:val="22"/>
          <w:szCs w:val="22"/>
          <w:lang w:val="en-GB"/>
        </w:rPr>
        <w:t xml:space="preserve">in the control group </w:t>
      </w:r>
      <w:r w:rsidR="00F40FF2">
        <w:rPr>
          <w:rFonts w:ascii="Arial" w:hAnsi="Arial" w:cs="Arial"/>
          <w:sz w:val="22"/>
          <w:szCs w:val="22"/>
          <w:lang w:val="en-GB"/>
        </w:rPr>
        <w:t>awaited</w:t>
      </w:r>
      <w:r w:rsidRPr="007D67F3">
        <w:rPr>
          <w:rFonts w:ascii="Arial" w:hAnsi="Arial" w:cs="Arial"/>
          <w:sz w:val="22"/>
          <w:szCs w:val="22"/>
          <w:lang w:val="en-GB"/>
        </w:rPr>
        <w:t xml:space="preserve"> spontaneous conception during 7 menstrual cycles after randomization. They </w:t>
      </w:r>
      <w:r w:rsidR="00F40FF2">
        <w:rPr>
          <w:rFonts w:ascii="Arial" w:hAnsi="Arial" w:cs="Arial"/>
          <w:sz w:val="22"/>
          <w:szCs w:val="22"/>
          <w:lang w:val="en-GB"/>
        </w:rPr>
        <w:t>received</w:t>
      </w:r>
      <w:r w:rsidRPr="007D67F3">
        <w:rPr>
          <w:rFonts w:ascii="Arial" w:hAnsi="Arial" w:cs="Arial"/>
          <w:sz w:val="22"/>
          <w:szCs w:val="22"/>
          <w:lang w:val="en-GB"/>
        </w:rPr>
        <w:t xml:space="preserve"> specific education on natural fertility (window of conception, as described in the general patient information brochure of the LUFC). </w:t>
      </w:r>
    </w:p>
    <w:p w14:paraId="7F12AEA2" w14:textId="49C45E2B" w:rsidR="007D67F3" w:rsidRPr="007D67F3" w:rsidRDefault="007D67F3" w:rsidP="007D67F3">
      <w:pPr>
        <w:spacing w:line="480" w:lineRule="auto"/>
        <w:rPr>
          <w:rFonts w:ascii="Arial" w:hAnsi="Arial" w:cs="Arial"/>
          <w:sz w:val="22"/>
          <w:szCs w:val="22"/>
          <w:lang w:val="en-GB"/>
        </w:rPr>
      </w:pPr>
      <w:r>
        <w:rPr>
          <w:rFonts w:ascii="Arial" w:hAnsi="Arial" w:cs="Arial"/>
          <w:sz w:val="22"/>
          <w:szCs w:val="22"/>
          <w:lang w:val="en-GB"/>
        </w:rPr>
        <w:t xml:space="preserve">Patients in the </w:t>
      </w:r>
      <w:r w:rsidR="009D426D">
        <w:rPr>
          <w:rFonts w:ascii="Arial" w:hAnsi="Arial" w:cs="Arial"/>
          <w:sz w:val="22"/>
          <w:szCs w:val="22"/>
          <w:lang w:val="en-GB"/>
        </w:rPr>
        <w:t>R-IUI-</w:t>
      </w:r>
      <w:r>
        <w:rPr>
          <w:rFonts w:ascii="Arial" w:hAnsi="Arial" w:cs="Arial"/>
          <w:sz w:val="22"/>
          <w:szCs w:val="22"/>
          <w:lang w:val="en-GB"/>
        </w:rPr>
        <w:t xml:space="preserve">group were planned to undergo </w:t>
      </w:r>
      <w:r w:rsidRPr="007D67F3">
        <w:rPr>
          <w:rFonts w:ascii="Arial" w:hAnsi="Arial" w:cs="Arial"/>
          <w:sz w:val="22"/>
          <w:szCs w:val="22"/>
          <w:lang w:val="en-GB"/>
        </w:rPr>
        <w:t>4 IUI cycles</w:t>
      </w:r>
      <w:r>
        <w:rPr>
          <w:rFonts w:ascii="Arial" w:hAnsi="Arial" w:cs="Arial"/>
          <w:sz w:val="22"/>
          <w:szCs w:val="22"/>
          <w:lang w:val="en-GB"/>
        </w:rPr>
        <w:t xml:space="preserve"> with m</w:t>
      </w:r>
      <w:r w:rsidRPr="007D67F3">
        <w:rPr>
          <w:rFonts w:ascii="Arial" w:hAnsi="Arial" w:cs="Arial"/>
          <w:sz w:val="22"/>
          <w:szCs w:val="22"/>
          <w:lang w:val="en-GB"/>
        </w:rPr>
        <w:t>ild COH with urinary gonad</w:t>
      </w:r>
      <w:r>
        <w:rPr>
          <w:rFonts w:ascii="Arial" w:hAnsi="Arial" w:cs="Arial"/>
          <w:sz w:val="22"/>
          <w:szCs w:val="22"/>
          <w:lang w:val="en-GB"/>
        </w:rPr>
        <w:t>otrophins as per LUFc protocol</w:t>
      </w:r>
      <w:r w:rsidR="00C43549">
        <w:rPr>
          <w:rFonts w:ascii="Arial" w:hAnsi="Arial" w:cs="Arial"/>
          <w:sz w:val="22"/>
          <w:szCs w:val="22"/>
          <w:lang w:val="en-GB"/>
        </w:rPr>
        <w:t xml:space="preserve"> (Peeraer et al., 2015)</w:t>
      </w:r>
      <w:r>
        <w:rPr>
          <w:rFonts w:ascii="Arial" w:hAnsi="Arial" w:cs="Arial"/>
          <w:sz w:val="22"/>
          <w:szCs w:val="22"/>
          <w:lang w:val="en-GB"/>
        </w:rPr>
        <w:t>.</w:t>
      </w:r>
      <w:r w:rsidRPr="007D67F3">
        <w:rPr>
          <w:rFonts w:ascii="Arial" w:hAnsi="Arial" w:cs="Arial"/>
          <w:sz w:val="22"/>
          <w:szCs w:val="22"/>
          <w:lang w:val="en-GB"/>
        </w:rPr>
        <w:t xml:space="preserve"> The aim of the COH is to obtain a maximum of 2 mature follicles (mean diameter of 15mm or more) on the day of HCG-trigger. In case of 3 or more mature follicles on the day of HCG-trigger</w:t>
      </w:r>
      <w:r w:rsidR="00F40FF2">
        <w:rPr>
          <w:rFonts w:ascii="Arial" w:hAnsi="Arial" w:cs="Arial"/>
          <w:sz w:val="22"/>
          <w:szCs w:val="22"/>
          <w:lang w:val="en-GB"/>
        </w:rPr>
        <w:t xml:space="preserve"> were seen</w:t>
      </w:r>
      <w:r w:rsidRPr="007D67F3">
        <w:rPr>
          <w:rFonts w:ascii="Arial" w:hAnsi="Arial" w:cs="Arial"/>
          <w:sz w:val="22"/>
          <w:szCs w:val="22"/>
          <w:lang w:val="en-GB"/>
        </w:rPr>
        <w:t xml:space="preserve">, </w:t>
      </w:r>
      <w:r w:rsidR="00F40FF2">
        <w:rPr>
          <w:rFonts w:ascii="Arial" w:hAnsi="Arial" w:cs="Arial"/>
          <w:sz w:val="22"/>
          <w:szCs w:val="22"/>
          <w:lang w:val="en-GB"/>
        </w:rPr>
        <w:t xml:space="preserve">the patient was </w:t>
      </w:r>
      <w:r>
        <w:rPr>
          <w:rFonts w:ascii="Arial" w:hAnsi="Arial" w:cs="Arial"/>
          <w:sz w:val="22"/>
          <w:szCs w:val="22"/>
          <w:lang w:val="en-GB"/>
        </w:rPr>
        <w:t>given the choice to either perform a</w:t>
      </w:r>
      <w:r w:rsidRPr="007D67F3">
        <w:rPr>
          <w:rFonts w:ascii="Arial" w:hAnsi="Arial" w:cs="Arial"/>
          <w:sz w:val="22"/>
          <w:szCs w:val="22"/>
          <w:lang w:val="en-GB"/>
        </w:rPr>
        <w:t xml:space="preserve"> selective follicle aspiration of excess follicles or to cancel the cycle. </w:t>
      </w:r>
      <w:r>
        <w:rPr>
          <w:rFonts w:ascii="Arial" w:hAnsi="Arial" w:cs="Arial"/>
          <w:sz w:val="22"/>
          <w:szCs w:val="22"/>
          <w:lang w:val="en-GB"/>
        </w:rPr>
        <w:t xml:space="preserve">In IUI-cycles, luteal support was given with vaginal progestogens. </w:t>
      </w:r>
    </w:p>
    <w:p w14:paraId="0AC28719" w14:textId="0701456F" w:rsidR="007D67F3" w:rsidRDefault="00F40FF2" w:rsidP="007D67F3">
      <w:pPr>
        <w:spacing w:line="480" w:lineRule="auto"/>
        <w:rPr>
          <w:rFonts w:ascii="Arial" w:hAnsi="Arial" w:cs="Arial"/>
          <w:sz w:val="22"/>
          <w:szCs w:val="22"/>
          <w:lang w:val="en-GB"/>
        </w:rPr>
      </w:pPr>
      <w:r>
        <w:rPr>
          <w:rFonts w:ascii="Arial" w:hAnsi="Arial" w:cs="Arial"/>
          <w:sz w:val="22"/>
          <w:szCs w:val="22"/>
          <w:lang w:val="en-GB"/>
        </w:rPr>
        <w:t>A</w:t>
      </w:r>
      <w:r w:rsidR="007D67F3">
        <w:rPr>
          <w:rFonts w:ascii="Arial" w:hAnsi="Arial" w:cs="Arial"/>
          <w:sz w:val="22"/>
          <w:szCs w:val="22"/>
          <w:lang w:val="en-GB"/>
        </w:rPr>
        <w:t>ll p</w:t>
      </w:r>
      <w:r w:rsidR="007D67F3" w:rsidRPr="007D67F3">
        <w:rPr>
          <w:rFonts w:ascii="Arial" w:hAnsi="Arial" w:cs="Arial"/>
          <w:sz w:val="22"/>
          <w:szCs w:val="22"/>
          <w:lang w:val="en-GB"/>
        </w:rPr>
        <w:t xml:space="preserve">atients </w:t>
      </w:r>
      <w:r w:rsidR="007D67F3">
        <w:rPr>
          <w:rFonts w:ascii="Arial" w:hAnsi="Arial" w:cs="Arial"/>
          <w:sz w:val="22"/>
          <w:szCs w:val="22"/>
          <w:lang w:val="en-GB"/>
        </w:rPr>
        <w:t>kept</w:t>
      </w:r>
      <w:r w:rsidR="0079235D">
        <w:rPr>
          <w:rFonts w:ascii="Arial" w:hAnsi="Arial" w:cs="Arial"/>
          <w:sz w:val="22"/>
          <w:szCs w:val="22"/>
          <w:lang w:val="en-GB"/>
        </w:rPr>
        <w:t xml:space="preserve"> a diary cycle monogram. Pa</w:t>
      </w:r>
      <w:r w:rsidR="007D67F3" w:rsidRPr="007D67F3">
        <w:rPr>
          <w:rFonts w:ascii="Arial" w:hAnsi="Arial" w:cs="Arial"/>
          <w:sz w:val="22"/>
          <w:szCs w:val="22"/>
          <w:lang w:val="en-GB"/>
        </w:rPr>
        <w:t xml:space="preserve">tients who </w:t>
      </w:r>
      <w:r>
        <w:rPr>
          <w:rFonts w:ascii="Arial" w:hAnsi="Arial" w:cs="Arial"/>
          <w:sz w:val="22"/>
          <w:szCs w:val="22"/>
          <w:lang w:val="en-GB"/>
        </w:rPr>
        <w:t>we</w:t>
      </w:r>
      <w:r w:rsidR="007D67F3" w:rsidRPr="007D67F3">
        <w:rPr>
          <w:rFonts w:ascii="Arial" w:hAnsi="Arial" w:cs="Arial"/>
          <w:sz w:val="22"/>
          <w:szCs w:val="22"/>
          <w:lang w:val="en-GB"/>
        </w:rPr>
        <w:t xml:space="preserve">re not pregnant at the end of the study period </w:t>
      </w:r>
      <w:r w:rsidR="00485D45">
        <w:rPr>
          <w:rFonts w:ascii="Arial" w:hAnsi="Arial" w:cs="Arial"/>
          <w:sz w:val="22"/>
          <w:szCs w:val="22"/>
          <w:lang w:val="en-GB"/>
        </w:rPr>
        <w:t>were</w:t>
      </w:r>
      <w:r w:rsidR="007D67F3" w:rsidRPr="007D67F3">
        <w:rPr>
          <w:rFonts w:ascii="Arial" w:hAnsi="Arial" w:cs="Arial"/>
          <w:sz w:val="22"/>
          <w:szCs w:val="22"/>
          <w:lang w:val="en-GB"/>
        </w:rPr>
        <w:t xml:space="preserve"> invited for a follow-up consultation and a transvaginal ultrasound</w:t>
      </w:r>
      <w:r w:rsidR="00485D45">
        <w:rPr>
          <w:rFonts w:ascii="Arial" w:hAnsi="Arial" w:cs="Arial"/>
          <w:sz w:val="22"/>
          <w:szCs w:val="22"/>
          <w:lang w:val="en-GB"/>
        </w:rPr>
        <w:t xml:space="preserve"> to assess any signs </w:t>
      </w:r>
      <w:r w:rsidR="00C24EF0">
        <w:rPr>
          <w:rFonts w:ascii="Arial" w:hAnsi="Arial" w:cs="Arial"/>
          <w:sz w:val="22"/>
          <w:szCs w:val="22"/>
          <w:lang w:val="en-GB"/>
        </w:rPr>
        <w:t xml:space="preserve">of </w:t>
      </w:r>
      <w:r w:rsidR="00485D45">
        <w:rPr>
          <w:rFonts w:ascii="Arial" w:hAnsi="Arial" w:cs="Arial"/>
          <w:sz w:val="22"/>
          <w:szCs w:val="22"/>
          <w:lang w:val="en-GB"/>
        </w:rPr>
        <w:t>endometriosis recurrence</w:t>
      </w:r>
      <w:r w:rsidR="0079235D">
        <w:rPr>
          <w:rFonts w:ascii="Arial" w:hAnsi="Arial" w:cs="Arial"/>
          <w:sz w:val="22"/>
          <w:szCs w:val="22"/>
          <w:lang w:val="en-GB"/>
        </w:rPr>
        <w:t>, as per normal routine at the LUFC</w:t>
      </w:r>
      <w:r w:rsidR="007D67F3" w:rsidRPr="007D67F3">
        <w:rPr>
          <w:rFonts w:ascii="Arial" w:hAnsi="Arial" w:cs="Arial"/>
          <w:sz w:val="22"/>
          <w:szCs w:val="22"/>
          <w:lang w:val="en-GB"/>
        </w:rPr>
        <w:t>.</w:t>
      </w:r>
    </w:p>
    <w:p w14:paraId="4AC50567" w14:textId="77777777" w:rsidR="00F40FF2" w:rsidRDefault="00F40FF2" w:rsidP="0080481C">
      <w:pPr>
        <w:spacing w:line="480" w:lineRule="auto"/>
        <w:rPr>
          <w:rFonts w:ascii="Arial" w:hAnsi="Arial" w:cs="Arial"/>
          <w:sz w:val="22"/>
          <w:szCs w:val="22"/>
          <w:lang w:val="en-GB"/>
        </w:rPr>
      </w:pPr>
    </w:p>
    <w:p w14:paraId="036D3011" w14:textId="29D0D4EE"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 xml:space="preserve">Outcomes </w:t>
      </w:r>
    </w:p>
    <w:p w14:paraId="0ED9A205" w14:textId="36386AA4" w:rsidR="00B84F73" w:rsidRDefault="00485D45" w:rsidP="00485D45">
      <w:pPr>
        <w:spacing w:line="480" w:lineRule="auto"/>
        <w:rPr>
          <w:rFonts w:ascii="Arial" w:hAnsi="Arial" w:cs="Arial"/>
          <w:sz w:val="22"/>
          <w:szCs w:val="22"/>
          <w:lang w:val="en-US"/>
        </w:rPr>
      </w:pPr>
      <w:r w:rsidRPr="00485D45">
        <w:rPr>
          <w:rFonts w:ascii="Arial" w:hAnsi="Arial" w:cs="Arial"/>
          <w:sz w:val="22"/>
          <w:szCs w:val="22"/>
          <w:lang w:val="en-US"/>
        </w:rPr>
        <w:t>The p</w:t>
      </w:r>
      <w:r w:rsidR="00C43549">
        <w:rPr>
          <w:rFonts w:ascii="Arial" w:hAnsi="Arial" w:cs="Arial"/>
          <w:sz w:val="22"/>
          <w:szCs w:val="22"/>
          <w:lang w:val="en-US"/>
        </w:rPr>
        <w:t>rimary outcome measure studied – both for the RCT as for the observational study - wa</w:t>
      </w:r>
      <w:r w:rsidRPr="00485D45">
        <w:rPr>
          <w:rFonts w:ascii="Arial" w:hAnsi="Arial" w:cs="Arial"/>
          <w:sz w:val="22"/>
          <w:szCs w:val="22"/>
          <w:lang w:val="en-US"/>
        </w:rPr>
        <w:t>s the cumulative clinical pregnancy rate (CCPR) after 7 menstrual cycles</w:t>
      </w:r>
      <w:r w:rsidR="00003D96">
        <w:rPr>
          <w:rFonts w:ascii="Arial" w:hAnsi="Arial" w:cs="Arial"/>
          <w:sz w:val="22"/>
          <w:szCs w:val="22"/>
          <w:lang w:val="en-US"/>
        </w:rPr>
        <w:t>, with an intention-to-treat approach</w:t>
      </w:r>
      <w:r w:rsidR="009D426D">
        <w:rPr>
          <w:rFonts w:ascii="Arial" w:hAnsi="Arial" w:cs="Arial"/>
          <w:sz w:val="22"/>
          <w:szCs w:val="22"/>
          <w:lang w:val="en-US"/>
        </w:rPr>
        <w:t>. A clinical pregnancy wa</w:t>
      </w:r>
      <w:r>
        <w:rPr>
          <w:rFonts w:ascii="Arial" w:hAnsi="Arial" w:cs="Arial"/>
          <w:sz w:val="22"/>
          <w:szCs w:val="22"/>
          <w:lang w:val="en-US"/>
        </w:rPr>
        <w:t>s (as defined by WHO-ICMART</w:t>
      </w:r>
      <w:r w:rsidRPr="00485D45">
        <w:rPr>
          <w:rFonts w:ascii="Arial" w:hAnsi="Arial" w:cs="Arial"/>
          <w:sz w:val="22"/>
          <w:szCs w:val="22"/>
          <w:lang w:val="en-US"/>
        </w:rPr>
        <w:t xml:space="preserve">, Zeghers-Hochschild et al, 2009) </w:t>
      </w:r>
      <w:r>
        <w:rPr>
          <w:rFonts w:ascii="Arial" w:hAnsi="Arial" w:cs="Arial"/>
          <w:sz w:val="22"/>
          <w:szCs w:val="22"/>
          <w:lang w:val="en-US"/>
        </w:rPr>
        <w:t xml:space="preserve">detected by a </w:t>
      </w:r>
      <w:r w:rsidRPr="00485D45">
        <w:rPr>
          <w:rFonts w:ascii="Arial" w:hAnsi="Arial" w:cs="Arial"/>
          <w:sz w:val="22"/>
          <w:szCs w:val="22"/>
          <w:lang w:val="en-US"/>
        </w:rPr>
        <w:t>transvaginal ultrasound between 3 and 8 weeks after ovulation</w:t>
      </w:r>
      <w:r>
        <w:rPr>
          <w:rFonts w:ascii="Arial" w:hAnsi="Arial" w:cs="Arial"/>
          <w:sz w:val="22"/>
          <w:szCs w:val="22"/>
          <w:lang w:val="en-US"/>
        </w:rPr>
        <w:t xml:space="preserve">, or - </w:t>
      </w:r>
      <w:r w:rsidR="009D426D">
        <w:rPr>
          <w:rFonts w:ascii="Arial" w:hAnsi="Arial" w:cs="Arial"/>
          <w:sz w:val="22"/>
          <w:szCs w:val="22"/>
          <w:lang w:val="en-US"/>
        </w:rPr>
        <w:t>in case the pregnancy ended</w:t>
      </w:r>
      <w:r w:rsidRPr="00485D45">
        <w:rPr>
          <w:rFonts w:ascii="Arial" w:hAnsi="Arial" w:cs="Arial"/>
          <w:sz w:val="22"/>
          <w:szCs w:val="22"/>
          <w:lang w:val="en-US"/>
        </w:rPr>
        <w:t xml:space="preserve"> sooner than 8 weeks after ovulation, and no transvaginal ultrasound was performed prior to the end of the pregnancy (e.g. </w:t>
      </w:r>
      <w:r w:rsidRPr="00485D45">
        <w:rPr>
          <w:rFonts w:ascii="Arial" w:hAnsi="Arial" w:cs="Arial"/>
          <w:sz w:val="22"/>
          <w:szCs w:val="22"/>
          <w:lang w:val="en-US"/>
        </w:rPr>
        <w:lastRenderedPageBreak/>
        <w:t>spontaneous miscarriage, or ectopic pregn</w:t>
      </w:r>
      <w:r>
        <w:rPr>
          <w:rFonts w:ascii="Arial" w:hAnsi="Arial" w:cs="Arial"/>
          <w:sz w:val="22"/>
          <w:szCs w:val="22"/>
          <w:lang w:val="en-US"/>
        </w:rPr>
        <w:t>ancy undergoing urgent surgery) - by</w:t>
      </w:r>
      <w:r w:rsidRPr="00485D45">
        <w:rPr>
          <w:rFonts w:ascii="Arial" w:hAnsi="Arial" w:cs="Arial"/>
          <w:sz w:val="22"/>
          <w:szCs w:val="22"/>
          <w:lang w:val="en-US"/>
        </w:rPr>
        <w:t xml:space="preserve"> confirmation of pregnancy tissue on pathological examination. </w:t>
      </w:r>
      <w:r w:rsidR="00CF3B7A" w:rsidRPr="00CF3B7A">
        <w:rPr>
          <w:rFonts w:ascii="Arial" w:hAnsi="Arial" w:cs="Arial"/>
          <w:sz w:val="22"/>
          <w:szCs w:val="22"/>
          <w:lang w:val="en-GB"/>
        </w:rPr>
        <w:t xml:space="preserve">Initiated </w:t>
      </w:r>
      <w:r w:rsidR="00CF3B7A">
        <w:rPr>
          <w:rFonts w:ascii="Arial" w:hAnsi="Arial" w:cs="Arial"/>
          <w:sz w:val="22"/>
          <w:szCs w:val="22"/>
          <w:lang w:val="en-GB"/>
        </w:rPr>
        <w:t xml:space="preserve">IUI </w:t>
      </w:r>
      <w:r w:rsidR="00CF3B7A" w:rsidRPr="00CF3B7A">
        <w:rPr>
          <w:rFonts w:ascii="Arial" w:hAnsi="Arial" w:cs="Arial"/>
          <w:sz w:val="22"/>
          <w:szCs w:val="22"/>
          <w:lang w:val="en-GB"/>
        </w:rPr>
        <w:t>cycles include</w:t>
      </w:r>
      <w:r w:rsidR="009D426D">
        <w:rPr>
          <w:rFonts w:ascii="Arial" w:hAnsi="Arial" w:cs="Arial"/>
          <w:sz w:val="22"/>
          <w:szCs w:val="22"/>
          <w:lang w:val="en-GB"/>
        </w:rPr>
        <w:t>d</w:t>
      </w:r>
      <w:r w:rsidR="00CF3B7A" w:rsidRPr="00CF3B7A">
        <w:rPr>
          <w:rFonts w:ascii="Arial" w:hAnsi="Arial" w:cs="Arial"/>
          <w:sz w:val="22"/>
          <w:szCs w:val="22"/>
          <w:lang w:val="en-GB"/>
        </w:rPr>
        <w:t xml:space="preserve"> cancelled cycles for reason of high/no response, or when no sperm was available.</w:t>
      </w:r>
    </w:p>
    <w:p w14:paraId="4E2942E0" w14:textId="2BF832A3" w:rsidR="00485D45" w:rsidRPr="00485D45" w:rsidRDefault="00485D45" w:rsidP="0080481C">
      <w:pPr>
        <w:spacing w:line="480" w:lineRule="auto"/>
        <w:rPr>
          <w:rFonts w:ascii="Arial" w:hAnsi="Arial" w:cs="Arial"/>
          <w:sz w:val="22"/>
          <w:szCs w:val="22"/>
          <w:lang w:val="en-GB"/>
        </w:rPr>
      </w:pPr>
      <w:r>
        <w:rPr>
          <w:rFonts w:ascii="Arial" w:hAnsi="Arial" w:cs="Arial"/>
          <w:sz w:val="22"/>
          <w:szCs w:val="22"/>
          <w:lang w:val="en-US"/>
        </w:rPr>
        <w:t>Predefined</w:t>
      </w:r>
      <w:r w:rsidRPr="00485D45">
        <w:rPr>
          <w:rFonts w:ascii="Arial" w:hAnsi="Arial" w:cs="Arial"/>
          <w:sz w:val="22"/>
          <w:szCs w:val="22"/>
          <w:lang w:val="en-GB"/>
        </w:rPr>
        <w:t xml:space="preserve"> seco</w:t>
      </w:r>
      <w:r>
        <w:rPr>
          <w:rFonts w:ascii="Arial" w:hAnsi="Arial" w:cs="Arial"/>
          <w:sz w:val="22"/>
          <w:szCs w:val="22"/>
          <w:lang w:val="en-GB"/>
        </w:rPr>
        <w:t>ndary outcome measures include</w:t>
      </w:r>
      <w:r w:rsidRPr="00485D45">
        <w:rPr>
          <w:rFonts w:ascii="Arial" w:hAnsi="Arial" w:cs="Arial"/>
          <w:sz w:val="22"/>
          <w:szCs w:val="22"/>
          <w:lang w:val="en-GB"/>
        </w:rPr>
        <w:t xml:space="preserve"> clinical pregnancy rate per cycle</w:t>
      </w:r>
      <w:r>
        <w:rPr>
          <w:rFonts w:ascii="Arial" w:hAnsi="Arial" w:cs="Arial"/>
          <w:sz w:val="22"/>
          <w:szCs w:val="22"/>
          <w:lang w:val="en-GB"/>
        </w:rPr>
        <w:t xml:space="preserve"> (IUI or spontaneous)</w:t>
      </w:r>
      <w:r w:rsidRPr="00485D45">
        <w:rPr>
          <w:rFonts w:ascii="Arial" w:hAnsi="Arial" w:cs="Arial"/>
          <w:sz w:val="22"/>
          <w:szCs w:val="22"/>
          <w:lang w:val="en-GB"/>
        </w:rPr>
        <w:t xml:space="preserve">, time to pregnancy, </w:t>
      </w:r>
      <w:r w:rsidR="0079235D">
        <w:rPr>
          <w:rFonts w:ascii="Arial" w:hAnsi="Arial" w:cs="Arial"/>
          <w:sz w:val="22"/>
          <w:szCs w:val="22"/>
          <w:lang w:val="en-GB"/>
        </w:rPr>
        <w:t xml:space="preserve">and </w:t>
      </w:r>
      <w:r>
        <w:rPr>
          <w:rFonts w:ascii="Arial" w:hAnsi="Arial" w:cs="Arial"/>
          <w:sz w:val="22"/>
          <w:szCs w:val="22"/>
          <w:lang w:val="en-GB"/>
        </w:rPr>
        <w:t xml:space="preserve">other </w:t>
      </w:r>
      <w:r w:rsidRPr="00485D45">
        <w:rPr>
          <w:rFonts w:ascii="Arial" w:hAnsi="Arial" w:cs="Arial"/>
          <w:sz w:val="22"/>
          <w:szCs w:val="22"/>
          <w:lang w:val="en-GB"/>
        </w:rPr>
        <w:t>pregnancy outcomes (biochemical, multiples, miscarriage, ectopic, delivery</w:t>
      </w:r>
      <w:r>
        <w:rPr>
          <w:rFonts w:ascii="Arial" w:hAnsi="Arial" w:cs="Arial"/>
          <w:sz w:val="22"/>
          <w:szCs w:val="22"/>
          <w:lang w:val="en-GB"/>
        </w:rPr>
        <w:t>, live birth</w:t>
      </w:r>
      <w:r w:rsidRPr="00485D45">
        <w:rPr>
          <w:rFonts w:ascii="Arial" w:hAnsi="Arial" w:cs="Arial"/>
          <w:sz w:val="22"/>
          <w:szCs w:val="22"/>
          <w:lang w:val="en-GB"/>
        </w:rPr>
        <w:t>)</w:t>
      </w:r>
      <w:r w:rsidR="0079235D">
        <w:rPr>
          <w:rFonts w:ascii="Arial" w:hAnsi="Arial" w:cs="Arial"/>
          <w:sz w:val="22"/>
          <w:szCs w:val="22"/>
          <w:lang w:val="en-GB"/>
        </w:rPr>
        <w:t>.</w:t>
      </w:r>
    </w:p>
    <w:p w14:paraId="1FF779E6" w14:textId="77777777" w:rsidR="00485D45" w:rsidRPr="00485D45" w:rsidRDefault="00485D45" w:rsidP="0080481C">
      <w:pPr>
        <w:spacing w:line="480" w:lineRule="auto"/>
        <w:rPr>
          <w:rFonts w:ascii="Arial" w:hAnsi="Arial" w:cs="Arial"/>
          <w:sz w:val="22"/>
          <w:szCs w:val="22"/>
          <w:lang w:val="en-GB"/>
        </w:rPr>
      </w:pPr>
    </w:p>
    <w:p w14:paraId="740C1CF5" w14:textId="77777777" w:rsidR="00B84F73"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Statistical analysis</w:t>
      </w:r>
    </w:p>
    <w:p w14:paraId="1C24365D" w14:textId="77777777" w:rsidR="00F4599F" w:rsidRDefault="00F4599F" w:rsidP="0080481C">
      <w:pPr>
        <w:spacing w:line="480" w:lineRule="auto"/>
        <w:rPr>
          <w:rFonts w:ascii="Arial" w:hAnsi="Arial" w:cs="Arial"/>
          <w:b/>
          <w:sz w:val="22"/>
          <w:szCs w:val="22"/>
          <w:lang w:val="en-US"/>
        </w:rPr>
      </w:pPr>
    </w:p>
    <w:p w14:paraId="0FBFC9E2" w14:textId="6495D47F" w:rsidR="00CF3B7A" w:rsidRDefault="007153B1" w:rsidP="00CF3B7A">
      <w:pPr>
        <w:spacing w:line="480" w:lineRule="auto"/>
        <w:rPr>
          <w:rFonts w:ascii="Arial" w:hAnsi="Arial" w:cs="Arial"/>
          <w:sz w:val="22"/>
          <w:szCs w:val="22"/>
          <w:lang w:val="en-US"/>
        </w:rPr>
      </w:pPr>
      <w:r>
        <w:rPr>
          <w:rFonts w:ascii="Arial" w:hAnsi="Arial" w:cs="Arial"/>
          <w:i/>
          <w:sz w:val="22"/>
          <w:szCs w:val="22"/>
          <w:lang w:val="en-US"/>
        </w:rPr>
        <w:t>A</w:t>
      </w:r>
      <w:r w:rsidR="00CF3B7A">
        <w:rPr>
          <w:rFonts w:ascii="Arial" w:hAnsi="Arial" w:cs="Arial"/>
          <w:sz w:val="22"/>
          <w:szCs w:val="22"/>
          <w:lang w:val="en-US"/>
        </w:rPr>
        <w:t xml:space="preserve">ll analyses were intention-to-treat, </w:t>
      </w:r>
      <w:r w:rsidR="00CF3B7A" w:rsidRPr="00CF3B7A">
        <w:rPr>
          <w:rFonts w:ascii="Arial" w:hAnsi="Arial" w:cs="Arial"/>
          <w:sz w:val="22"/>
          <w:szCs w:val="22"/>
          <w:lang w:val="en-GB"/>
        </w:rPr>
        <w:t>ta</w:t>
      </w:r>
      <w:r w:rsidR="00CF3B7A">
        <w:rPr>
          <w:rFonts w:ascii="Arial" w:hAnsi="Arial" w:cs="Arial"/>
          <w:sz w:val="22"/>
          <w:szCs w:val="22"/>
          <w:lang w:val="en-GB"/>
        </w:rPr>
        <w:t>king into account all dropouts</w:t>
      </w:r>
      <w:r w:rsidR="00003D96">
        <w:rPr>
          <w:rFonts w:ascii="Arial" w:hAnsi="Arial" w:cs="Arial"/>
          <w:sz w:val="22"/>
          <w:szCs w:val="22"/>
          <w:lang w:val="en-GB"/>
        </w:rPr>
        <w:t>. Initially</w:t>
      </w:r>
      <w:r w:rsidR="00003D96">
        <w:rPr>
          <w:rFonts w:ascii="Arial" w:hAnsi="Arial" w:cs="Arial"/>
          <w:sz w:val="22"/>
          <w:szCs w:val="22"/>
          <w:lang w:val="en-US"/>
        </w:rPr>
        <w:t>,</w:t>
      </w:r>
      <w:r w:rsidR="00CF3B7A">
        <w:rPr>
          <w:rFonts w:ascii="Arial" w:hAnsi="Arial" w:cs="Arial"/>
          <w:sz w:val="22"/>
          <w:szCs w:val="22"/>
          <w:lang w:val="en-US"/>
        </w:rPr>
        <w:t xml:space="preserve"> also a per-protocol analysis was planned, but this was not performed</w:t>
      </w:r>
      <w:r w:rsidR="00D00CD0">
        <w:rPr>
          <w:rFonts w:ascii="Arial" w:hAnsi="Arial" w:cs="Arial"/>
          <w:sz w:val="22"/>
          <w:szCs w:val="22"/>
          <w:lang w:val="en-US"/>
        </w:rPr>
        <w:t>:</w:t>
      </w:r>
      <w:r w:rsidR="00CF3B7A">
        <w:rPr>
          <w:rFonts w:ascii="Arial" w:hAnsi="Arial" w:cs="Arial"/>
          <w:sz w:val="22"/>
          <w:szCs w:val="22"/>
          <w:lang w:val="en-US"/>
        </w:rPr>
        <w:t xml:space="preserve"> due to the low number of included patients the added value compared to the intention-to-treat analysis was deemed futile. A Fisher</w:t>
      </w:r>
      <w:r w:rsidR="009D426D">
        <w:rPr>
          <w:rFonts w:ascii="Arial" w:hAnsi="Arial" w:cs="Arial"/>
          <w:sz w:val="22"/>
          <w:szCs w:val="22"/>
          <w:lang w:val="en-US"/>
        </w:rPr>
        <w:t>’</w:t>
      </w:r>
      <w:r w:rsidR="00CF3B7A">
        <w:rPr>
          <w:rFonts w:ascii="Arial" w:hAnsi="Arial" w:cs="Arial"/>
          <w:sz w:val="22"/>
          <w:szCs w:val="22"/>
          <w:lang w:val="en-US"/>
        </w:rPr>
        <w:t>s exact test wa</w:t>
      </w:r>
      <w:r w:rsidR="00CF3B7A" w:rsidRPr="00CF3B7A">
        <w:rPr>
          <w:rFonts w:ascii="Arial" w:hAnsi="Arial" w:cs="Arial"/>
          <w:sz w:val="22"/>
          <w:szCs w:val="22"/>
          <w:lang w:val="en-US"/>
        </w:rPr>
        <w:t>s used to compare the percentage clinical pregnancy between both groups. Note that this comparison ignores that a single subject did not finish the full 7 cycles, despite not being pregn</w:t>
      </w:r>
      <w:r w:rsidR="009D426D">
        <w:rPr>
          <w:rFonts w:ascii="Arial" w:hAnsi="Arial" w:cs="Arial"/>
          <w:sz w:val="22"/>
          <w:szCs w:val="22"/>
          <w:lang w:val="en-US"/>
        </w:rPr>
        <w:t xml:space="preserve">ant. Therefore, the odds-ratio </w:t>
      </w:r>
      <w:r w:rsidR="00704ED8">
        <w:rPr>
          <w:rFonts w:ascii="Arial" w:hAnsi="Arial" w:cs="Arial"/>
          <w:sz w:val="22"/>
          <w:szCs w:val="22"/>
          <w:lang w:val="en-US"/>
        </w:rPr>
        <w:t xml:space="preserve">for the effect of IUI </w:t>
      </w:r>
      <w:r w:rsidR="009D426D">
        <w:rPr>
          <w:rFonts w:ascii="Arial" w:hAnsi="Arial" w:cs="Arial"/>
          <w:sz w:val="22"/>
          <w:szCs w:val="22"/>
          <w:lang w:val="en-US"/>
        </w:rPr>
        <w:t>wa</w:t>
      </w:r>
      <w:r w:rsidR="00CF3B7A" w:rsidRPr="00CF3B7A">
        <w:rPr>
          <w:rFonts w:ascii="Arial" w:hAnsi="Arial" w:cs="Arial"/>
          <w:sz w:val="22"/>
          <w:szCs w:val="22"/>
          <w:lang w:val="en-US"/>
        </w:rPr>
        <w:t>s also reported from a discrete-time survival analysis (</w:t>
      </w:r>
      <w:r w:rsidR="00CF3B7A" w:rsidRPr="00003D96">
        <w:rPr>
          <w:rFonts w:ascii="Arial" w:hAnsi="Arial" w:cs="Arial"/>
          <w:sz w:val="22"/>
          <w:szCs w:val="22"/>
          <w:lang w:val="en-US"/>
        </w:rPr>
        <w:t>Singer and Willett, 1993)</w:t>
      </w:r>
      <w:r w:rsidR="00704ED8">
        <w:rPr>
          <w:rFonts w:ascii="Arial" w:hAnsi="Arial" w:cs="Arial"/>
          <w:sz w:val="22"/>
          <w:szCs w:val="22"/>
          <w:lang w:val="en-US"/>
        </w:rPr>
        <w:t>, with cycle as a categorical predictor</w:t>
      </w:r>
      <w:r w:rsidR="00CF3B7A" w:rsidRPr="00003D96">
        <w:rPr>
          <w:rFonts w:ascii="Arial" w:hAnsi="Arial" w:cs="Arial"/>
          <w:sz w:val="22"/>
          <w:szCs w:val="22"/>
          <w:lang w:val="en-US"/>
        </w:rPr>
        <w:t>.</w:t>
      </w:r>
      <w:r w:rsidR="00CF3B7A" w:rsidRPr="00CF3B7A">
        <w:rPr>
          <w:rFonts w:ascii="Arial" w:hAnsi="Arial" w:cs="Arial"/>
          <w:sz w:val="22"/>
          <w:szCs w:val="22"/>
          <w:lang w:val="en-US"/>
        </w:rPr>
        <w:t xml:space="preserve"> This approach can also evaluate the effect of IUI on cycle level (i.e. by treating IUI as a factor which can vary over time/cycl</w:t>
      </w:r>
      <w:r w:rsidR="00F4599F">
        <w:rPr>
          <w:rFonts w:ascii="Arial" w:hAnsi="Arial" w:cs="Arial"/>
          <w:sz w:val="22"/>
          <w:szCs w:val="22"/>
          <w:lang w:val="en-US"/>
        </w:rPr>
        <w:t>e</w:t>
      </w:r>
      <w:r w:rsidR="009D426D">
        <w:rPr>
          <w:rFonts w:ascii="Arial" w:hAnsi="Arial" w:cs="Arial"/>
          <w:sz w:val="22"/>
          <w:szCs w:val="22"/>
          <w:lang w:val="en-US"/>
        </w:rPr>
        <w:t>). Kaplan-Meier estimates we</w:t>
      </w:r>
      <w:r w:rsidR="00CF3B7A" w:rsidRPr="00CF3B7A">
        <w:rPr>
          <w:rFonts w:ascii="Arial" w:hAnsi="Arial" w:cs="Arial"/>
          <w:sz w:val="22"/>
          <w:szCs w:val="22"/>
          <w:lang w:val="en-US"/>
        </w:rPr>
        <w:t>re used to visualize the clinical pregnancy rate as a function of menstrual cycle (</w:t>
      </w:r>
      <w:r w:rsidR="00F4599F">
        <w:rPr>
          <w:rFonts w:ascii="Arial" w:hAnsi="Arial" w:cs="Arial"/>
          <w:sz w:val="22"/>
          <w:szCs w:val="22"/>
          <w:lang w:val="en-US"/>
        </w:rPr>
        <w:t>due to lack of events, these probabilities could not be obtained from the discrete-time survival analysis without making restrictive assumptions on the relation with cycle (e.g. assuming linearity)</w:t>
      </w:r>
      <w:r w:rsidR="00CF3B7A" w:rsidRPr="00CF3B7A">
        <w:rPr>
          <w:rFonts w:ascii="Arial" w:hAnsi="Arial" w:cs="Arial"/>
          <w:sz w:val="22"/>
          <w:szCs w:val="22"/>
          <w:lang w:val="en-US"/>
        </w:rPr>
        <w:t>).</w:t>
      </w:r>
      <w:r w:rsidR="00CF3B7A">
        <w:rPr>
          <w:rFonts w:ascii="Arial" w:hAnsi="Arial" w:cs="Arial"/>
          <w:sz w:val="22"/>
          <w:szCs w:val="22"/>
          <w:lang w:val="en-US"/>
        </w:rPr>
        <w:t xml:space="preserve"> No interim</w:t>
      </w:r>
      <w:r w:rsidR="000C3A63">
        <w:rPr>
          <w:rFonts w:ascii="Arial" w:hAnsi="Arial" w:cs="Arial"/>
          <w:sz w:val="22"/>
          <w:szCs w:val="22"/>
          <w:lang w:val="en-US"/>
        </w:rPr>
        <w:t>- or subgroup-</w:t>
      </w:r>
      <w:r w:rsidR="00CF3B7A">
        <w:rPr>
          <w:rFonts w:ascii="Arial" w:hAnsi="Arial" w:cs="Arial"/>
          <w:sz w:val="22"/>
          <w:szCs w:val="22"/>
          <w:lang w:val="en-US"/>
        </w:rPr>
        <w:t>analysis was planned.</w:t>
      </w:r>
    </w:p>
    <w:p w14:paraId="4BB0A5B6" w14:textId="148DD445" w:rsidR="00CF3B7A" w:rsidRDefault="00CF3B7A" w:rsidP="00CF3B7A">
      <w:pPr>
        <w:spacing w:line="480" w:lineRule="auto"/>
        <w:rPr>
          <w:rFonts w:ascii="Arial" w:hAnsi="Arial" w:cs="Arial"/>
          <w:sz w:val="22"/>
          <w:szCs w:val="22"/>
          <w:lang w:val="en-US"/>
        </w:rPr>
      </w:pPr>
      <w:r>
        <w:rPr>
          <w:rFonts w:ascii="Arial" w:hAnsi="Arial" w:cs="Arial"/>
          <w:sz w:val="22"/>
          <w:szCs w:val="22"/>
          <w:lang w:val="en-US"/>
        </w:rPr>
        <w:t>After early discontinuation of the RCT due to slow recruitment, it was decided to perform a</w:t>
      </w:r>
      <w:r w:rsidRPr="00CF3B7A">
        <w:rPr>
          <w:rFonts w:ascii="Arial" w:hAnsi="Arial" w:cs="Arial"/>
          <w:sz w:val="22"/>
          <w:szCs w:val="22"/>
          <w:lang w:val="en-US"/>
        </w:rPr>
        <w:t xml:space="preserve"> conditional power</w:t>
      </w:r>
      <w:r>
        <w:rPr>
          <w:rFonts w:ascii="Arial" w:hAnsi="Arial" w:cs="Arial"/>
          <w:sz w:val="22"/>
          <w:szCs w:val="22"/>
          <w:lang w:val="en-US"/>
        </w:rPr>
        <w:t xml:space="preserve"> calculation,</w:t>
      </w:r>
      <w:r w:rsidRPr="00CF3B7A">
        <w:rPr>
          <w:rFonts w:ascii="Arial" w:hAnsi="Arial" w:cs="Arial"/>
          <w:sz w:val="22"/>
          <w:szCs w:val="22"/>
          <w:lang w:val="en-US"/>
        </w:rPr>
        <w:t xml:space="preserve"> </w:t>
      </w:r>
      <w:r>
        <w:rPr>
          <w:rFonts w:ascii="Arial" w:hAnsi="Arial" w:cs="Arial"/>
          <w:sz w:val="22"/>
          <w:szCs w:val="22"/>
          <w:lang w:val="en-US"/>
        </w:rPr>
        <w:t xml:space="preserve">i.e. testing </w:t>
      </w:r>
      <w:r w:rsidRPr="00CF3B7A">
        <w:rPr>
          <w:rFonts w:ascii="Arial" w:hAnsi="Arial" w:cs="Arial"/>
          <w:sz w:val="22"/>
          <w:szCs w:val="22"/>
          <w:lang w:val="en-US"/>
        </w:rPr>
        <w:t xml:space="preserve">the probability to obtain a statistically significant result with the planned number of subjects given the already observed data, as calculated for an approximate test (Chi²) comparing the two proportions of clinical pregnancy, and this under three scenarios. Under the first assumption the subsequent data are assumed to reflect equality of the two groups. Under the second assumption the same trend is expected </w:t>
      </w:r>
      <w:r w:rsidRPr="00CF3B7A">
        <w:rPr>
          <w:rFonts w:ascii="Arial" w:hAnsi="Arial" w:cs="Arial"/>
          <w:sz w:val="22"/>
          <w:szCs w:val="22"/>
          <w:lang w:val="en-US"/>
        </w:rPr>
        <w:lastRenderedPageBreak/>
        <w:t>as on the gathered data. Under the third assumption the subsequent data are assumed to reflect the original hypothesized difference (65% vs 35%).</w:t>
      </w:r>
    </w:p>
    <w:p w14:paraId="78B0A3F9" w14:textId="77777777" w:rsidR="00CE6EA9" w:rsidRDefault="00CE6EA9" w:rsidP="00CF3B7A">
      <w:pPr>
        <w:spacing w:line="480" w:lineRule="auto"/>
        <w:rPr>
          <w:rFonts w:ascii="Arial" w:hAnsi="Arial" w:cs="Arial"/>
          <w:sz w:val="22"/>
          <w:szCs w:val="22"/>
          <w:lang w:val="en-US"/>
        </w:rPr>
      </w:pPr>
    </w:p>
    <w:p w14:paraId="52D22350" w14:textId="5B286EB4" w:rsidR="00B84F73" w:rsidRDefault="00CF3B7A" w:rsidP="00CF3B7A">
      <w:pPr>
        <w:spacing w:line="480" w:lineRule="auto"/>
        <w:rPr>
          <w:rFonts w:ascii="Arial" w:hAnsi="Arial" w:cs="Arial"/>
          <w:sz w:val="22"/>
          <w:szCs w:val="22"/>
          <w:lang w:val="en-US"/>
        </w:rPr>
      </w:pPr>
      <w:r w:rsidRPr="00CF3B7A">
        <w:rPr>
          <w:rFonts w:ascii="Arial" w:hAnsi="Arial" w:cs="Arial"/>
          <w:sz w:val="22"/>
          <w:szCs w:val="22"/>
          <w:lang w:val="en-US"/>
        </w:rPr>
        <w:t>Analyses have been performed using SAS software, version 9.4 of the SAS System for Windows, except for the conditional power analysis which has been performed using with freeware available at: http://resourcetepee.com/free-statistical-c</w:t>
      </w:r>
      <w:bookmarkStart w:id="0" w:name="_GoBack"/>
      <w:bookmarkEnd w:id="0"/>
      <w:r w:rsidRPr="00CF3B7A">
        <w:rPr>
          <w:rFonts w:ascii="Arial" w:hAnsi="Arial" w:cs="Arial"/>
          <w:sz w:val="22"/>
          <w:szCs w:val="22"/>
          <w:lang w:val="en-US"/>
        </w:rPr>
        <w:t>alculators/conditional-power-calculator/</w:t>
      </w:r>
      <w:r w:rsidR="00704ED8">
        <w:rPr>
          <w:rFonts w:ascii="Arial" w:hAnsi="Arial" w:cs="Arial"/>
          <w:sz w:val="22"/>
          <w:szCs w:val="22"/>
          <w:lang w:val="en-US"/>
        </w:rPr>
        <w:t>.</w:t>
      </w:r>
    </w:p>
    <w:p w14:paraId="62A198FD" w14:textId="77777777" w:rsidR="00CF3B7A" w:rsidRDefault="00CF3B7A" w:rsidP="0080481C">
      <w:pPr>
        <w:spacing w:line="480" w:lineRule="auto"/>
        <w:rPr>
          <w:rFonts w:ascii="Arial" w:hAnsi="Arial" w:cs="Arial"/>
          <w:sz w:val="22"/>
          <w:szCs w:val="22"/>
          <w:lang w:val="en-US"/>
        </w:rPr>
      </w:pPr>
    </w:p>
    <w:p w14:paraId="6C771572" w14:textId="77567362"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Sample size</w:t>
      </w:r>
      <w:r w:rsidR="0065413A">
        <w:rPr>
          <w:rFonts w:ascii="Arial" w:hAnsi="Arial" w:cs="Arial"/>
          <w:b/>
          <w:sz w:val="22"/>
          <w:szCs w:val="22"/>
          <w:lang w:val="en-US"/>
        </w:rPr>
        <w:t xml:space="preserve"> </w:t>
      </w:r>
    </w:p>
    <w:p w14:paraId="538B4C36" w14:textId="7651622E" w:rsidR="006D6E28" w:rsidRDefault="0065413A" w:rsidP="0080481C">
      <w:pPr>
        <w:spacing w:line="480" w:lineRule="auto"/>
        <w:rPr>
          <w:rFonts w:ascii="Arial" w:hAnsi="Arial" w:cs="Arial"/>
          <w:sz w:val="22"/>
          <w:szCs w:val="22"/>
          <w:lang w:val="en-GB"/>
        </w:rPr>
      </w:pPr>
      <w:r>
        <w:rPr>
          <w:rFonts w:ascii="Arial" w:hAnsi="Arial" w:cs="Arial"/>
          <w:sz w:val="22"/>
          <w:szCs w:val="22"/>
          <w:lang w:val="en-GB"/>
        </w:rPr>
        <w:t>Sample size wa</w:t>
      </w:r>
      <w:r w:rsidR="00CF3B7A" w:rsidRPr="00CF3B7A">
        <w:rPr>
          <w:rFonts w:ascii="Arial" w:hAnsi="Arial" w:cs="Arial"/>
          <w:sz w:val="22"/>
          <w:szCs w:val="22"/>
          <w:lang w:val="en-GB"/>
        </w:rPr>
        <w:t>s estimated based on the primary outcome: the CCPR after 7 spontaneous cycles (</w:t>
      </w:r>
      <w:r w:rsidR="007C6D5E">
        <w:rPr>
          <w:rFonts w:ascii="Arial" w:hAnsi="Arial" w:cs="Arial"/>
          <w:sz w:val="22"/>
          <w:szCs w:val="22"/>
          <w:lang w:val="en-GB"/>
        </w:rPr>
        <w:t>R-expectant-group</w:t>
      </w:r>
      <w:r w:rsidR="00CF3B7A" w:rsidRPr="00CF3B7A">
        <w:rPr>
          <w:rFonts w:ascii="Arial" w:hAnsi="Arial" w:cs="Arial"/>
          <w:sz w:val="22"/>
          <w:szCs w:val="22"/>
          <w:lang w:val="en-GB"/>
        </w:rPr>
        <w:t xml:space="preserve">) or 4 </w:t>
      </w:r>
      <w:r>
        <w:rPr>
          <w:rFonts w:ascii="Arial" w:hAnsi="Arial" w:cs="Arial"/>
          <w:sz w:val="22"/>
          <w:szCs w:val="22"/>
          <w:lang w:val="en-GB"/>
        </w:rPr>
        <w:t xml:space="preserve">planned </w:t>
      </w:r>
      <w:r w:rsidR="00CF3B7A">
        <w:rPr>
          <w:rFonts w:ascii="Arial" w:hAnsi="Arial" w:cs="Arial"/>
          <w:sz w:val="22"/>
          <w:szCs w:val="22"/>
          <w:lang w:val="en-GB"/>
        </w:rPr>
        <w:t>IUI cycles within 7 cycles (</w:t>
      </w:r>
      <w:r w:rsidR="007C6D5E">
        <w:rPr>
          <w:rFonts w:ascii="Arial" w:hAnsi="Arial" w:cs="Arial"/>
          <w:sz w:val="22"/>
          <w:szCs w:val="22"/>
          <w:lang w:val="en-GB"/>
        </w:rPr>
        <w:t>R-</w:t>
      </w:r>
      <w:r w:rsidR="00CF3B7A">
        <w:rPr>
          <w:rFonts w:ascii="Arial" w:hAnsi="Arial" w:cs="Arial"/>
          <w:sz w:val="22"/>
          <w:szCs w:val="22"/>
          <w:lang w:val="en-GB"/>
        </w:rPr>
        <w:t>IUI</w:t>
      </w:r>
      <w:r w:rsidR="000875C3">
        <w:rPr>
          <w:rFonts w:ascii="Arial" w:hAnsi="Arial" w:cs="Arial"/>
          <w:sz w:val="22"/>
          <w:szCs w:val="22"/>
          <w:lang w:val="en-GB"/>
        </w:rPr>
        <w:t xml:space="preserve">-group). Sample size </w:t>
      </w:r>
      <w:r w:rsidR="000D51A5">
        <w:rPr>
          <w:rFonts w:ascii="Arial" w:hAnsi="Arial" w:cs="Arial"/>
          <w:sz w:val="22"/>
          <w:szCs w:val="22"/>
          <w:lang w:val="en-GB"/>
        </w:rPr>
        <w:t xml:space="preserve">calculation </w:t>
      </w:r>
      <w:r w:rsidR="000875C3">
        <w:rPr>
          <w:rFonts w:ascii="Arial" w:hAnsi="Arial" w:cs="Arial"/>
          <w:sz w:val="22"/>
          <w:szCs w:val="22"/>
          <w:lang w:val="en-GB"/>
        </w:rPr>
        <w:t>wa</w:t>
      </w:r>
      <w:r w:rsidR="00CF3B7A" w:rsidRPr="00CF3B7A">
        <w:rPr>
          <w:rFonts w:ascii="Arial" w:hAnsi="Arial" w:cs="Arial"/>
          <w:sz w:val="22"/>
          <w:szCs w:val="22"/>
          <w:lang w:val="en-GB"/>
        </w:rPr>
        <w:t xml:space="preserve">s based on the baseline CCPR expected in controls, the clinically important difference that might be expected </w:t>
      </w:r>
      <w:r w:rsidR="000D51A5">
        <w:rPr>
          <w:rFonts w:ascii="Arial" w:hAnsi="Arial" w:cs="Arial"/>
          <w:sz w:val="22"/>
          <w:szCs w:val="22"/>
          <w:lang w:val="en-GB"/>
        </w:rPr>
        <w:t>between</w:t>
      </w:r>
      <w:r w:rsidR="00CF3B7A" w:rsidRPr="00CF3B7A">
        <w:rPr>
          <w:rFonts w:ascii="Arial" w:hAnsi="Arial" w:cs="Arial"/>
          <w:sz w:val="22"/>
          <w:szCs w:val="22"/>
          <w:lang w:val="en-GB"/>
        </w:rPr>
        <w:t xml:space="preserve"> active treatment versus expectant management, and appropriate levels of alpha and beta error. The baseline spontaneous cumulative pregnancy rate in </w:t>
      </w:r>
      <w:r w:rsidR="007C6D5E">
        <w:rPr>
          <w:rFonts w:ascii="Arial" w:hAnsi="Arial" w:cs="Arial"/>
          <w:sz w:val="22"/>
          <w:szCs w:val="22"/>
          <w:lang w:val="en-GB"/>
        </w:rPr>
        <w:t>the control group of our study wa</w:t>
      </w:r>
      <w:r w:rsidR="00CF3B7A" w:rsidRPr="00CF3B7A">
        <w:rPr>
          <w:rFonts w:ascii="Arial" w:hAnsi="Arial" w:cs="Arial"/>
          <w:sz w:val="22"/>
          <w:szCs w:val="22"/>
          <w:lang w:val="en-GB"/>
        </w:rPr>
        <w:t xml:space="preserve">s based on our recent article on validation of the EFI (Tomassetti et al, 2013). In this paper, the cumulative pregnancy </w:t>
      </w:r>
      <w:r w:rsidR="000D51A5" w:rsidRPr="00CF3B7A">
        <w:rPr>
          <w:rFonts w:ascii="Arial" w:hAnsi="Arial" w:cs="Arial"/>
          <w:sz w:val="22"/>
          <w:szCs w:val="22"/>
          <w:lang w:val="en-GB"/>
        </w:rPr>
        <w:t>rate</w:t>
      </w:r>
      <w:r w:rsidR="000D51A5">
        <w:rPr>
          <w:rFonts w:ascii="Arial" w:hAnsi="Arial" w:cs="Arial"/>
          <w:sz w:val="22"/>
          <w:szCs w:val="22"/>
          <w:lang w:val="en-GB"/>
        </w:rPr>
        <w:t xml:space="preserve"> 6 months after surgery</w:t>
      </w:r>
      <w:r w:rsidR="000D51A5" w:rsidRPr="00CF3B7A">
        <w:rPr>
          <w:rFonts w:ascii="Arial" w:hAnsi="Arial" w:cs="Arial"/>
          <w:sz w:val="22"/>
          <w:szCs w:val="22"/>
          <w:lang w:val="en-GB"/>
        </w:rPr>
        <w:t xml:space="preserve"> in women with an EFI score of 7 or more </w:t>
      </w:r>
      <w:r w:rsidR="00CF3B7A" w:rsidRPr="00CF3B7A">
        <w:rPr>
          <w:rFonts w:ascii="Arial" w:hAnsi="Arial" w:cs="Arial"/>
          <w:sz w:val="22"/>
          <w:szCs w:val="22"/>
          <w:lang w:val="en-GB"/>
        </w:rPr>
        <w:t>was 39</w:t>
      </w:r>
      <w:r w:rsidR="000D51A5">
        <w:rPr>
          <w:rFonts w:ascii="Arial" w:hAnsi="Arial" w:cs="Arial"/>
          <w:sz w:val="22"/>
          <w:szCs w:val="22"/>
          <w:lang w:val="en-GB"/>
        </w:rPr>
        <w:t xml:space="preserve"> </w:t>
      </w:r>
      <w:r w:rsidR="000D51A5" w:rsidRPr="00CF3B7A">
        <w:rPr>
          <w:rFonts w:ascii="Arial" w:hAnsi="Arial" w:cs="Arial"/>
          <w:sz w:val="22"/>
          <w:szCs w:val="22"/>
          <w:lang w:val="en-GB"/>
        </w:rPr>
        <w:t>%</w:t>
      </w:r>
      <w:r w:rsidR="00CF3B7A" w:rsidRPr="00CF3B7A">
        <w:rPr>
          <w:rFonts w:ascii="Arial" w:hAnsi="Arial" w:cs="Arial"/>
          <w:sz w:val="22"/>
          <w:szCs w:val="22"/>
          <w:lang w:val="en-GB"/>
        </w:rPr>
        <w:t>. About 64% of these pregnancies were achieved spontaneously and the remaining 36% were achieved after treatment with IUI. Sub</w:t>
      </w:r>
      <w:r>
        <w:rPr>
          <w:rFonts w:ascii="Arial" w:hAnsi="Arial" w:cs="Arial"/>
          <w:sz w:val="22"/>
          <w:szCs w:val="22"/>
          <w:lang w:val="en-GB"/>
        </w:rPr>
        <w:t>-</w:t>
      </w:r>
      <w:r w:rsidR="00CF3B7A" w:rsidRPr="00CF3B7A">
        <w:rPr>
          <w:rFonts w:ascii="Arial" w:hAnsi="Arial" w:cs="Arial"/>
          <w:sz w:val="22"/>
          <w:szCs w:val="22"/>
          <w:lang w:val="en-GB"/>
        </w:rPr>
        <w:t>analysis (Kaplan Meier</w:t>
      </w:r>
      <w:r>
        <w:rPr>
          <w:rFonts w:ascii="Arial" w:hAnsi="Arial" w:cs="Arial"/>
          <w:sz w:val="22"/>
          <w:szCs w:val="22"/>
          <w:lang w:val="en-GB"/>
        </w:rPr>
        <w:t xml:space="preserve">; </w:t>
      </w:r>
      <w:r w:rsidRPr="00AA076B">
        <w:rPr>
          <w:rFonts w:ascii="Arial" w:hAnsi="Arial" w:cs="Arial"/>
          <w:sz w:val="22"/>
          <w:szCs w:val="22"/>
          <w:lang w:val="en-GB"/>
        </w:rPr>
        <w:t>unpublished data</w:t>
      </w:r>
      <w:r w:rsidR="00CF3B7A" w:rsidRPr="007153B1">
        <w:rPr>
          <w:rFonts w:ascii="Arial" w:hAnsi="Arial" w:cs="Arial"/>
          <w:sz w:val="22"/>
          <w:szCs w:val="22"/>
          <w:lang w:val="en-GB"/>
        </w:rPr>
        <w:t>) revealed</w:t>
      </w:r>
      <w:r w:rsidR="00CF3B7A" w:rsidRPr="00CF3B7A">
        <w:rPr>
          <w:rFonts w:ascii="Arial" w:hAnsi="Arial" w:cs="Arial"/>
          <w:sz w:val="22"/>
          <w:szCs w:val="22"/>
          <w:lang w:val="en-GB"/>
        </w:rPr>
        <w:t xml:space="preserve"> that the cumulative spontaneous pregnancy rate (excluding pregnancies conceived after treatment with IUI) was 30</w:t>
      </w:r>
      <w:r w:rsidR="00FF3EB6">
        <w:rPr>
          <w:rFonts w:ascii="Arial" w:hAnsi="Arial" w:cs="Arial"/>
          <w:sz w:val="22"/>
          <w:szCs w:val="22"/>
          <w:lang w:val="en-GB"/>
        </w:rPr>
        <w:t>% within 6 months after surgery, and a</w:t>
      </w:r>
      <w:r w:rsidR="00CF3B7A" w:rsidRPr="00CF3B7A">
        <w:rPr>
          <w:rFonts w:ascii="Arial" w:hAnsi="Arial" w:cs="Arial"/>
          <w:sz w:val="22"/>
          <w:szCs w:val="22"/>
          <w:lang w:val="en-GB"/>
        </w:rPr>
        <w:t xml:space="preserve">bout 50% of these patients had </w:t>
      </w:r>
      <w:r w:rsidR="00FF3EB6">
        <w:rPr>
          <w:rFonts w:ascii="Arial" w:hAnsi="Arial" w:cs="Arial"/>
          <w:sz w:val="22"/>
          <w:szCs w:val="22"/>
          <w:lang w:val="en-GB"/>
        </w:rPr>
        <w:t xml:space="preserve">rASRM stage III/IV </w:t>
      </w:r>
      <w:r w:rsidR="00CF3B7A" w:rsidRPr="00CF3B7A">
        <w:rPr>
          <w:rFonts w:ascii="Arial" w:hAnsi="Arial" w:cs="Arial"/>
          <w:sz w:val="22"/>
          <w:szCs w:val="22"/>
          <w:lang w:val="en-GB"/>
        </w:rPr>
        <w:t>endometriosis</w:t>
      </w:r>
      <w:r w:rsidR="007C6D5E">
        <w:rPr>
          <w:rFonts w:ascii="Arial" w:hAnsi="Arial" w:cs="Arial"/>
          <w:sz w:val="22"/>
          <w:szCs w:val="22"/>
          <w:lang w:val="en-GB"/>
        </w:rPr>
        <w:t xml:space="preserve">. </w:t>
      </w:r>
      <w:r w:rsidR="006D6E28">
        <w:rPr>
          <w:rFonts w:ascii="Arial" w:hAnsi="Arial" w:cs="Arial"/>
          <w:sz w:val="22"/>
          <w:szCs w:val="22"/>
          <w:lang w:val="en-GB"/>
        </w:rPr>
        <w:t xml:space="preserve">Since in our study a follow-up period of 6 instead of 7 menstrual cycles was planned, </w:t>
      </w:r>
      <w:r w:rsidR="00CF3B7A" w:rsidRPr="00CF3B7A">
        <w:rPr>
          <w:rFonts w:ascii="Arial" w:hAnsi="Arial" w:cs="Arial"/>
          <w:sz w:val="22"/>
          <w:szCs w:val="22"/>
          <w:lang w:val="en-GB"/>
        </w:rPr>
        <w:t>we estimate</w:t>
      </w:r>
      <w:r w:rsidR="00FF3EB6">
        <w:rPr>
          <w:rFonts w:ascii="Arial" w:hAnsi="Arial" w:cs="Arial"/>
          <w:sz w:val="22"/>
          <w:szCs w:val="22"/>
          <w:lang w:val="en-GB"/>
        </w:rPr>
        <w:t>d</w:t>
      </w:r>
      <w:r w:rsidR="00CF3B7A" w:rsidRPr="00CF3B7A">
        <w:rPr>
          <w:rFonts w:ascii="Arial" w:hAnsi="Arial" w:cs="Arial"/>
          <w:sz w:val="22"/>
          <w:szCs w:val="22"/>
          <w:lang w:val="en-GB"/>
        </w:rPr>
        <w:t xml:space="preserve"> that the baseline cumulative spontaneous pregnancy rate within 7 cycles after surgery in the </w:t>
      </w:r>
      <w:r w:rsidR="007C6D5E">
        <w:rPr>
          <w:rFonts w:ascii="Arial" w:hAnsi="Arial" w:cs="Arial"/>
          <w:sz w:val="22"/>
          <w:szCs w:val="22"/>
          <w:lang w:val="en-GB"/>
        </w:rPr>
        <w:t>R-expectant-</w:t>
      </w:r>
      <w:r w:rsidR="00CF3B7A" w:rsidRPr="00CF3B7A">
        <w:rPr>
          <w:rFonts w:ascii="Arial" w:hAnsi="Arial" w:cs="Arial"/>
          <w:sz w:val="22"/>
          <w:szCs w:val="22"/>
          <w:lang w:val="en-GB"/>
        </w:rPr>
        <w:t>group will be 35</w:t>
      </w:r>
      <w:r w:rsidR="00FF3EB6">
        <w:rPr>
          <w:rFonts w:ascii="Arial" w:hAnsi="Arial" w:cs="Arial"/>
          <w:sz w:val="22"/>
          <w:szCs w:val="22"/>
          <w:lang w:val="en-GB"/>
        </w:rPr>
        <w:t>%</w:t>
      </w:r>
      <w:r w:rsidR="00CF3B7A" w:rsidRPr="00CF3B7A">
        <w:rPr>
          <w:rFonts w:ascii="Arial" w:hAnsi="Arial" w:cs="Arial"/>
          <w:sz w:val="22"/>
          <w:szCs w:val="22"/>
          <w:lang w:val="en-GB"/>
        </w:rPr>
        <w:t xml:space="preserve">. The expected CCPR in the </w:t>
      </w:r>
      <w:r w:rsidR="007C6D5E">
        <w:rPr>
          <w:rFonts w:ascii="Arial" w:hAnsi="Arial" w:cs="Arial"/>
          <w:sz w:val="22"/>
          <w:szCs w:val="22"/>
          <w:lang w:val="en-GB"/>
        </w:rPr>
        <w:t>R-</w:t>
      </w:r>
      <w:r w:rsidR="00FF3EB6">
        <w:rPr>
          <w:rFonts w:ascii="Arial" w:hAnsi="Arial" w:cs="Arial"/>
          <w:sz w:val="22"/>
          <w:szCs w:val="22"/>
          <w:lang w:val="en-GB"/>
        </w:rPr>
        <w:t>IUI</w:t>
      </w:r>
      <w:r w:rsidR="007C6D5E">
        <w:rPr>
          <w:rFonts w:ascii="Arial" w:hAnsi="Arial" w:cs="Arial"/>
          <w:sz w:val="22"/>
          <w:szCs w:val="22"/>
          <w:lang w:val="en-GB"/>
        </w:rPr>
        <w:t>-</w:t>
      </w:r>
      <w:r w:rsidR="00CF3B7A" w:rsidRPr="00CF3B7A">
        <w:rPr>
          <w:rFonts w:ascii="Arial" w:hAnsi="Arial" w:cs="Arial"/>
          <w:sz w:val="22"/>
          <w:szCs w:val="22"/>
          <w:lang w:val="en-GB"/>
        </w:rPr>
        <w:t xml:space="preserve">group is based on </w:t>
      </w:r>
      <w:r w:rsidR="005025FA">
        <w:rPr>
          <w:rFonts w:ascii="Arial" w:hAnsi="Arial" w:cs="Arial"/>
          <w:sz w:val="22"/>
          <w:szCs w:val="22"/>
          <w:lang w:val="en-GB"/>
        </w:rPr>
        <w:t xml:space="preserve">one of </w:t>
      </w:r>
      <w:r w:rsidR="00CF3B7A" w:rsidRPr="00CF3B7A">
        <w:rPr>
          <w:rFonts w:ascii="Arial" w:hAnsi="Arial" w:cs="Arial"/>
          <w:sz w:val="22"/>
          <w:szCs w:val="22"/>
          <w:lang w:val="en-GB"/>
        </w:rPr>
        <w:t xml:space="preserve">our </w:t>
      </w:r>
      <w:r w:rsidR="005025FA">
        <w:rPr>
          <w:rFonts w:ascii="Arial" w:hAnsi="Arial" w:cs="Arial"/>
          <w:sz w:val="22"/>
          <w:szCs w:val="22"/>
          <w:lang w:val="en-GB"/>
        </w:rPr>
        <w:t xml:space="preserve">previous </w:t>
      </w:r>
      <w:r w:rsidR="00CF3B7A" w:rsidRPr="00CF3B7A">
        <w:rPr>
          <w:rFonts w:ascii="Arial" w:hAnsi="Arial" w:cs="Arial"/>
          <w:sz w:val="22"/>
          <w:szCs w:val="22"/>
          <w:lang w:val="en-GB"/>
        </w:rPr>
        <w:t>paper</w:t>
      </w:r>
      <w:r w:rsidR="005025FA">
        <w:rPr>
          <w:rFonts w:ascii="Arial" w:hAnsi="Arial" w:cs="Arial"/>
          <w:sz w:val="22"/>
          <w:szCs w:val="22"/>
          <w:lang w:val="en-GB"/>
        </w:rPr>
        <w:t>s</w:t>
      </w:r>
      <w:r w:rsidR="00CF3B7A" w:rsidRPr="00CF3B7A">
        <w:rPr>
          <w:rFonts w:ascii="Arial" w:hAnsi="Arial" w:cs="Arial"/>
          <w:sz w:val="22"/>
          <w:szCs w:val="22"/>
          <w:lang w:val="en-GB"/>
        </w:rPr>
        <w:t xml:space="preserve"> (Werbrouck et al, 2006), demonstrating a cumulative live birth rate of 70% after 4 IUI-cycles in only minimal and mi</w:t>
      </w:r>
      <w:r w:rsidR="005025FA">
        <w:rPr>
          <w:rFonts w:ascii="Arial" w:hAnsi="Arial" w:cs="Arial"/>
          <w:sz w:val="22"/>
          <w:szCs w:val="22"/>
          <w:lang w:val="en-GB"/>
        </w:rPr>
        <w:t>ld stages of endometriosis. In the current</w:t>
      </w:r>
      <w:r w:rsidR="00CF3B7A" w:rsidRPr="00CF3B7A">
        <w:rPr>
          <w:rFonts w:ascii="Arial" w:hAnsi="Arial" w:cs="Arial"/>
          <w:sz w:val="22"/>
          <w:szCs w:val="22"/>
          <w:lang w:val="en-GB"/>
        </w:rPr>
        <w:t xml:space="preserve"> study, clinical pregnancy </w:t>
      </w:r>
      <w:r w:rsidR="006D6E28">
        <w:rPr>
          <w:rFonts w:ascii="Arial" w:hAnsi="Arial" w:cs="Arial"/>
          <w:sz w:val="22"/>
          <w:szCs w:val="22"/>
          <w:lang w:val="en-GB"/>
        </w:rPr>
        <w:t>instead of</w:t>
      </w:r>
      <w:r w:rsidR="00CF3B7A" w:rsidRPr="00CF3B7A">
        <w:rPr>
          <w:rFonts w:ascii="Arial" w:hAnsi="Arial" w:cs="Arial"/>
          <w:sz w:val="22"/>
          <w:szCs w:val="22"/>
          <w:lang w:val="en-GB"/>
        </w:rPr>
        <w:t xml:space="preserve"> live birth</w:t>
      </w:r>
      <w:r w:rsidR="006D6E28">
        <w:rPr>
          <w:rFonts w:ascii="Arial" w:hAnsi="Arial" w:cs="Arial"/>
          <w:sz w:val="22"/>
          <w:szCs w:val="22"/>
          <w:lang w:val="en-GB"/>
        </w:rPr>
        <w:t xml:space="preserve"> </w:t>
      </w:r>
      <w:r w:rsidR="006D6E28">
        <w:rPr>
          <w:rFonts w:ascii="Arial" w:hAnsi="Arial" w:cs="Arial"/>
          <w:sz w:val="22"/>
          <w:szCs w:val="22"/>
          <w:lang w:val="en-GB"/>
        </w:rPr>
        <w:lastRenderedPageBreak/>
        <w:t>is studied, and all types of endometriosis stages are included</w:t>
      </w:r>
      <w:r w:rsidR="00CF3B7A" w:rsidRPr="00CF3B7A">
        <w:rPr>
          <w:rFonts w:ascii="Arial" w:hAnsi="Arial" w:cs="Arial"/>
          <w:sz w:val="22"/>
          <w:szCs w:val="22"/>
          <w:lang w:val="en-GB"/>
        </w:rPr>
        <w:t xml:space="preserve">. </w:t>
      </w:r>
      <w:r w:rsidR="005025FA">
        <w:rPr>
          <w:rFonts w:ascii="Arial" w:hAnsi="Arial" w:cs="Arial"/>
          <w:sz w:val="22"/>
          <w:szCs w:val="22"/>
          <w:lang w:val="en-GB"/>
        </w:rPr>
        <w:t>Hence,</w:t>
      </w:r>
      <w:r w:rsidR="00CF3B7A" w:rsidRPr="00CF3B7A">
        <w:rPr>
          <w:rFonts w:ascii="Arial" w:hAnsi="Arial" w:cs="Arial"/>
          <w:sz w:val="22"/>
          <w:szCs w:val="22"/>
          <w:lang w:val="en-GB"/>
        </w:rPr>
        <w:t xml:space="preserve"> we hypothesize</w:t>
      </w:r>
      <w:r w:rsidR="007C6D5E">
        <w:rPr>
          <w:rFonts w:ascii="Arial" w:hAnsi="Arial" w:cs="Arial"/>
          <w:sz w:val="22"/>
          <w:szCs w:val="22"/>
          <w:lang w:val="en-GB"/>
        </w:rPr>
        <w:t>d</w:t>
      </w:r>
      <w:r w:rsidR="006D6E28">
        <w:rPr>
          <w:rFonts w:ascii="Arial" w:hAnsi="Arial" w:cs="Arial"/>
          <w:sz w:val="22"/>
          <w:szCs w:val="22"/>
          <w:lang w:val="en-GB"/>
        </w:rPr>
        <w:t xml:space="preserve"> that the CCPR would</w:t>
      </w:r>
      <w:r w:rsidR="00CF3B7A" w:rsidRPr="00CF3B7A">
        <w:rPr>
          <w:rFonts w:ascii="Arial" w:hAnsi="Arial" w:cs="Arial"/>
          <w:sz w:val="22"/>
          <w:szCs w:val="22"/>
          <w:lang w:val="en-GB"/>
        </w:rPr>
        <w:t xml:space="preserve"> be 65% in our </w:t>
      </w:r>
      <w:r w:rsidR="005025FA">
        <w:rPr>
          <w:rFonts w:ascii="Arial" w:hAnsi="Arial" w:cs="Arial"/>
          <w:sz w:val="22"/>
          <w:szCs w:val="22"/>
          <w:lang w:val="en-GB"/>
        </w:rPr>
        <w:t>R-</w:t>
      </w:r>
      <w:r w:rsidR="00FF3EB6">
        <w:rPr>
          <w:rFonts w:ascii="Arial" w:hAnsi="Arial" w:cs="Arial"/>
          <w:sz w:val="22"/>
          <w:szCs w:val="22"/>
          <w:lang w:val="en-GB"/>
        </w:rPr>
        <w:t>IUI</w:t>
      </w:r>
      <w:r w:rsidR="005025FA">
        <w:rPr>
          <w:rFonts w:ascii="Arial" w:hAnsi="Arial" w:cs="Arial"/>
          <w:sz w:val="22"/>
          <w:szCs w:val="22"/>
          <w:lang w:val="en-GB"/>
        </w:rPr>
        <w:t>-</w:t>
      </w:r>
      <w:r w:rsidR="00CF3B7A" w:rsidRPr="00CF3B7A">
        <w:rPr>
          <w:rFonts w:ascii="Arial" w:hAnsi="Arial" w:cs="Arial"/>
          <w:sz w:val="22"/>
          <w:szCs w:val="22"/>
          <w:lang w:val="en-GB"/>
        </w:rPr>
        <w:t xml:space="preserve">group. </w:t>
      </w:r>
    </w:p>
    <w:p w14:paraId="2BB4D733" w14:textId="6AFB4EC1" w:rsidR="00CF3B7A" w:rsidRPr="006D6E28" w:rsidRDefault="006D6E28" w:rsidP="0080481C">
      <w:pPr>
        <w:spacing w:line="480" w:lineRule="auto"/>
        <w:rPr>
          <w:rFonts w:ascii="Arial" w:hAnsi="Arial" w:cs="Arial"/>
          <w:sz w:val="22"/>
          <w:szCs w:val="22"/>
          <w:lang w:val="en-GB"/>
        </w:rPr>
      </w:pPr>
      <w:r>
        <w:rPr>
          <w:rFonts w:ascii="Arial" w:hAnsi="Arial" w:cs="Arial"/>
          <w:sz w:val="22"/>
          <w:szCs w:val="22"/>
          <w:lang w:val="en-GB"/>
        </w:rPr>
        <w:t>Based on two-sided Chi²-test, setting</w:t>
      </w:r>
      <w:r w:rsidR="00FF3EB6">
        <w:rPr>
          <w:rFonts w:ascii="Arial" w:hAnsi="Arial" w:cs="Arial"/>
          <w:sz w:val="22"/>
          <w:szCs w:val="22"/>
          <w:lang w:val="en-GB"/>
        </w:rPr>
        <w:t xml:space="preserve"> </w:t>
      </w:r>
      <w:r>
        <w:rPr>
          <w:rFonts w:ascii="Arial" w:hAnsi="Arial" w:cs="Arial"/>
          <w:sz w:val="22"/>
          <w:szCs w:val="22"/>
          <w:lang w:val="en-GB"/>
        </w:rPr>
        <w:t xml:space="preserve">alpha </w:t>
      </w:r>
      <w:r w:rsidR="00FF3EB6">
        <w:rPr>
          <w:rFonts w:ascii="Arial" w:hAnsi="Arial" w:cs="Arial"/>
          <w:sz w:val="22"/>
          <w:szCs w:val="22"/>
          <w:lang w:val="en-GB"/>
        </w:rPr>
        <w:t>(</w:t>
      </w:r>
      <w:r w:rsidR="00CF3B7A" w:rsidRPr="00CF3B7A">
        <w:rPr>
          <w:rFonts w:ascii="Arial" w:hAnsi="Arial" w:cs="Arial"/>
          <w:sz w:val="22"/>
          <w:szCs w:val="22"/>
          <w:lang w:val="en-GB"/>
        </w:rPr>
        <w:t xml:space="preserve">‘significance level’) </w:t>
      </w:r>
      <w:r>
        <w:rPr>
          <w:rFonts w:ascii="Arial" w:hAnsi="Arial" w:cs="Arial"/>
          <w:sz w:val="22"/>
          <w:szCs w:val="22"/>
          <w:lang w:val="en-GB"/>
        </w:rPr>
        <w:t xml:space="preserve">at 5% </w:t>
      </w:r>
      <w:r w:rsidR="00CF3B7A" w:rsidRPr="00CF3B7A">
        <w:rPr>
          <w:rFonts w:ascii="Arial" w:hAnsi="Arial" w:cs="Arial"/>
          <w:sz w:val="22"/>
          <w:szCs w:val="22"/>
          <w:lang w:val="en-GB"/>
        </w:rPr>
        <w:t xml:space="preserve">and </w:t>
      </w:r>
      <w:r>
        <w:rPr>
          <w:rFonts w:ascii="Arial" w:hAnsi="Arial" w:cs="Arial"/>
          <w:sz w:val="22"/>
          <w:szCs w:val="22"/>
          <w:lang w:val="en-GB"/>
        </w:rPr>
        <w:t xml:space="preserve">the required power at 80%, 43 patients were needed </w:t>
      </w:r>
      <w:r w:rsidR="00CF3B7A" w:rsidRPr="00CF3B7A">
        <w:rPr>
          <w:rFonts w:ascii="Arial" w:hAnsi="Arial" w:cs="Arial"/>
          <w:sz w:val="22"/>
          <w:szCs w:val="22"/>
          <w:lang w:val="en-GB"/>
        </w:rPr>
        <w:t>43 per group (total sample size 86). To account for 10% losses to follow-up after randomi</w:t>
      </w:r>
      <w:r>
        <w:rPr>
          <w:rFonts w:ascii="Arial" w:hAnsi="Arial" w:cs="Arial"/>
          <w:sz w:val="22"/>
          <w:szCs w:val="22"/>
          <w:lang w:val="en-GB"/>
        </w:rPr>
        <w:t>z</w:t>
      </w:r>
      <w:r w:rsidR="00CF3B7A" w:rsidRPr="00CF3B7A">
        <w:rPr>
          <w:rFonts w:ascii="Arial" w:hAnsi="Arial" w:cs="Arial"/>
          <w:sz w:val="22"/>
          <w:szCs w:val="22"/>
          <w:lang w:val="en-GB"/>
        </w:rPr>
        <w:t xml:space="preserve">ation, </w:t>
      </w:r>
      <w:r w:rsidR="00FF3EB6">
        <w:rPr>
          <w:rFonts w:ascii="Arial" w:hAnsi="Arial" w:cs="Arial"/>
          <w:sz w:val="22"/>
          <w:szCs w:val="22"/>
          <w:lang w:val="en-GB"/>
        </w:rPr>
        <w:t xml:space="preserve">we aimed </w:t>
      </w:r>
      <w:r w:rsidR="00CF3B7A" w:rsidRPr="00CF3B7A">
        <w:rPr>
          <w:rFonts w:ascii="Arial" w:hAnsi="Arial" w:cs="Arial"/>
          <w:sz w:val="22"/>
          <w:szCs w:val="22"/>
          <w:lang w:val="en-GB"/>
        </w:rPr>
        <w:t xml:space="preserve">for a total sample size </w:t>
      </w:r>
      <w:r w:rsidR="00FF3EB6">
        <w:rPr>
          <w:rFonts w:ascii="Arial" w:hAnsi="Arial" w:cs="Arial"/>
          <w:sz w:val="22"/>
          <w:szCs w:val="22"/>
          <w:lang w:val="en-GB"/>
        </w:rPr>
        <w:t xml:space="preserve">of 94 patients (47 per group). </w:t>
      </w:r>
    </w:p>
    <w:p w14:paraId="62DCEAFA" w14:textId="77777777" w:rsidR="0065413A" w:rsidRDefault="0065413A" w:rsidP="0080481C">
      <w:pPr>
        <w:spacing w:line="480" w:lineRule="auto"/>
        <w:rPr>
          <w:rFonts w:ascii="Arial" w:hAnsi="Arial" w:cs="Arial"/>
          <w:sz w:val="22"/>
          <w:szCs w:val="22"/>
          <w:lang w:val="en-US"/>
        </w:rPr>
      </w:pPr>
    </w:p>
    <w:p w14:paraId="34890FE8" w14:textId="77777777"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RESULTS</w:t>
      </w:r>
    </w:p>
    <w:p w14:paraId="0DEDFB8E" w14:textId="51C6A451" w:rsidR="00D5136F" w:rsidRPr="00424329" w:rsidRDefault="007C6D5E" w:rsidP="0080481C">
      <w:pPr>
        <w:spacing w:line="480" w:lineRule="auto"/>
        <w:rPr>
          <w:rFonts w:ascii="Arial" w:hAnsi="Arial" w:cs="Arial"/>
          <w:i/>
          <w:sz w:val="22"/>
          <w:szCs w:val="22"/>
          <w:lang w:val="en-US"/>
        </w:rPr>
      </w:pPr>
      <w:r>
        <w:rPr>
          <w:rFonts w:ascii="Arial" w:hAnsi="Arial" w:cs="Arial"/>
          <w:sz w:val="22"/>
          <w:szCs w:val="22"/>
          <w:lang w:val="en-US"/>
        </w:rPr>
        <w:t>The study</w:t>
      </w:r>
      <w:r w:rsidR="00424329">
        <w:rPr>
          <w:rFonts w:ascii="Arial" w:hAnsi="Arial" w:cs="Arial"/>
          <w:sz w:val="22"/>
          <w:szCs w:val="22"/>
          <w:lang w:val="en-US"/>
        </w:rPr>
        <w:t xml:space="preserve"> </w:t>
      </w:r>
      <w:r w:rsidR="005025FA">
        <w:rPr>
          <w:rFonts w:ascii="Arial" w:hAnsi="Arial" w:cs="Arial"/>
          <w:sz w:val="22"/>
          <w:szCs w:val="22"/>
          <w:lang w:val="en-US"/>
        </w:rPr>
        <w:t>was</w:t>
      </w:r>
      <w:r w:rsidR="00424329">
        <w:rPr>
          <w:rFonts w:ascii="Arial" w:hAnsi="Arial" w:cs="Arial"/>
          <w:sz w:val="22"/>
          <w:szCs w:val="22"/>
          <w:lang w:val="en-US"/>
        </w:rPr>
        <w:t xml:space="preserve"> conducted between March 1</w:t>
      </w:r>
      <w:r w:rsidR="00424329" w:rsidRPr="007363A3">
        <w:rPr>
          <w:rFonts w:ascii="Arial" w:hAnsi="Arial" w:cs="Arial"/>
          <w:sz w:val="22"/>
          <w:szCs w:val="22"/>
          <w:vertAlign w:val="superscript"/>
          <w:lang w:val="en-US"/>
        </w:rPr>
        <w:t>st</w:t>
      </w:r>
      <w:r w:rsidR="00424329">
        <w:rPr>
          <w:rFonts w:ascii="Arial" w:hAnsi="Arial" w:cs="Arial"/>
          <w:sz w:val="22"/>
          <w:szCs w:val="22"/>
          <w:lang w:val="en-US"/>
        </w:rPr>
        <w:t xml:space="preserve"> 2014</w:t>
      </w:r>
      <w:r w:rsidR="00424329" w:rsidRPr="007363A3">
        <w:rPr>
          <w:rFonts w:ascii="Arial" w:hAnsi="Arial" w:cs="Arial"/>
          <w:sz w:val="22"/>
          <w:szCs w:val="22"/>
          <w:lang w:val="en-US"/>
        </w:rPr>
        <w:t xml:space="preserve"> and </w:t>
      </w:r>
      <w:r w:rsidR="00424329">
        <w:rPr>
          <w:rFonts w:ascii="Arial" w:hAnsi="Arial" w:cs="Arial"/>
          <w:sz w:val="22"/>
          <w:szCs w:val="22"/>
          <w:lang w:val="en-US"/>
        </w:rPr>
        <w:t>November 3</w:t>
      </w:r>
      <w:r w:rsidR="00143AE9">
        <w:rPr>
          <w:rFonts w:ascii="Arial" w:hAnsi="Arial" w:cs="Arial"/>
          <w:sz w:val="22"/>
          <w:szCs w:val="22"/>
          <w:lang w:val="en-US"/>
        </w:rPr>
        <w:t>0</w:t>
      </w:r>
      <w:r w:rsidR="00143AE9" w:rsidRPr="00143AE9">
        <w:rPr>
          <w:rFonts w:ascii="Arial" w:hAnsi="Arial" w:cs="Arial"/>
          <w:sz w:val="22"/>
          <w:szCs w:val="22"/>
          <w:vertAlign w:val="superscript"/>
          <w:lang w:val="en-US"/>
        </w:rPr>
        <w:t>th</w:t>
      </w:r>
      <w:r w:rsidR="00143AE9">
        <w:rPr>
          <w:rFonts w:ascii="Arial" w:hAnsi="Arial" w:cs="Arial"/>
          <w:sz w:val="22"/>
          <w:szCs w:val="22"/>
          <w:lang w:val="en-US"/>
        </w:rPr>
        <w:t xml:space="preserve"> </w:t>
      </w:r>
      <w:r w:rsidR="00424329">
        <w:rPr>
          <w:rFonts w:ascii="Arial" w:hAnsi="Arial" w:cs="Arial"/>
          <w:sz w:val="22"/>
          <w:szCs w:val="22"/>
          <w:lang w:val="en-US"/>
        </w:rPr>
        <w:t>2016 (start/end of inclusion and randomization)</w:t>
      </w:r>
      <w:r w:rsidR="00424329" w:rsidRPr="007363A3">
        <w:rPr>
          <w:rFonts w:ascii="Arial" w:hAnsi="Arial" w:cs="Arial"/>
          <w:sz w:val="22"/>
          <w:szCs w:val="22"/>
          <w:lang w:val="en-US"/>
        </w:rPr>
        <w:t xml:space="preserve">. </w:t>
      </w:r>
      <w:r w:rsidR="0065413A" w:rsidRPr="00143AE9">
        <w:rPr>
          <w:rFonts w:ascii="Arial" w:hAnsi="Arial" w:cs="Arial"/>
          <w:sz w:val="22"/>
          <w:szCs w:val="22"/>
          <w:highlight w:val="green"/>
          <w:lang w:val="en-US"/>
        </w:rPr>
        <w:t>Figure 1</w:t>
      </w:r>
      <w:r w:rsidR="0065413A">
        <w:rPr>
          <w:rFonts w:ascii="Arial" w:hAnsi="Arial" w:cs="Arial"/>
          <w:sz w:val="22"/>
          <w:szCs w:val="22"/>
          <w:lang w:val="en-US"/>
        </w:rPr>
        <w:t xml:space="preserve"> shows the </w:t>
      </w:r>
      <w:r w:rsidR="00424329">
        <w:rPr>
          <w:rFonts w:ascii="Arial" w:hAnsi="Arial" w:cs="Arial"/>
          <w:sz w:val="22"/>
          <w:szCs w:val="22"/>
          <w:lang w:val="en-US"/>
        </w:rPr>
        <w:t>flow of patient selection and inc</w:t>
      </w:r>
      <w:r w:rsidR="00143AE9">
        <w:rPr>
          <w:rFonts w:ascii="Arial" w:hAnsi="Arial" w:cs="Arial"/>
          <w:sz w:val="22"/>
          <w:szCs w:val="22"/>
          <w:lang w:val="en-US"/>
        </w:rPr>
        <w:t>lusion: during the study period</w:t>
      </w:r>
      <w:r w:rsidR="00424329">
        <w:rPr>
          <w:rFonts w:ascii="Arial" w:hAnsi="Arial" w:cs="Arial"/>
          <w:sz w:val="22"/>
          <w:szCs w:val="22"/>
          <w:lang w:val="en-US"/>
        </w:rPr>
        <w:t xml:space="preserve">, 113 patients were screened for participation in the RCT, </w:t>
      </w:r>
      <w:r w:rsidR="005025FA">
        <w:rPr>
          <w:rFonts w:ascii="Arial" w:hAnsi="Arial" w:cs="Arial"/>
          <w:sz w:val="22"/>
          <w:szCs w:val="22"/>
          <w:lang w:val="en-US"/>
        </w:rPr>
        <w:t>of whom</w:t>
      </w:r>
      <w:r w:rsidR="00424329">
        <w:rPr>
          <w:rFonts w:ascii="Arial" w:hAnsi="Arial" w:cs="Arial"/>
          <w:sz w:val="22"/>
          <w:szCs w:val="22"/>
          <w:lang w:val="en-US"/>
        </w:rPr>
        <w:t xml:space="preserve"> were excluded. Of these 100 eligible patients, only 25 agreed to participate in the RCT. </w:t>
      </w:r>
      <w:r w:rsidR="00143AE9">
        <w:rPr>
          <w:rFonts w:ascii="Arial" w:hAnsi="Arial" w:cs="Arial"/>
          <w:sz w:val="22"/>
          <w:szCs w:val="22"/>
          <w:lang w:val="en-GB"/>
        </w:rPr>
        <w:t>Al</w:t>
      </w:r>
      <w:r w:rsidR="00143AE9" w:rsidRPr="00E71789">
        <w:rPr>
          <w:rFonts w:ascii="Arial" w:hAnsi="Arial" w:cs="Arial"/>
          <w:sz w:val="22"/>
          <w:szCs w:val="22"/>
          <w:lang w:val="en-GB"/>
        </w:rPr>
        <w:t xml:space="preserve">though the </w:t>
      </w:r>
      <w:r w:rsidR="00517F1D">
        <w:rPr>
          <w:rFonts w:ascii="Arial" w:hAnsi="Arial" w:cs="Arial"/>
          <w:sz w:val="22"/>
          <w:szCs w:val="22"/>
          <w:lang w:val="en-GB"/>
        </w:rPr>
        <w:t xml:space="preserve">total </w:t>
      </w:r>
      <w:r w:rsidR="00143AE9" w:rsidRPr="00E71789">
        <w:rPr>
          <w:rFonts w:ascii="Arial" w:hAnsi="Arial" w:cs="Arial"/>
          <w:sz w:val="22"/>
          <w:szCs w:val="22"/>
          <w:lang w:val="en-GB"/>
        </w:rPr>
        <w:t>number of</w:t>
      </w:r>
      <w:r w:rsidR="00517F1D">
        <w:rPr>
          <w:rFonts w:ascii="Arial" w:hAnsi="Arial" w:cs="Arial"/>
          <w:sz w:val="22"/>
          <w:szCs w:val="22"/>
          <w:lang w:val="en-GB"/>
        </w:rPr>
        <w:t xml:space="preserve"> screened and</w:t>
      </w:r>
      <w:r w:rsidR="00143AE9" w:rsidRPr="00E71789">
        <w:rPr>
          <w:rFonts w:ascii="Arial" w:hAnsi="Arial" w:cs="Arial"/>
          <w:sz w:val="22"/>
          <w:szCs w:val="22"/>
          <w:lang w:val="en-GB"/>
        </w:rPr>
        <w:t xml:space="preserve"> eligibl</w:t>
      </w:r>
      <w:r w:rsidR="00143AE9">
        <w:rPr>
          <w:rFonts w:ascii="Arial" w:hAnsi="Arial" w:cs="Arial"/>
          <w:sz w:val="22"/>
          <w:szCs w:val="22"/>
          <w:lang w:val="en-GB"/>
        </w:rPr>
        <w:t xml:space="preserve">e patients was sufficient for the RCT, </w:t>
      </w:r>
      <w:r w:rsidR="00143AE9" w:rsidRPr="00E71789">
        <w:rPr>
          <w:rFonts w:ascii="Arial" w:hAnsi="Arial" w:cs="Arial"/>
          <w:sz w:val="22"/>
          <w:szCs w:val="22"/>
          <w:lang w:val="en-GB"/>
        </w:rPr>
        <w:t>the inclusion and randomization proceeded very slowly (l</w:t>
      </w:r>
      <w:r w:rsidR="00143AE9">
        <w:rPr>
          <w:rFonts w:ascii="Arial" w:hAnsi="Arial" w:cs="Arial"/>
          <w:sz w:val="22"/>
          <w:szCs w:val="22"/>
          <w:lang w:val="en-GB"/>
        </w:rPr>
        <w:t xml:space="preserve">ess than 20 patients per year) which led us to conclude </w:t>
      </w:r>
      <w:r w:rsidR="00143AE9" w:rsidRPr="00E71789">
        <w:rPr>
          <w:rFonts w:ascii="Arial" w:hAnsi="Arial" w:cs="Arial"/>
          <w:sz w:val="22"/>
          <w:szCs w:val="22"/>
          <w:lang w:val="en-GB"/>
        </w:rPr>
        <w:t>that randomizing the full sample size would result in an unacceptably long inclusion period. F</w:t>
      </w:r>
      <w:r w:rsidR="00143AE9">
        <w:rPr>
          <w:rFonts w:ascii="Arial" w:hAnsi="Arial" w:cs="Arial"/>
          <w:sz w:val="22"/>
          <w:szCs w:val="22"/>
          <w:lang w:val="en-GB"/>
        </w:rPr>
        <w:t xml:space="preserve">or this reason, we decided on </w:t>
      </w:r>
      <w:r w:rsidR="00143AE9">
        <w:rPr>
          <w:rFonts w:ascii="Arial" w:hAnsi="Arial" w:cs="Arial"/>
          <w:sz w:val="22"/>
          <w:szCs w:val="22"/>
          <w:lang w:val="en-US"/>
        </w:rPr>
        <w:t>November 30</w:t>
      </w:r>
      <w:r w:rsidR="00143AE9" w:rsidRPr="00143AE9">
        <w:rPr>
          <w:rFonts w:ascii="Arial" w:hAnsi="Arial" w:cs="Arial"/>
          <w:sz w:val="22"/>
          <w:szCs w:val="22"/>
          <w:vertAlign w:val="superscript"/>
          <w:lang w:val="en-US"/>
        </w:rPr>
        <w:t>th</w:t>
      </w:r>
      <w:r w:rsidR="00143AE9">
        <w:rPr>
          <w:rFonts w:ascii="Arial" w:hAnsi="Arial" w:cs="Arial"/>
          <w:sz w:val="22"/>
          <w:szCs w:val="22"/>
          <w:lang w:val="en-US"/>
        </w:rPr>
        <w:t xml:space="preserve"> 2016 </w:t>
      </w:r>
      <w:r w:rsidR="00143AE9" w:rsidRPr="00E71789">
        <w:rPr>
          <w:rFonts w:ascii="Arial" w:hAnsi="Arial" w:cs="Arial"/>
          <w:sz w:val="22"/>
          <w:szCs w:val="22"/>
          <w:lang w:val="en-GB"/>
        </w:rPr>
        <w:t xml:space="preserve">to stop the </w:t>
      </w:r>
      <w:r w:rsidR="00143AE9">
        <w:rPr>
          <w:rFonts w:ascii="Arial" w:hAnsi="Arial" w:cs="Arial"/>
          <w:sz w:val="22"/>
          <w:szCs w:val="22"/>
          <w:lang w:val="en-GB"/>
        </w:rPr>
        <w:t xml:space="preserve">RCT </w:t>
      </w:r>
      <w:r w:rsidR="00143AE9" w:rsidRPr="00E71789">
        <w:rPr>
          <w:rFonts w:ascii="Arial" w:hAnsi="Arial" w:cs="Arial"/>
          <w:sz w:val="22"/>
          <w:szCs w:val="22"/>
          <w:lang w:val="en-GB"/>
        </w:rPr>
        <w:t xml:space="preserve">prematurely. </w:t>
      </w:r>
    </w:p>
    <w:p w14:paraId="380CAAFD" w14:textId="5FE09997" w:rsidR="00424329" w:rsidRDefault="00424329" w:rsidP="0080481C">
      <w:pPr>
        <w:spacing w:line="480" w:lineRule="auto"/>
        <w:rPr>
          <w:rFonts w:ascii="Arial" w:hAnsi="Arial" w:cs="Arial"/>
          <w:sz w:val="22"/>
          <w:szCs w:val="22"/>
          <w:lang w:val="en-US"/>
        </w:rPr>
      </w:pPr>
      <w:r>
        <w:rPr>
          <w:rFonts w:ascii="Arial" w:hAnsi="Arial" w:cs="Arial"/>
          <w:sz w:val="22"/>
          <w:szCs w:val="22"/>
          <w:lang w:val="en-US"/>
        </w:rPr>
        <w:t xml:space="preserve">Of 25 randomized patients, 12 were allocated to the </w:t>
      </w:r>
      <w:r w:rsidR="007C6D5E">
        <w:rPr>
          <w:rFonts w:ascii="Arial" w:hAnsi="Arial" w:cs="Arial"/>
          <w:sz w:val="22"/>
          <w:szCs w:val="22"/>
          <w:lang w:val="en-US"/>
        </w:rPr>
        <w:t>R-</w:t>
      </w:r>
      <w:r>
        <w:rPr>
          <w:rFonts w:ascii="Arial" w:hAnsi="Arial" w:cs="Arial"/>
          <w:sz w:val="22"/>
          <w:szCs w:val="22"/>
          <w:lang w:val="en-US"/>
        </w:rPr>
        <w:t>expectant</w:t>
      </w:r>
      <w:r w:rsidR="007C6D5E">
        <w:rPr>
          <w:rFonts w:ascii="Arial" w:hAnsi="Arial" w:cs="Arial"/>
          <w:sz w:val="22"/>
          <w:szCs w:val="22"/>
          <w:lang w:val="en-US"/>
        </w:rPr>
        <w:t>-</w:t>
      </w:r>
      <w:r>
        <w:rPr>
          <w:rFonts w:ascii="Arial" w:hAnsi="Arial" w:cs="Arial"/>
          <w:sz w:val="22"/>
          <w:szCs w:val="22"/>
          <w:lang w:val="en-US"/>
        </w:rPr>
        <w:t xml:space="preserve">group, and 13 to the </w:t>
      </w:r>
      <w:r w:rsidR="007C6D5E">
        <w:rPr>
          <w:rFonts w:ascii="Arial" w:hAnsi="Arial" w:cs="Arial"/>
          <w:sz w:val="22"/>
          <w:szCs w:val="22"/>
          <w:lang w:val="en-US"/>
        </w:rPr>
        <w:t>R-</w:t>
      </w:r>
      <w:r>
        <w:rPr>
          <w:rFonts w:ascii="Arial" w:hAnsi="Arial" w:cs="Arial"/>
          <w:sz w:val="22"/>
          <w:szCs w:val="22"/>
          <w:lang w:val="en-US"/>
        </w:rPr>
        <w:t>IUI-group</w:t>
      </w:r>
      <w:r w:rsidRPr="00B330AA">
        <w:rPr>
          <w:rFonts w:ascii="Arial" w:hAnsi="Arial" w:cs="Arial"/>
          <w:sz w:val="22"/>
          <w:szCs w:val="22"/>
          <w:highlight w:val="green"/>
          <w:lang w:val="en-US"/>
        </w:rPr>
        <w:t>.</w:t>
      </w:r>
      <w:r>
        <w:rPr>
          <w:rFonts w:ascii="Arial" w:hAnsi="Arial" w:cs="Arial"/>
          <w:sz w:val="22"/>
          <w:szCs w:val="22"/>
          <w:lang w:val="en-US"/>
        </w:rPr>
        <w:t xml:space="preserve"> </w:t>
      </w:r>
      <w:r w:rsidR="00D664C2">
        <w:rPr>
          <w:rFonts w:ascii="Arial" w:hAnsi="Arial" w:cs="Arial"/>
          <w:sz w:val="22"/>
          <w:szCs w:val="22"/>
          <w:lang w:val="en-US"/>
        </w:rPr>
        <w:t xml:space="preserve">Of the 12 patients in the </w:t>
      </w:r>
      <w:r w:rsidR="007C6D5E">
        <w:rPr>
          <w:rFonts w:ascii="Arial" w:hAnsi="Arial" w:cs="Arial"/>
          <w:sz w:val="22"/>
          <w:szCs w:val="22"/>
          <w:lang w:val="en-US"/>
        </w:rPr>
        <w:t>R-</w:t>
      </w:r>
      <w:r w:rsidR="00D664C2">
        <w:rPr>
          <w:rFonts w:ascii="Arial" w:hAnsi="Arial" w:cs="Arial"/>
          <w:sz w:val="22"/>
          <w:szCs w:val="22"/>
          <w:lang w:val="en-US"/>
        </w:rPr>
        <w:t>expectant</w:t>
      </w:r>
      <w:r w:rsidR="007C6D5E">
        <w:rPr>
          <w:rFonts w:ascii="Arial" w:hAnsi="Arial" w:cs="Arial"/>
          <w:sz w:val="22"/>
          <w:szCs w:val="22"/>
          <w:lang w:val="en-US"/>
        </w:rPr>
        <w:t>-</w:t>
      </w:r>
      <w:r w:rsidR="00D664C2">
        <w:rPr>
          <w:rFonts w:ascii="Arial" w:hAnsi="Arial" w:cs="Arial"/>
          <w:sz w:val="22"/>
          <w:szCs w:val="22"/>
          <w:lang w:val="en-US"/>
        </w:rPr>
        <w:t xml:space="preserve">group, </w:t>
      </w:r>
      <w:r w:rsidR="005025FA">
        <w:rPr>
          <w:rFonts w:ascii="Arial" w:hAnsi="Arial" w:cs="Arial"/>
          <w:sz w:val="22"/>
          <w:szCs w:val="22"/>
          <w:lang w:val="en-US"/>
        </w:rPr>
        <w:t>one patient</w:t>
      </w:r>
      <w:r w:rsidR="005025FA" w:rsidRPr="005025FA">
        <w:rPr>
          <w:rFonts w:ascii="Arial" w:hAnsi="Arial" w:cs="Arial"/>
          <w:sz w:val="22"/>
          <w:szCs w:val="22"/>
          <w:lang w:val="en-US"/>
        </w:rPr>
        <w:t xml:space="preserve"> withdrew voluntarily </w:t>
      </w:r>
      <w:r w:rsidR="005025FA">
        <w:rPr>
          <w:rFonts w:ascii="Arial" w:hAnsi="Arial" w:cs="Arial"/>
          <w:sz w:val="22"/>
          <w:szCs w:val="22"/>
          <w:lang w:val="en-US"/>
        </w:rPr>
        <w:t>shortly after randomization</w:t>
      </w:r>
      <w:r w:rsidR="005025FA" w:rsidRPr="005025FA">
        <w:rPr>
          <w:rFonts w:ascii="Arial" w:hAnsi="Arial" w:cs="Arial"/>
          <w:sz w:val="22"/>
          <w:szCs w:val="22"/>
          <w:lang w:val="en-US"/>
        </w:rPr>
        <w:t xml:space="preserve"> because she wanted to start ART</w:t>
      </w:r>
      <w:r w:rsidR="005025FA">
        <w:rPr>
          <w:rFonts w:ascii="Arial" w:hAnsi="Arial" w:cs="Arial"/>
          <w:sz w:val="22"/>
          <w:szCs w:val="22"/>
          <w:lang w:val="en-US"/>
        </w:rPr>
        <w:t xml:space="preserve"> in another hospital; of this patient, no cycles were available for analysis. </w:t>
      </w:r>
      <w:r w:rsidR="00D664C2">
        <w:rPr>
          <w:rFonts w:ascii="Arial" w:hAnsi="Arial" w:cs="Arial"/>
          <w:sz w:val="22"/>
          <w:szCs w:val="22"/>
          <w:lang w:val="en-US"/>
        </w:rPr>
        <w:t xml:space="preserve">Of the 13 </w:t>
      </w:r>
      <w:r w:rsidR="00143AE9">
        <w:rPr>
          <w:rFonts w:ascii="Arial" w:hAnsi="Arial" w:cs="Arial"/>
          <w:sz w:val="22"/>
          <w:szCs w:val="22"/>
          <w:lang w:val="en-US"/>
        </w:rPr>
        <w:t xml:space="preserve">patients </w:t>
      </w:r>
      <w:r w:rsidR="00D664C2">
        <w:rPr>
          <w:rFonts w:ascii="Arial" w:hAnsi="Arial" w:cs="Arial"/>
          <w:sz w:val="22"/>
          <w:szCs w:val="22"/>
          <w:lang w:val="en-US"/>
        </w:rPr>
        <w:t xml:space="preserve">in the </w:t>
      </w:r>
      <w:r w:rsidR="007C6D5E">
        <w:rPr>
          <w:rFonts w:ascii="Arial" w:hAnsi="Arial" w:cs="Arial"/>
          <w:sz w:val="22"/>
          <w:szCs w:val="22"/>
          <w:lang w:val="en-US"/>
        </w:rPr>
        <w:t>R-</w:t>
      </w:r>
      <w:r w:rsidR="00D664C2">
        <w:rPr>
          <w:rFonts w:ascii="Arial" w:hAnsi="Arial" w:cs="Arial"/>
          <w:sz w:val="22"/>
          <w:szCs w:val="22"/>
          <w:lang w:val="en-US"/>
        </w:rPr>
        <w:t xml:space="preserve">IUI-group, one patient </w:t>
      </w:r>
      <w:r w:rsidR="00B330AA">
        <w:rPr>
          <w:rFonts w:ascii="Arial" w:hAnsi="Arial" w:cs="Arial"/>
          <w:sz w:val="22"/>
          <w:szCs w:val="22"/>
          <w:lang w:val="en-US"/>
        </w:rPr>
        <w:t>was withdrawn from the study early</w:t>
      </w:r>
      <w:r w:rsidR="00D664C2">
        <w:rPr>
          <w:rFonts w:ascii="Arial" w:hAnsi="Arial" w:cs="Arial"/>
          <w:sz w:val="22"/>
          <w:szCs w:val="22"/>
          <w:lang w:val="en-US"/>
        </w:rPr>
        <w:t xml:space="preserve"> </w:t>
      </w:r>
      <w:r w:rsidR="00B330AA">
        <w:rPr>
          <w:rFonts w:ascii="Arial" w:hAnsi="Arial" w:cs="Arial"/>
          <w:sz w:val="22"/>
          <w:szCs w:val="22"/>
          <w:lang w:val="en-US"/>
        </w:rPr>
        <w:t xml:space="preserve">(5 instead of 7 cycles available for analysis, of which 1 with IUI; no clinical pregnancy detected) </w:t>
      </w:r>
      <w:r w:rsidR="00D664C2">
        <w:rPr>
          <w:rFonts w:ascii="Arial" w:hAnsi="Arial" w:cs="Arial"/>
          <w:sz w:val="22"/>
          <w:szCs w:val="22"/>
          <w:lang w:val="en-US"/>
        </w:rPr>
        <w:t xml:space="preserve">due to the </w:t>
      </w:r>
      <w:r w:rsidR="0053499B">
        <w:rPr>
          <w:rFonts w:ascii="Arial" w:hAnsi="Arial" w:cs="Arial"/>
          <w:sz w:val="22"/>
          <w:szCs w:val="22"/>
          <w:lang w:val="en-US"/>
        </w:rPr>
        <w:t xml:space="preserve">suspected </w:t>
      </w:r>
      <w:r w:rsidR="00D664C2">
        <w:rPr>
          <w:rFonts w:ascii="Arial" w:hAnsi="Arial" w:cs="Arial"/>
          <w:sz w:val="22"/>
          <w:szCs w:val="22"/>
          <w:lang w:val="en-US"/>
        </w:rPr>
        <w:t>diagnosis of a syphilis infection in her partner</w:t>
      </w:r>
      <w:r w:rsidR="0053499B">
        <w:rPr>
          <w:rFonts w:ascii="Arial" w:hAnsi="Arial" w:cs="Arial"/>
          <w:sz w:val="22"/>
          <w:szCs w:val="22"/>
          <w:lang w:val="en-US"/>
        </w:rPr>
        <w:t>.</w:t>
      </w:r>
      <w:r w:rsidR="00B330AA">
        <w:rPr>
          <w:rFonts w:ascii="Arial" w:hAnsi="Arial" w:cs="Arial"/>
          <w:sz w:val="22"/>
          <w:szCs w:val="22"/>
          <w:lang w:val="en-US"/>
        </w:rPr>
        <w:t xml:space="preserve"> For both groups, the loss-to-follow-up rate stayed below 10%.</w:t>
      </w:r>
    </w:p>
    <w:p w14:paraId="6786F57F" w14:textId="467121E7" w:rsidR="00D664C2" w:rsidRDefault="00D664C2" w:rsidP="0080481C">
      <w:pPr>
        <w:spacing w:line="480" w:lineRule="auto"/>
        <w:rPr>
          <w:rFonts w:ascii="Arial" w:hAnsi="Arial" w:cs="Arial"/>
          <w:sz w:val="22"/>
          <w:szCs w:val="22"/>
          <w:lang w:val="en-US"/>
        </w:rPr>
      </w:pPr>
      <w:r>
        <w:rPr>
          <w:rFonts w:ascii="Arial" w:hAnsi="Arial" w:cs="Arial"/>
          <w:sz w:val="22"/>
          <w:szCs w:val="22"/>
          <w:lang w:val="en-US"/>
        </w:rPr>
        <w:t xml:space="preserve">Baseline characteristics are shown in </w:t>
      </w:r>
      <w:r w:rsidR="000C3A63">
        <w:rPr>
          <w:rFonts w:ascii="Arial" w:hAnsi="Arial" w:cs="Arial"/>
          <w:sz w:val="22"/>
          <w:szCs w:val="22"/>
          <w:highlight w:val="green"/>
          <w:lang w:val="en-US"/>
        </w:rPr>
        <w:t>Table 1</w:t>
      </w:r>
      <w:r w:rsidR="000C3A63" w:rsidRPr="00D5136F">
        <w:rPr>
          <w:rFonts w:ascii="Arial" w:hAnsi="Arial" w:cs="Arial"/>
          <w:sz w:val="22"/>
          <w:szCs w:val="22"/>
          <w:lang w:val="en-US"/>
        </w:rPr>
        <w:t>, and confirm similar patient characteristics in both groups</w:t>
      </w:r>
      <w:r w:rsidR="006D6E28" w:rsidRPr="00D5136F">
        <w:rPr>
          <w:rFonts w:ascii="Arial" w:hAnsi="Arial" w:cs="Arial"/>
          <w:sz w:val="22"/>
          <w:szCs w:val="22"/>
          <w:lang w:val="en-US"/>
        </w:rPr>
        <w:t xml:space="preserve"> except for primary infertility (in favor of the R-exp-group) and rASRM stages (in favor of the R-IUI-group); the latter two are balanced out as can be seen in the distribution of the different EFI-scores, which appear</w:t>
      </w:r>
      <w:r w:rsidR="000F4539" w:rsidRPr="00D5136F">
        <w:rPr>
          <w:rFonts w:ascii="Arial" w:hAnsi="Arial" w:cs="Arial"/>
          <w:sz w:val="22"/>
          <w:szCs w:val="22"/>
          <w:lang w:val="en-US"/>
        </w:rPr>
        <w:t>s</w:t>
      </w:r>
      <w:r w:rsidR="006D6E28" w:rsidRPr="00D5136F">
        <w:rPr>
          <w:rFonts w:ascii="Arial" w:hAnsi="Arial" w:cs="Arial"/>
          <w:sz w:val="22"/>
          <w:szCs w:val="22"/>
          <w:lang w:val="en-US"/>
        </w:rPr>
        <w:t xml:space="preserve"> to be similar</w:t>
      </w:r>
      <w:r w:rsidR="000F4539" w:rsidRPr="00D5136F">
        <w:rPr>
          <w:rFonts w:ascii="Arial" w:hAnsi="Arial" w:cs="Arial"/>
          <w:sz w:val="22"/>
          <w:szCs w:val="22"/>
          <w:lang w:val="en-US"/>
        </w:rPr>
        <w:t xml:space="preserve"> for both groups</w:t>
      </w:r>
      <w:r w:rsidR="000C3A63" w:rsidRPr="00D5136F">
        <w:rPr>
          <w:rFonts w:ascii="Arial" w:hAnsi="Arial" w:cs="Arial"/>
          <w:sz w:val="22"/>
          <w:szCs w:val="22"/>
          <w:lang w:val="en-US"/>
        </w:rPr>
        <w:t>.</w:t>
      </w:r>
      <w:r w:rsidR="00143AE9">
        <w:rPr>
          <w:rFonts w:ascii="Arial" w:hAnsi="Arial" w:cs="Arial"/>
          <w:sz w:val="22"/>
          <w:szCs w:val="22"/>
          <w:lang w:val="en-US"/>
        </w:rPr>
        <w:t xml:space="preserve"> </w:t>
      </w:r>
    </w:p>
    <w:p w14:paraId="09BDCA04" w14:textId="77777777" w:rsidR="000C3A63" w:rsidRDefault="000C3A63" w:rsidP="0080481C">
      <w:pPr>
        <w:spacing w:line="480" w:lineRule="auto"/>
        <w:rPr>
          <w:rFonts w:ascii="Arial" w:hAnsi="Arial" w:cs="Arial"/>
          <w:sz w:val="22"/>
          <w:szCs w:val="22"/>
          <w:lang w:val="en-US"/>
        </w:rPr>
      </w:pPr>
    </w:p>
    <w:p w14:paraId="196FBF78" w14:textId="11DDB4E0" w:rsidR="002B7FE1" w:rsidRPr="000C3A63" w:rsidRDefault="002B7FE1" w:rsidP="0080481C">
      <w:pPr>
        <w:spacing w:line="480" w:lineRule="auto"/>
        <w:rPr>
          <w:rFonts w:ascii="Arial" w:hAnsi="Arial" w:cs="Arial"/>
          <w:i/>
          <w:sz w:val="22"/>
          <w:szCs w:val="22"/>
          <w:lang w:val="en-US"/>
        </w:rPr>
      </w:pPr>
      <w:r w:rsidRPr="000C3A63">
        <w:rPr>
          <w:rFonts w:ascii="Arial" w:hAnsi="Arial" w:cs="Arial"/>
          <w:i/>
          <w:sz w:val="22"/>
          <w:szCs w:val="22"/>
          <w:highlight w:val="green"/>
          <w:lang w:val="en-US"/>
        </w:rPr>
        <w:t>Table 1:</w:t>
      </w:r>
      <w:r w:rsidRPr="000C3A63">
        <w:rPr>
          <w:rFonts w:ascii="Arial" w:hAnsi="Arial" w:cs="Arial"/>
          <w:i/>
          <w:sz w:val="22"/>
          <w:szCs w:val="22"/>
          <w:lang w:val="en-US"/>
        </w:rPr>
        <w:t xml:space="preserve"> Baseline characteristics of randomized patients </w:t>
      </w:r>
      <w:r w:rsidR="00F06DD6">
        <w:rPr>
          <w:rFonts w:ascii="Arial" w:hAnsi="Arial" w:cs="Arial"/>
          <w:i/>
          <w:sz w:val="22"/>
          <w:szCs w:val="22"/>
          <w:lang w:val="en-US"/>
        </w:rPr>
        <w:t>in the RCT</w:t>
      </w:r>
    </w:p>
    <w:tbl>
      <w:tblPr>
        <w:tblStyle w:val="Tabelraster"/>
        <w:tblW w:w="0" w:type="auto"/>
        <w:tblLook w:val="04A0" w:firstRow="1" w:lastRow="0" w:firstColumn="1" w:lastColumn="0" w:noHBand="0" w:noVBand="1"/>
      </w:tblPr>
      <w:tblGrid>
        <w:gridCol w:w="3397"/>
        <w:gridCol w:w="2832"/>
        <w:gridCol w:w="2833"/>
      </w:tblGrid>
      <w:tr w:rsidR="00D664C2" w14:paraId="1C816324" w14:textId="77777777" w:rsidTr="0053499B">
        <w:tc>
          <w:tcPr>
            <w:tcW w:w="3397" w:type="dxa"/>
          </w:tcPr>
          <w:p w14:paraId="0EE874E3" w14:textId="45D4C8AF" w:rsidR="00D664C2" w:rsidRPr="00196669" w:rsidRDefault="00196669" w:rsidP="0053499B">
            <w:pPr>
              <w:rPr>
                <w:rFonts w:ascii="Arial" w:hAnsi="Arial" w:cs="Arial"/>
                <w:b/>
                <w:sz w:val="22"/>
                <w:szCs w:val="22"/>
                <w:lang w:val="en-US"/>
              </w:rPr>
            </w:pPr>
            <w:r w:rsidRPr="00196669">
              <w:rPr>
                <w:rFonts w:ascii="Arial" w:hAnsi="Arial" w:cs="Arial"/>
                <w:b/>
                <w:sz w:val="22"/>
                <w:szCs w:val="22"/>
                <w:lang w:val="en-US"/>
              </w:rPr>
              <w:t>Characteristic</w:t>
            </w:r>
          </w:p>
        </w:tc>
        <w:tc>
          <w:tcPr>
            <w:tcW w:w="2832" w:type="dxa"/>
          </w:tcPr>
          <w:p w14:paraId="74374B18" w14:textId="018C015C" w:rsidR="00D664C2" w:rsidRPr="00196669" w:rsidRDefault="007C6D5E" w:rsidP="0053499B">
            <w:pPr>
              <w:rPr>
                <w:rFonts w:ascii="Arial" w:hAnsi="Arial" w:cs="Arial"/>
                <w:b/>
                <w:sz w:val="22"/>
                <w:szCs w:val="22"/>
                <w:lang w:val="en-US"/>
              </w:rPr>
            </w:pPr>
            <w:r>
              <w:rPr>
                <w:rFonts w:ascii="Arial" w:hAnsi="Arial" w:cs="Arial"/>
                <w:b/>
                <w:sz w:val="22"/>
                <w:szCs w:val="22"/>
                <w:lang w:val="en-US"/>
              </w:rPr>
              <w:t>R-expectant-</w:t>
            </w:r>
            <w:r w:rsidR="00D664C2" w:rsidRPr="00196669">
              <w:rPr>
                <w:rFonts w:ascii="Arial" w:hAnsi="Arial" w:cs="Arial"/>
                <w:b/>
                <w:sz w:val="22"/>
                <w:szCs w:val="22"/>
                <w:lang w:val="en-US"/>
              </w:rPr>
              <w:t>group</w:t>
            </w:r>
          </w:p>
          <w:p w14:paraId="06D8D460" w14:textId="644A09CB" w:rsidR="00D664C2" w:rsidRPr="00196669" w:rsidRDefault="00D664C2" w:rsidP="0053499B">
            <w:pPr>
              <w:rPr>
                <w:rFonts w:ascii="Arial" w:hAnsi="Arial" w:cs="Arial"/>
                <w:b/>
                <w:sz w:val="22"/>
                <w:szCs w:val="22"/>
                <w:lang w:val="en-US"/>
              </w:rPr>
            </w:pPr>
            <w:r w:rsidRPr="00196669">
              <w:rPr>
                <w:rFonts w:ascii="Arial" w:hAnsi="Arial" w:cs="Arial"/>
                <w:b/>
                <w:sz w:val="22"/>
                <w:szCs w:val="22"/>
                <w:lang w:val="en-US"/>
              </w:rPr>
              <w:t>N=12</w:t>
            </w:r>
          </w:p>
        </w:tc>
        <w:tc>
          <w:tcPr>
            <w:tcW w:w="2833" w:type="dxa"/>
          </w:tcPr>
          <w:p w14:paraId="56F0D8EE" w14:textId="25C34E3A" w:rsidR="00D664C2" w:rsidRPr="00196669" w:rsidRDefault="007C6D5E" w:rsidP="0053499B">
            <w:pPr>
              <w:rPr>
                <w:rFonts w:ascii="Arial" w:hAnsi="Arial" w:cs="Arial"/>
                <w:b/>
                <w:sz w:val="22"/>
                <w:szCs w:val="22"/>
                <w:lang w:val="en-US"/>
              </w:rPr>
            </w:pPr>
            <w:r>
              <w:rPr>
                <w:rFonts w:ascii="Arial" w:hAnsi="Arial" w:cs="Arial"/>
                <w:b/>
                <w:sz w:val="22"/>
                <w:szCs w:val="22"/>
                <w:lang w:val="en-US"/>
              </w:rPr>
              <w:t>R-</w:t>
            </w:r>
            <w:r w:rsidR="00D664C2" w:rsidRPr="00196669">
              <w:rPr>
                <w:rFonts w:ascii="Arial" w:hAnsi="Arial" w:cs="Arial"/>
                <w:b/>
                <w:sz w:val="22"/>
                <w:szCs w:val="22"/>
                <w:lang w:val="en-US"/>
              </w:rPr>
              <w:t>IUI-group</w:t>
            </w:r>
          </w:p>
          <w:p w14:paraId="47582B49" w14:textId="297B6C1F" w:rsidR="00D664C2" w:rsidRPr="00196669" w:rsidRDefault="00D664C2" w:rsidP="0053499B">
            <w:pPr>
              <w:rPr>
                <w:rFonts w:ascii="Arial" w:hAnsi="Arial" w:cs="Arial"/>
                <w:b/>
                <w:sz w:val="22"/>
                <w:szCs w:val="22"/>
                <w:lang w:val="en-US"/>
              </w:rPr>
            </w:pPr>
            <w:r w:rsidRPr="00196669">
              <w:rPr>
                <w:rFonts w:ascii="Arial" w:hAnsi="Arial" w:cs="Arial"/>
                <w:b/>
                <w:sz w:val="22"/>
                <w:szCs w:val="22"/>
                <w:lang w:val="en-US"/>
              </w:rPr>
              <w:t>N=13</w:t>
            </w:r>
          </w:p>
        </w:tc>
      </w:tr>
      <w:tr w:rsidR="0053499B" w14:paraId="3EFA0D0A" w14:textId="77777777" w:rsidTr="0053499B">
        <w:tc>
          <w:tcPr>
            <w:tcW w:w="3397" w:type="dxa"/>
          </w:tcPr>
          <w:p w14:paraId="6D790732" w14:textId="6049D3DB" w:rsidR="0053499B" w:rsidRDefault="0053499B" w:rsidP="0053499B">
            <w:pPr>
              <w:rPr>
                <w:rFonts w:ascii="Arial" w:hAnsi="Arial" w:cs="Arial"/>
                <w:sz w:val="22"/>
                <w:szCs w:val="22"/>
                <w:lang w:val="en-US"/>
              </w:rPr>
            </w:pPr>
            <w:r>
              <w:rPr>
                <w:rFonts w:ascii="Arial" w:hAnsi="Arial" w:cs="Arial"/>
                <w:sz w:val="22"/>
                <w:szCs w:val="22"/>
                <w:lang w:val="en-US"/>
              </w:rPr>
              <w:t xml:space="preserve">Primary infertility </w:t>
            </w:r>
            <w:r w:rsidRPr="00196669">
              <w:rPr>
                <w:rFonts w:ascii="Arial" w:hAnsi="Arial" w:cs="Arial"/>
                <w:sz w:val="22"/>
                <w:szCs w:val="22"/>
                <w:lang w:val="en-US"/>
              </w:rPr>
              <w:t>(%)</w:t>
            </w:r>
          </w:p>
        </w:tc>
        <w:tc>
          <w:tcPr>
            <w:tcW w:w="2832" w:type="dxa"/>
          </w:tcPr>
          <w:p w14:paraId="5715F3C9" w14:textId="0169A614" w:rsidR="0053499B" w:rsidRDefault="000C3A63" w:rsidP="0053499B">
            <w:pPr>
              <w:rPr>
                <w:rFonts w:ascii="Arial" w:hAnsi="Arial" w:cs="Arial"/>
                <w:sz w:val="22"/>
                <w:szCs w:val="22"/>
                <w:lang w:val="en-US"/>
              </w:rPr>
            </w:pPr>
            <w:r>
              <w:rPr>
                <w:rFonts w:ascii="Arial" w:hAnsi="Arial" w:cs="Arial"/>
                <w:sz w:val="22"/>
                <w:szCs w:val="22"/>
                <w:lang w:val="en-US"/>
              </w:rPr>
              <w:t>7/12 (58.</w:t>
            </w:r>
            <w:r w:rsidR="00981162">
              <w:rPr>
                <w:rFonts w:ascii="Arial" w:hAnsi="Arial" w:cs="Arial"/>
                <w:sz w:val="22"/>
                <w:szCs w:val="22"/>
                <w:lang w:val="en-US"/>
              </w:rPr>
              <w:t>3%)</w:t>
            </w:r>
          </w:p>
        </w:tc>
        <w:tc>
          <w:tcPr>
            <w:tcW w:w="2833" w:type="dxa"/>
          </w:tcPr>
          <w:p w14:paraId="00365225" w14:textId="284B3533" w:rsidR="0053499B" w:rsidRDefault="00196669" w:rsidP="0053499B">
            <w:pPr>
              <w:rPr>
                <w:rFonts w:ascii="Arial" w:hAnsi="Arial" w:cs="Arial"/>
                <w:sz w:val="22"/>
                <w:szCs w:val="22"/>
                <w:lang w:val="en-US"/>
              </w:rPr>
            </w:pPr>
            <w:r>
              <w:rPr>
                <w:rFonts w:ascii="Arial" w:hAnsi="Arial" w:cs="Arial"/>
                <w:sz w:val="22"/>
                <w:szCs w:val="22"/>
                <w:lang w:val="en-US"/>
              </w:rPr>
              <w:t>11/13 (84%)</w:t>
            </w:r>
          </w:p>
        </w:tc>
      </w:tr>
      <w:tr w:rsidR="00D664C2" w14:paraId="4AB9832E" w14:textId="77777777" w:rsidTr="0053499B">
        <w:tc>
          <w:tcPr>
            <w:tcW w:w="3397" w:type="dxa"/>
          </w:tcPr>
          <w:p w14:paraId="05579E3A" w14:textId="677CEC17" w:rsidR="00D664C2" w:rsidRDefault="0053499B" w:rsidP="0053499B">
            <w:pPr>
              <w:rPr>
                <w:rFonts w:ascii="Arial" w:hAnsi="Arial" w:cs="Arial"/>
                <w:sz w:val="22"/>
                <w:szCs w:val="22"/>
                <w:lang w:val="en-US"/>
              </w:rPr>
            </w:pPr>
            <w:r>
              <w:rPr>
                <w:rFonts w:ascii="Arial" w:hAnsi="Arial" w:cs="Arial"/>
                <w:sz w:val="22"/>
                <w:szCs w:val="22"/>
                <w:lang w:val="en-US"/>
              </w:rPr>
              <w:t xml:space="preserve">Female age </w:t>
            </w:r>
          </w:p>
          <w:p w14:paraId="05BB9836" w14:textId="77777777" w:rsidR="0053499B" w:rsidRDefault="0053499B" w:rsidP="0053499B">
            <w:pPr>
              <w:rPr>
                <w:rFonts w:ascii="Arial" w:hAnsi="Arial" w:cs="Arial"/>
                <w:sz w:val="22"/>
                <w:szCs w:val="22"/>
                <w:lang w:val="en-US"/>
              </w:rPr>
            </w:pPr>
            <w:r>
              <w:rPr>
                <w:rFonts w:ascii="Arial" w:hAnsi="Arial" w:cs="Arial"/>
                <w:sz w:val="22"/>
                <w:szCs w:val="22"/>
                <w:lang w:val="en-US"/>
              </w:rPr>
              <w:t>Mean (+/- SD)</w:t>
            </w:r>
          </w:p>
          <w:p w14:paraId="2AC52AD4" w14:textId="185E52FF" w:rsidR="0053499B" w:rsidRDefault="0053499B" w:rsidP="0053499B">
            <w:pPr>
              <w:rPr>
                <w:rFonts w:ascii="Arial" w:hAnsi="Arial" w:cs="Arial"/>
                <w:sz w:val="22"/>
                <w:szCs w:val="22"/>
                <w:lang w:val="en-US"/>
              </w:rPr>
            </w:pPr>
            <w:r>
              <w:rPr>
                <w:rFonts w:ascii="Arial" w:hAnsi="Arial" w:cs="Arial"/>
                <w:sz w:val="22"/>
                <w:szCs w:val="22"/>
                <w:lang w:val="en-US"/>
              </w:rPr>
              <w:t xml:space="preserve">Median (IQR) </w:t>
            </w:r>
          </w:p>
        </w:tc>
        <w:tc>
          <w:tcPr>
            <w:tcW w:w="2832" w:type="dxa"/>
          </w:tcPr>
          <w:p w14:paraId="25C788E3" w14:textId="77777777" w:rsidR="00D664C2" w:rsidRDefault="00D664C2" w:rsidP="0053499B">
            <w:pPr>
              <w:rPr>
                <w:rFonts w:ascii="Arial" w:hAnsi="Arial" w:cs="Arial"/>
                <w:sz w:val="22"/>
                <w:szCs w:val="22"/>
                <w:lang w:val="en-US"/>
              </w:rPr>
            </w:pPr>
          </w:p>
          <w:p w14:paraId="53A41534" w14:textId="77777777" w:rsidR="0053499B" w:rsidRDefault="0053499B" w:rsidP="0053499B">
            <w:pPr>
              <w:rPr>
                <w:rFonts w:ascii="Arial" w:hAnsi="Arial" w:cs="Arial"/>
                <w:sz w:val="22"/>
                <w:szCs w:val="22"/>
                <w:lang w:val="en-US"/>
              </w:rPr>
            </w:pPr>
            <w:r>
              <w:rPr>
                <w:rFonts w:ascii="Arial" w:hAnsi="Arial" w:cs="Arial"/>
                <w:sz w:val="22"/>
                <w:szCs w:val="22"/>
                <w:lang w:val="en-US"/>
              </w:rPr>
              <w:t>30.8 (+/-3.8)</w:t>
            </w:r>
          </w:p>
          <w:p w14:paraId="6908DD2E" w14:textId="58CE5B15" w:rsidR="0053499B" w:rsidRDefault="0053499B" w:rsidP="0053499B">
            <w:pPr>
              <w:rPr>
                <w:rFonts w:ascii="Arial" w:hAnsi="Arial" w:cs="Arial"/>
                <w:sz w:val="22"/>
                <w:szCs w:val="22"/>
                <w:lang w:val="en-US"/>
              </w:rPr>
            </w:pPr>
            <w:r>
              <w:rPr>
                <w:rFonts w:ascii="Arial" w:hAnsi="Arial" w:cs="Arial"/>
                <w:sz w:val="22"/>
                <w:szCs w:val="22"/>
                <w:lang w:val="en-US"/>
              </w:rPr>
              <w:t>30.6 (28.3-32.6)</w:t>
            </w:r>
          </w:p>
        </w:tc>
        <w:tc>
          <w:tcPr>
            <w:tcW w:w="2833" w:type="dxa"/>
          </w:tcPr>
          <w:p w14:paraId="7F8923BE" w14:textId="77777777" w:rsidR="00D664C2" w:rsidRDefault="00D664C2" w:rsidP="0053499B">
            <w:pPr>
              <w:rPr>
                <w:rFonts w:ascii="Arial" w:hAnsi="Arial" w:cs="Arial"/>
                <w:sz w:val="22"/>
                <w:szCs w:val="22"/>
                <w:lang w:val="en-US"/>
              </w:rPr>
            </w:pPr>
          </w:p>
          <w:p w14:paraId="54628CC9" w14:textId="77777777" w:rsidR="0053499B" w:rsidRDefault="0053499B" w:rsidP="0053499B">
            <w:pPr>
              <w:rPr>
                <w:rFonts w:ascii="Arial" w:hAnsi="Arial" w:cs="Arial"/>
                <w:sz w:val="22"/>
                <w:szCs w:val="22"/>
                <w:lang w:val="en-US"/>
              </w:rPr>
            </w:pPr>
            <w:r>
              <w:rPr>
                <w:rFonts w:ascii="Arial" w:hAnsi="Arial" w:cs="Arial"/>
                <w:sz w:val="22"/>
                <w:szCs w:val="22"/>
                <w:lang w:val="en-US"/>
              </w:rPr>
              <w:t>31.8 (+/-3.6)</w:t>
            </w:r>
          </w:p>
          <w:p w14:paraId="141A2992" w14:textId="5186AB65" w:rsidR="0053499B" w:rsidRDefault="0053499B" w:rsidP="0053499B">
            <w:pPr>
              <w:rPr>
                <w:rFonts w:ascii="Arial" w:hAnsi="Arial" w:cs="Arial"/>
                <w:sz w:val="22"/>
                <w:szCs w:val="22"/>
                <w:lang w:val="en-US"/>
              </w:rPr>
            </w:pPr>
            <w:r>
              <w:rPr>
                <w:rFonts w:ascii="Arial" w:hAnsi="Arial" w:cs="Arial"/>
                <w:sz w:val="22"/>
                <w:szCs w:val="22"/>
                <w:lang w:val="en-US"/>
              </w:rPr>
              <w:t>31.2 (27.4-33.6)</w:t>
            </w:r>
          </w:p>
        </w:tc>
      </w:tr>
      <w:tr w:rsidR="00D664C2" w14:paraId="6B312610" w14:textId="77777777" w:rsidTr="0053499B">
        <w:tc>
          <w:tcPr>
            <w:tcW w:w="3397" w:type="dxa"/>
          </w:tcPr>
          <w:p w14:paraId="37ED3C96" w14:textId="77777777" w:rsidR="00D664C2" w:rsidRDefault="0053499B" w:rsidP="0053499B">
            <w:pPr>
              <w:rPr>
                <w:rFonts w:ascii="Arial" w:hAnsi="Arial" w:cs="Arial"/>
                <w:sz w:val="22"/>
                <w:szCs w:val="22"/>
                <w:lang w:val="en-US"/>
              </w:rPr>
            </w:pPr>
            <w:r>
              <w:rPr>
                <w:rFonts w:ascii="Arial" w:hAnsi="Arial" w:cs="Arial"/>
                <w:sz w:val="22"/>
                <w:szCs w:val="22"/>
                <w:lang w:val="en-US"/>
              </w:rPr>
              <w:t>Age of male partner</w:t>
            </w:r>
          </w:p>
          <w:p w14:paraId="0BE20E12" w14:textId="77777777" w:rsidR="0053499B" w:rsidRDefault="0053499B" w:rsidP="0053499B">
            <w:pPr>
              <w:rPr>
                <w:rFonts w:ascii="Arial" w:hAnsi="Arial" w:cs="Arial"/>
                <w:sz w:val="22"/>
                <w:szCs w:val="22"/>
                <w:lang w:val="en-US"/>
              </w:rPr>
            </w:pPr>
            <w:r>
              <w:rPr>
                <w:rFonts w:ascii="Arial" w:hAnsi="Arial" w:cs="Arial"/>
                <w:sz w:val="22"/>
                <w:szCs w:val="22"/>
                <w:lang w:val="en-US"/>
              </w:rPr>
              <w:t>Mean (+/- SD)</w:t>
            </w:r>
          </w:p>
          <w:p w14:paraId="49EA5DF1" w14:textId="7A4287A1" w:rsidR="0053499B" w:rsidRDefault="0053499B" w:rsidP="0053499B">
            <w:pPr>
              <w:rPr>
                <w:rFonts w:ascii="Arial" w:hAnsi="Arial" w:cs="Arial"/>
                <w:sz w:val="22"/>
                <w:szCs w:val="22"/>
                <w:lang w:val="en-US"/>
              </w:rPr>
            </w:pPr>
            <w:r>
              <w:rPr>
                <w:rFonts w:ascii="Arial" w:hAnsi="Arial" w:cs="Arial"/>
                <w:sz w:val="22"/>
                <w:szCs w:val="22"/>
                <w:lang w:val="en-US"/>
              </w:rPr>
              <w:t>Median (IQR)</w:t>
            </w:r>
          </w:p>
        </w:tc>
        <w:tc>
          <w:tcPr>
            <w:tcW w:w="2832" w:type="dxa"/>
          </w:tcPr>
          <w:p w14:paraId="30D5137D" w14:textId="77777777" w:rsidR="00D664C2" w:rsidRDefault="00D664C2" w:rsidP="0053499B">
            <w:pPr>
              <w:rPr>
                <w:rFonts w:ascii="Arial" w:hAnsi="Arial" w:cs="Arial"/>
                <w:sz w:val="22"/>
                <w:szCs w:val="22"/>
                <w:lang w:val="en-US"/>
              </w:rPr>
            </w:pPr>
          </w:p>
          <w:p w14:paraId="7959635F" w14:textId="0AB8395F" w:rsidR="00C06F83" w:rsidRDefault="00C06F83" w:rsidP="0053499B">
            <w:pPr>
              <w:rPr>
                <w:rFonts w:ascii="Arial" w:hAnsi="Arial" w:cs="Arial"/>
                <w:sz w:val="22"/>
                <w:szCs w:val="22"/>
                <w:lang w:val="en-US"/>
              </w:rPr>
            </w:pPr>
            <w:r>
              <w:rPr>
                <w:rFonts w:ascii="Arial" w:hAnsi="Arial" w:cs="Arial"/>
                <w:sz w:val="22"/>
                <w:szCs w:val="22"/>
                <w:lang w:val="en-US"/>
              </w:rPr>
              <w:t>33.0 (+/-6.6)</w:t>
            </w:r>
          </w:p>
          <w:p w14:paraId="3F22C569" w14:textId="1F58E418" w:rsidR="00C06F83" w:rsidRDefault="00C06F83" w:rsidP="0053499B">
            <w:pPr>
              <w:rPr>
                <w:rFonts w:ascii="Arial" w:hAnsi="Arial" w:cs="Arial"/>
                <w:sz w:val="22"/>
                <w:szCs w:val="22"/>
                <w:lang w:val="en-US"/>
              </w:rPr>
            </w:pPr>
            <w:r>
              <w:rPr>
                <w:rFonts w:ascii="Arial" w:hAnsi="Arial" w:cs="Arial"/>
                <w:sz w:val="22"/>
                <w:szCs w:val="22"/>
                <w:lang w:val="en-US"/>
              </w:rPr>
              <w:t>30.9 (28.7-35.3)</w:t>
            </w:r>
          </w:p>
        </w:tc>
        <w:tc>
          <w:tcPr>
            <w:tcW w:w="2833" w:type="dxa"/>
          </w:tcPr>
          <w:p w14:paraId="3033419D" w14:textId="77777777" w:rsidR="00D664C2" w:rsidRDefault="00D664C2" w:rsidP="0053499B">
            <w:pPr>
              <w:rPr>
                <w:rFonts w:ascii="Arial" w:hAnsi="Arial" w:cs="Arial"/>
                <w:sz w:val="22"/>
                <w:szCs w:val="22"/>
                <w:lang w:val="en-US"/>
              </w:rPr>
            </w:pPr>
          </w:p>
          <w:p w14:paraId="587DA702" w14:textId="77777777" w:rsidR="00C06F83" w:rsidRDefault="00C06F83" w:rsidP="0053499B">
            <w:pPr>
              <w:rPr>
                <w:rFonts w:ascii="Arial" w:hAnsi="Arial" w:cs="Arial"/>
                <w:sz w:val="22"/>
                <w:szCs w:val="22"/>
                <w:lang w:val="en-US"/>
              </w:rPr>
            </w:pPr>
            <w:r>
              <w:rPr>
                <w:rFonts w:ascii="Arial" w:hAnsi="Arial" w:cs="Arial"/>
                <w:sz w:val="22"/>
                <w:szCs w:val="22"/>
                <w:lang w:val="en-US"/>
              </w:rPr>
              <w:t>32.6 (+/-3.7)</w:t>
            </w:r>
          </w:p>
          <w:p w14:paraId="33FC2556" w14:textId="3E7A0B91" w:rsidR="00C06F83" w:rsidRDefault="00C06F83" w:rsidP="0053499B">
            <w:pPr>
              <w:rPr>
                <w:rFonts w:ascii="Arial" w:hAnsi="Arial" w:cs="Arial"/>
                <w:sz w:val="22"/>
                <w:szCs w:val="22"/>
                <w:lang w:val="en-US"/>
              </w:rPr>
            </w:pPr>
            <w:r>
              <w:rPr>
                <w:rFonts w:ascii="Arial" w:hAnsi="Arial" w:cs="Arial"/>
                <w:sz w:val="22"/>
                <w:szCs w:val="22"/>
                <w:lang w:val="en-US"/>
              </w:rPr>
              <w:t>32.4 (29.3-35.8)</w:t>
            </w:r>
          </w:p>
        </w:tc>
      </w:tr>
      <w:tr w:rsidR="00E669F1" w14:paraId="34DE07A7" w14:textId="77777777" w:rsidTr="0053499B">
        <w:tc>
          <w:tcPr>
            <w:tcW w:w="3397" w:type="dxa"/>
          </w:tcPr>
          <w:p w14:paraId="2401AF51" w14:textId="6FAF6EB2" w:rsidR="00E669F1" w:rsidRDefault="00E669F1" w:rsidP="0053499B">
            <w:pPr>
              <w:rPr>
                <w:rFonts w:ascii="Arial" w:hAnsi="Arial" w:cs="Arial"/>
                <w:sz w:val="22"/>
                <w:szCs w:val="22"/>
                <w:lang w:val="en-US"/>
              </w:rPr>
            </w:pPr>
            <w:r>
              <w:rPr>
                <w:rFonts w:ascii="Arial" w:hAnsi="Arial" w:cs="Arial"/>
                <w:sz w:val="22"/>
                <w:szCs w:val="22"/>
                <w:lang w:val="en-US"/>
              </w:rPr>
              <w:t>Sperm analysis partner</w:t>
            </w:r>
          </w:p>
          <w:p w14:paraId="0132D27E" w14:textId="2369B920" w:rsidR="00E669F1" w:rsidRDefault="00E669F1" w:rsidP="0053499B">
            <w:pPr>
              <w:rPr>
                <w:rFonts w:ascii="Arial" w:hAnsi="Arial" w:cs="Arial"/>
                <w:sz w:val="22"/>
                <w:szCs w:val="22"/>
                <w:lang w:val="en-US"/>
              </w:rPr>
            </w:pPr>
            <w:r>
              <w:rPr>
                <w:rFonts w:ascii="Arial" w:hAnsi="Arial" w:cs="Arial"/>
                <w:sz w:val="22"/>
                <w:szCs w:val="22"/>
                <w:lang w:val="en-US"/>
              </w:rPr>
              <w:t>Normal n/N (%)</w:t>
            </w:r>
          </w:p>
          <w:p w14:paraId="12EBF75D" w14:textId="2F2FA784" w:rsidR="00E669F1" w:rsidRDefault="00E669F1" w:rsidP="0053499B">
            <w:pPr>
              <w:rPr>
                <w:rFonts w:ascii="Arial" w:hAnsi="Arial" w:cs="Arial"/>
                <w:sz w:val="22"/>
                <w:szCs w:val="22"/>
                <w:lang w:val="en-US"/>
              </w:rPr>
            </w:pPr>
            <w:r>
              <w:rPr>
                <w:rFonts w:ascii="Arial" w:hAnsi="Arial" w:cs="Arial"/>
                <w:sz w:val="22"/>
                <w:szCs w:val="22"/>
                <w:lang w:val="en-US"/>
              </w:rPr>
              <w:t>Teratozoospermia n/N (%)</w:t>
            </w:r>
          </w:p>
        </w:tc>
        <w:tc>
          <w:tcPr>
            <w:tcW w:w="2832" w:type="dxa"/>
          </w:tcPr>
          <w:p w14:paraId="523A49A5" w14:textId="77777777" w:rsidR="00E669F1" w:rsidRDefault="00E669F1" w:rsidP="0053499B">
            <w:pPr>
              <w:rPr>
                <w:rFonts w:ascii="Arial" w:hAnsi="Arial" w:cs="Arial"/>
                <w:sz w:val="22"/>
                <w:szCs w:val="22"/>
                <w:lang w:val="en-US"/>
              </w:rPr>
            </w:pPr>
          </w:p>
          <w:p w14:paraId="1DD5A496" w14:textId="18E65700" w:rsidR="00E669F1" w:rsidRDefault="00E669F1" w:rsidP="0053499B">
            <w:pPr>
              <w:rPr>
                <w:rFonts w:ascii="Arial" w:hAnsi="Arial" w:cs="Arial"/>
                <w:sz w:val="22"/>
                <w:szCs w:val="22"/>
                <w:lang w:val="en-US"/>
              </w:rPr>
            </w:pPr>
            <w:r>
              <w:rPr>
                <w:rFonts w:ascii="Arial" w:hAnsi="Arial" w:cs="Arial"/>
                <w:sz w:val="22"/>
                <w:szCs w:val="22"/>
                <w:lang w:val="en-US"/>
              </w:rPr>
              <w:t>11/12 (91,7%)</w:t>
            </w:r>
          </w:p>
          <w:p w14:paraId="017D5C18" w14:textId="513337F5" w:rsidR="00E669F1" w:rsidRDefault="00E669F1" w:rsidP="0053499B">
            <w:pPr>
              <w:rPr>
                <w:rFonts w:ascii="Arial" w:hAnsi="Arial" w:cs="Arial"/>
                <w:sz w:val="22"/>
                <w:szCs w:val="22"/>
                <w:lang w:val="en-US"/>
              </w:rPr>
            </w:pPr>
            <w:r>
              <w:rPr>
                <w:rFonts w:ascii="Arial" w:hAnsi="Arial" w:cs="Arial"/>
                <w:sz w:val="22"/>
                <w:szCs w:val="22"/>
                <w:lang w:val="nl-BE"/>
              </w:rPr>
              <w:t>1/12 (8.3%)</w:t>
            </w:r>
          </w:p>
        </w:tc>
        <w:tc>
          <w:tcPr>
            <w:tcW w:w="2833" w:type="dxa"/>
          </w:tcPr>
          <w:p w14:paraId="1217A968" w14:textId="77777777" w:rsidR="00E669F1" w:rsidRDefault="00E669F1" w:rsidP="0053499B">
            <w:pPr>
              <w:rPr>
                <w:rFonts w:ascii="Arial" w:hAnsi="Arial" w:cs="Arial"/>
                <w:sz w:val="22"/>
                <w:szCs w:val="22"/>
                <w:lang w:val="en-US"/>
              </w:rPr>
            </w:pPr>
          </w:p>
          <w:p w14:paraId="411C88F1" w14:textId="4BB225BC" w:rsidR="000875C3" w:rsidRDefault="000875C3" w:rsidP="0053499B">
            <w:pPr>
              <w:rPr>
                <w:rFonts w:ascii="Arial" w:hAnsi="Arial" w:cs="Arial"/>
                <w:sz w:val="22"/>
                <w:szCs w:val="22"/>
                <w:lang w:val="en-US"/>
              </w:rPr>
            </w:pPr>
            <w:r>
              <w:rPr>
                <w:rFonts w:ascii="Arial" w:hAnsi="Arial" w:cs="Arial"/>
                <w:sz w:val="22"/>
                <w:szCs w:val="22"/>
                <w:lang w:val="en-US"/>
              </w:rPr>
              <w:t>12/13 (92.3%)</w:t>
            </w:r>
          </w:p>
          <w:p w14:paraId="4142A5C3" w14:textId="49AC83E7" w:rsidR="000875C3" w:rsidRDefault="000875C3" w:rsidP="0053499B">
            <w:pPr>
              <w:rPr>
                <w:rFonts w:ascii="Arial" w:hAnsi="Arial" w:cs="Arial"/>
                <w:sz w:val="22"/>
                <w:szCs w:val="22"/>
                <w:lang w:val="en-US"/>
              </w:rPr>
            </w:pPr>
            <w:r>
              <w:rPr>
                <w:rFonts w:ascii="Arial" w:hAnsi="Arial" w:cs="Arial"/>
                <w:sz w:val="22"/>
                <w:szCs w:val="22"/>
                <w:lang w:val="en-US"/>
              </w:rPr>
              <w:t>1/13 (7.7%)</w:t>
            </w:r>
          </w:p>
        </w:tc>
      </w:tr>
      <w:tr w:rsidR="00D664C2" w14:paraId="5B31C640" w14:textId="77777777" w:rsidTr="0053499B">
        <w:tc>
          <w:tcPr>
            <w:tcW w:w="3397" w:type="dxa"/>
          </w:tcPr>
          <w:p w14:paraId="12968DDB" w14:textId="7EBE5E30" w:rsidR="00D664C2" w:rsidRDefault="0053499B" w:rsidP="0053499B">
            <w:pPr>
              <w:rPr>
                <w:rFonts w:ascii="Arial" w:hAnsi="Arial" w:cs="Arial"/>
                <w:sz w:val="22"/>
                <w:szCs w:val="22"/>
                <w:lang w:val="en-US"/>
              </w:rPr>
            </w:pPr>
            <w:r>
              <w:rPr>
                <w:rFonts w:ascii="Arial" w:hAnsi="Arial" w:cs="Arial"/>
                <w:sz w:val="22"/>
                <w:szCs w:val="22"/>
                <w:lang w:val="en-US"/>
              </w:rPr>
              <w:t>BMI</w:t>
            </w:r>
          </w:p>
          <w:p w14:paraId="09ABABDB" w14:textId="77777777" w:rsidR="00C06F83" w:rsidRDefault="00C06F83" w:rsidP="00C06F83">
            <w:pPr>
              <w:rPr>
                <w:rFonts w:ascii="Arial" w:hAnsi="Arial" w:cs="Arial"/>
                <w:sz w:val="22"/>
                <w:szCs w:val="22"/>
                <w:lang w:val="en-US"/>
              </w:rPr>
            </w:pPr>
            <w:r>
              <w:rPr>
                <w:rFonts w:ascii="Arial" w:hAnsi="Arial" w:cs="Arial"/>
                <w:sz w:val="22"/>
                <w:szCs w:val="22"/>
                <w:lang w:val="en-US"/>
              </w:rPr>
              <w:t>Mean (+/- SD)</w:t>
            </w:r>
          </w:p>
          <w:p w14:paraId="578E1B23" w14:textId="19ECAC0C" w:rsidR="00C06F83" w:rsidRDefault="00C06F83" w:rsidP="00C06F83">
            <w:pPr>
              <w:rPr>
                <w:rFonts w:ascii="Arial" w:hAnsi="Arial" w:cs="Arial"/>
                <w:sz w:val="22"/>
                <w:szCs w:val="22"/>
                <w:lang w:val="en-US"/>
              </w:rPr>
            </w:pPr>
            <w:r>
              <w:rPr>
                <w:rFonts w:ascii="Arial" w:hAnsi="Arial" w:cs="Arial"/>
                <w:sz w:val="22"/>
                <w:szCs w:val="22"/>
                <w:lang w:val="en-US"/>
              </w:rPr>
              <w:t>Median (IQR)</w:t>
            </w:r>
          </w:p>
        </w:tc>
        <w:tc>
          <w:tcPr>
            <w:tcW w:w="2832" w:type="dxa"/>
          </w:tcPr>
          <w:p w14:paraId="67DACF6E" w14:textId="77777777" w:rsidR="00D664C2" w:rsidRDefault="00D664C2" w:rsidP="0053499B">
            <w:pPr>
              <w:rPr>
                <w:rFonts w:ascii="Arial" w:hAnsi="Arial" w:cs="Arial"/>
                <w:sz w:val="22"/>
                <w:szCs w:val="22"/>
                <w:lang w:val="en-US"/>
              </w:rPr>
            </w:pPr>
          </w:p>
          <w:p w14:paraId="50548FFE" w14:textId="77777777" w:rsidR="00C06F83" w:rsidRDefault="00C06F83" w:rsidP="0053499B">
            <w:pPr>
              <w:rPr>
                <w:rFonts w:ascii="Arial" w:hAnsi="Arial" w:cs="Arial"/>
                <w:sz w:val="22"/>
                <w:szCs w:val="22"/>
                <w:lang w:val="en-US"/>
              </w:rPr>
            </w:pPr>
            <w:r>
              <w:rPr>
                <w:rFonts w:ascii="Arial" w:hAnsi="Arial" w:cs="Arial"/>
                <w:sz w:val="22"/>
                <w:szCs w:val="22"/>
                <w:lang w:val="en-US"/>
              </w:rPr>
              <w:t>22.7 (+/-3.5)</w:t>
            </w:r>
          </w:p>
          <w:p w14:paraId="01B3FA24" w14:textId="3D8E0456" w:rsidR="00C06F83" w:rsidRDefault="00C06F83" w:rsidP="0053499B">
            <w:pPr>
              <w:rPr>
                <w:rFonts w:ascii="Arial" w:hAnsi="Arial" w:cs="Arial"/>
                <w:sz w:val="22"/>
                <w:szCs w:val="22"/>
                <w:lang w:val="en-US"/>
              </w:rPr>
            </w:pPr>
            <w:r>
              <w:rPr>
                <w:rFonts w:ascii="Arial" w:hAnsi="Arial" w:cs="Arial"/>
                <w:sz w:val="22"/>
                <w:szCs w:val="22"/>
                <w:lang w:val="en-US"/>
              </w:rPr>
              <w:t>22.2 (20.5-23.8)</w:t>
            </w:r>
          </w:p>
        </w:tc>
        <w:tc>
          <w:tcPr>
            <w:tcW w:w="2833" w:type="dxa"/>
          </w:tcPr>
          <w:p w14:paraId="0C492313" w14:textId="77777777" w:rsidR="00D664C2" w:rsidRDefault="00D664C2" w:rsidP="0053499B">
            <w:pPr>
              <w:rPr>
                <w:rFonts w:ascii="Arial" w:hAnsi="Arial" w:cs="Arial"/>
                <w:sz w:val="22"/>
                <w:szCs w:val="22"/>
                <w:lang w:val="en-US"/>
              </w:rPr>
            </w:pPr>
          </w:p>
          <w:p w14:paraId="6CD33C7B" w14:textId="77777777" w:rsidR="00C06F83" w:rsidRDefault="00C06F83" w:rsidP="0053499B">
            <w:pPr>
              <w:rPr>
                <w:rFonts w:ascii="Arial" w:hAnsi="Arial" w:cs="Arial"/>
                <w:sz w:val="22"/>
                <w:szCs w:val="22"/>
                <w:lang w:val="en-US"/>
              </w:rPr>
            </w:pPr>
            <w:r>
              <w:rPr>
                <w:rFonts w:ascii="Arial" w:hAnsi="Arial" w:cs="Arial"/>
                <w:sz w:val="22"/>
                <w:szCs w:val="22"/>
                <w:lang w:val="en-US"/>
              </w:rPr>
              <w:t>23.3 (+/-4.87)</w:t>
            </w:r>
          </w:p>
          <w:p w14:paraId="708FE42F" w14:textId="4984033E" w:rsidR="00C06F83" w:rsidRDefault="00C06F83" w:rsidP="0053499B">
            <w:pPr>
              <w:rPr>
                <w:rFonts w:ascii="Arial" w:hAnsi="Arial" w:cs="Arial"/>
                <w:sz w:val="22"/>
                <w:szCs w:val="22"/>
                <w:lang w:val="en-US"/>
              </w:rPr>
            </w:pPr>
            <w:r>
              <w:rPr>
                <w:rFonts w:ascii="Arial" w:hAnsi="Arial" w:cs="Arial"/>
                <w:sz w:val="22"/>
                <w:szCs w:val="22"/>
                <w:lang w:val="en-US"/>
              </w:rPr>
              <w:t>21.5 (20.2-25.6)</w:t>
            </w:r>
          </w:p>
        </w:tc>
      </w:tr>
      <w:tr w:rsidR="00D664C2" w14:paraId="27EC59AB" w14:textId="77777777" w:rsidTr="0053499B">
        <w:tc>
          <w:tcPr>
            <w:tcW w:w="3397" w:type="dxa"/>
          </w:tcPr>
          <w:p w14:paraId="1F8F7AAA" w14:textId="1300F2CA" w:rsidR="00D664C2" w:rsidRDefault="0053499B" w:rsidP="0053499B">
            <w:pPr>
              <w:rPr>
                <w:rFonts w:ascii="Arial" w:hAnsi="Arial" w:cs="Arial"/>
                <w:sz w:val="22"/>
                <w:szCs w:val="22"/>
                <w:lang w:val="en-US"/>
              </w:rPr>
            </w:pPr>
            <w:r>
              <w:rPr>
                <w:rFonts w:ascii="Arial" w:hAnsi="Arial" w:cs="Arial"/>
                <w:sz w:val="22"/>
                <w:szCs w:val="22"/>
                <w:lang w:val="en-US"/>
              </w:rPr>
              <w:t xml:space="preserve">Current smoker </w:t>
            </w:r>
            <w:r w:rsidR="00C06F83">
              <w:rPr>
                <w:rFonts w:ascii="Arial" w:hAnsi="Arial" w:cs="Arial"/>
                <w:sz w:val="22"/>
                <w:szCs w:val="22"/>
                <w:lang w:val="en-US"/>
              </w:rPr>
              <w:t xml:space="preserve">n/N </w:t>
            </w:r>
            <w:r>
              <w:rPr>
                <w:rFonts w:ascii="Arial" w:hAnsi="Arial" w:cs="Arial"/>
                <w:sz w:val="22"/>
                <w:szCs w:val="22"/>
                <w:lang w:val="en-US"/>
              </w:rPr>
              <w:t>(%)</w:t>
            </w:r>
          </w:p>
        </w:tc>
        <w:tc>
          <w:tcPr>
            <w:tcW w:w="2832" w:type="dxa"/>
          </w:tcPr>
          <w:p w14:paraId="5E61976F" w14:textId="7C29E35E" w:rsidR="00D664C2" w:rsidRDefault="00C06F83" w:rsidP="00C06F83">
            <w:pPr>
              <w:rPr>
                <w:rFonts w:ascii="Arial" w:hAnsi="Arial" w:cs="Arial"/>
                <w:sz w:val="22"/>
                <w:szCs w:val="22"/>
                <w:lang w:val="en-US"/>
              </w:rPr>
            </w:pPr>
            <w:r w:rsidRPr="00C06F83">
              <w:rPr>
                <w:rFonts w:ascii="Arial" w:hAnsi="Arial" w:cs="Arial"/>
                <w:sz w:val="22"/>
                <w:szCs w:val="22"/>
                <w:lang w:val="en-US"/>
              </w:rPr>
              <w:t>3/12 (25%)</w:t>
            </w:r>
          </w:p>
        </w:tc>
        <w:tc>
          <w:tcPr>
            <w:tcW w:w="2833" w:type="dxa"/>
          </w:tcPr>
          <w:p w14:paraId="60FB68B2" w14:textId="3A02A857" w:rsidR="00D664C2" w:rsidRDefault="00C06F83" w:rsidP="00C06F83">
            <w:pPr>
              <w:rPr>
                <w:rFonts w:ascii="Arial" w:hAnsi="Arial" w:cs="Arial"/>
                <w:sz w:val="22"/>
                <w:szCs w:val="22"/>
                <w:lang w:val="en-US"/>
              </w:rPr>
            </w:pPr>
            <w:r w:rsidRPr="00C06F83">
              <w:rPr>
                <w:rFonts w:ascii="Arial" w:hAnsi="Arial" w:cs="Arial"/>
                <w:sz w:val="22"/>
                <w:szCs w:val="22"/>
                <w:lang w:val="en-US"/>
              </w:rPr>
              <w:t>1/13 (7.</w:t>
            </w:r>
            <w:r>
              <w:rPr>
                <w:rFonts w:ascii="Arial" w:hAnsi="Arial" w:cs="Arial"/>
                <w:sz w:val="22"/>
                <w:szCs w:val="22"/>
                <w:lang w:val="en-US"/>
              </w:rPr>
              <w:t>7</w:t>
            </w:r>
            <w:r w:rsidRPr="00C06F83">
              <w:rPr>
                <w:rFonts w:ascii="Arial" w:hAnsi="Arial" w:cs="Arial"/>
                <w:sz w:val="22"/>
                <w:szCs w:val="22"/>
                <w:lang w:val="en-US"/>
              </w:rPr>
              <w:t>%)</w:t>
            </w:r>
          </w:p>
        </w:tc>
      </w:tr>
      <w:tr w:rsidR="00D664C2" w14:paraId="5013A6FE" w14:textId="77777777" w:rsidTr="0053499B">
        <w:tc>
          <w:tcPr>
            <w:tcW w:w="3397" w:type="dxa"/>
          </w:tcPr>
          <w:p w14:paraId="3DF133E5" w14:textId="3D847669" w:rsidR="0053499B" w:rsidRDefault="0053499B" w:rsidP="0053499B">
            <w:pPr>
              <w:rPr>
                <w:rFonts w:ascii="Arial" w:hAnsi="Arial" w:cs="Arial"/>
                <w:sz w:val="22"/>
                <w:szCs w:val="22"/>
                <w:lang w:val="en-US"/>
              </w:rPr>
            </w:pPr>
            <w:r w:rsidRPr="00196669">
              <w:rPr>
                <w:rFonts w:ascii="Arial" w:hAnsi="Arial" w:cs="Arial"/>
                <w:sz w:val="22"/>
                <w:szCs w:val="22"/>
                <w:lang w:val="en-US"/>
              </w:rPr>
              <w:t xml:space="preserve">Endometriosis </w:t>
            </w:r>
            <w:r w:rsidR="00981162" w:rsidRPr="00196669">
              <w:rPr>
                <w:rFonts w:ascii="Arial" w:hAnsi="Arial" w:cs="Arial"/>
                <w:sz w:val="22"/>
                <w:szCs w:val="22"/>
                <w:lang w:val="en-US"/>
              </w:rPr>
              <w:t>surgery</w:t>
            </w:r>
            <w:r w:rsidRPr="00196669">
              <w:rPr>
                <w:rFonts w:ascii="Arial" w:hAnsi="Arial" w:cs="Arial"/>
                <w:sz w:val="22"/>
                <w:szCs w:val="22"/>
                <w:lang w:val="en-US"/>
              </w:rPr>
              <w:t xml:space="preserve"> type</w:t>
            </w:r>
          </w:p>
          <w:p w14:paraId="495DBC11" w14:textId="5085A182" w:rsidR="0053499B" w:rsidRDefault="00981162" w:rsidP="0053499B">
            <w:pPr>
              <w:rPr>
                <w:rFonts w:ascii="Arial" w:hAnsi="Arial" w:cs="Arial"/>
                <w:sz w:val="22"/>
                <w:szCs w:val="22"/>
                <w:lang w:val="en-US"/>
              </w:rPr>
            </w:pPr>
            <w:r>
              <w:rPr>
                <w:rFonts w:ascii="Arial" w:hAnsi="Arial" w:cs="Arial"/>
                <w:sz w:val="22"/>
                <w:szCs w:val="22"/>
                <w:lang w:val="en-US"/>
              </w:rPr>
              <w:t>Endometrioma n/N (%)</w:t>
            </w:r>
          </w:p>
          <w:p w14:paraId="047A0696" w14:textId="5F2D5C0B" w:rsidR="0053499B" w:rsidRDefault="00981162" w:rsidP="0053499B">
            <w:pPr>
              <w:rPr>
                <w:rFonts w:ascii="Arial" w:hAnsi="Arial" w:cs="Arial"/>
                <w:sz w:val="22"/>
                <w:szCs w:val="22"/>
                <w:lang w:val="en-US"/>
              </w:rPr>
            </w:pPr>
            <w:r>
              <w:rPr>
                <w:rFonts w:ascii="Arial" w:hAnsi="Arial" w:cs="Arial"/>
                <w:sz w:val="22"/>
                <w:szCs w:val="22"/>
                <w:lang w:val="en-US"/>
              </w:rPr>
              <w:t>Bowel shaving/discoid n/N (%)</w:t>
            </w:r>
          </w:p>
          <w:p w14:paraId="3138C944" w14:textId="459EFB03" w:rsidR="0053499B" w:rsidRDefault="000C3A63" w:rsidP="0053499B">
            <w:pPr>
              <w:rPr>
                <w:rFonts w:ascii="Arial" w:hAnsi="Arial" w:cs="Arial"/>
                <w:sz w:val="22"/>
                <w:szCs w:val="22"/>
                <w:lang w:val="en-US"/>
              </w:rPr>
            </w:pPr>
            <w:r>
              <w:rPr>
                <w:rFonts w:ascii="Arial" w:hAnsi="Arial" w:cs="Arial"/>
                <w:sz w:val="22"/>
                <w:szCs w:val="22"/>
                <w:lang w:val="en-US"/>
              </w:rPr>
              <w:t>Bowel resection</w:t>
            </w:r>
            <w:r w:rsidR="0053499B">
              <w:rPr>
                <w:rFonts w:ascii="Arial" w:hAnsi="Arial" w:cs="Arial"/>
                <w:sz w:val="22"/>
                <w:szCs w:val="22"/>
                <w:lang w:val="en-US"/>
              </w:rPr>
              <w:t xml:space="preserve"> n/N (%)</w:t>
            </w:r>
          </w:p>
        </w:tc>
        <w:tc>
          <w:tcPr>
            <w:tcW w:w="2832" w:type="dxa"/>
          </w:tcPr>
          <w:p w14:paraId="4D1DD54C" w14:textId="77777777" w:rsidR="00D664C2" w:rsidRDefault="00D664C2" w:rsidP="0053499B">
            <w:pPr>
              <w:rPr>
                <w:rFonts w:ascii="Arial" w:hAnsi="Arial" w:cs="Arial"/>
                <w:sz w:val="22"/>
                <w:szCs w:val="22"/>
                <w:lang w:val="en-US"/>
              </w:rPr>
            </w:pPr>
          </w:p>
          <w:p w14:paraId="49A8CAEA" w14:textId="64DFF1FE" w:rsidR="00981162" w:rsidRPr="00981162" w:rsidRDefault="00981162" w:rsidP="0053499B">
            <w:pPr>
              <w:rPr>
                <w:rFonts w:ascii="Arial" w:hAnsi="Arial" w:cs="Arial"/>
                <w:sz w:val="22"/>
                <w:szCs w:val="22"/>
                <w:lang w:val="nl-BE"/>
              </w:rPr>
            </w:pPr>
            <w:r>
              <w:rPr>
                <w:rFonts w:ascii="Arial" w:hAnsi="Arial" w:cs="Arial"/>
                <w:sz w:val="22"/>
                <w:szCs w:val="22"/>
                <w:lang w:val="en-US"/>
              </w:rPr>
              <w:t>4/12 (33</w:t>
            </w:r>
            <w:r>
              <w:rPr>
                <w:rFonts w:ascii="Arial" w:hAnsi="Arial" w:cs="Arial"/>
                <w:sz w:val="22"/>
                <w:szCs w:val="22"/>
                <w:lang w:val="nl-BE"/>
              </w:rPr>
              <w:t>.3%)</w:t>
            </w:r>
          </w:p>
          <w:p w14:paraId="4161793C" w14:textId="768FCD86" w:rsidR="00981162" w:rsidRDefault="00981162" w:rsidP="00981162">
            <w:pPr>
              <w:rPr>
                <w:rFonts w:ascii="Arial" w:hAnsi="Arial" w:cs="Arial"/>
                <w:sz w:val="22"/>
                <w:szCs w:val="22"/>
                <w:lang w:val="en-US"/>
              </w:rPr>
            </w:pPr>
            <w:r>
              <w:rPr>
                <w:rFonts w:ascii="Arial" w:hAnsi="Arial" w:cs="Arial"/>
                <w:sz w:val="22"/>
                <w:szCs w:val="22"/>
                <w:lang w:val="en-US"/>
              </w:rPr>
              <w:t>3/12 (25%)</w:t>
            </w:r>
          </w:p>
          <w:p w14:paraId="6A8E0EDE" w14:textId="7AA971E6" w:rsidR="00981162" w:rsidRDefault="00981162" w:rsidP="0053499B">
            <w:pPr>
              <w:rPr>
                <w:rFonts w:ascii="Arial" w:hAnsi="Arial" w:cs="Arial"/>
                <w:sz w:val="22"/>
                <w:szCs w:val="22"/>
                <w:lang w:val="en-US"/>
              </w:rPr>
            </w:pPr>
            <w:r>
              <w:rPr>
                <w:rFonts w:ascii="Arial" w:hAnsi="Arial" w:cs="Arial"/>
                <w:sz w:val="22"/>
                <w:szCs w:val="22"/>
                <w:lang w:val="en-US"/>
              </w:rPr>
              <w:t>2/12 (16.7%)</w:t>
            </w:r>
          </w:p>
        </w:tc>
        <w:tc>
          <w:tcPr>
            <w:tcW w:w="2833" w:type="dxa"/>
          </w:tcPr>
          <w:p w14:paraId="604CB225" w14:textId="77777777" w:rsidR="00D664C2" w:rsidRDefault="00D664C2" w:rsidP="0053499B">
            <w:pPr>
              <w:rPr>
                <w:rFonts w:ascii="Arial" w:hAnsi="Arial" w:cs="Arial"/>
                <w:sz w:val="22"/>
                <w:szCs w:val="22"/>
                <w:lang w:val="en-US"/>
              </w:rPr>
            </w:pPr>
          </w:p>
          <w:p w14:paraId="26FBE60B" w14:textId="75D0A384" w:rsidR="00196669" w:rsidRDefault="00196669" w:rsidP="0053499B">
            <w:pPr>
              <w:rPr>
                <w:rFonts w:ascii="Arial" w:hAnsi="Arial" w:cs="Arial"/>
                <w:sz w:val="22"/>
                <w:szCs w:val="22"/>
                <w:lang w:val="en-US"/>
              </w:rPr>
            </w:pPr>
            <w:r>
              <w:rPr>
                <w:rFonts w:ascii="Arial" w:hAnsi="Arial" w:cs="Arial"/>
                <w:sz w:val="22"/>
                <w:szCs w:val="22"/>
                <w:lang w:val="en-US"/>
              </w:rPr>
              <w:t>0/13 (0%)</w:t>
            </w:r>
          </w:p>
          <w:p w14:paraId="33F95486" w14:textId="647C6EF4" w:rsidR="00196669" w:rsidRDefault="00196669" w:rsidP="0053499B">
            <w:pPr>
              <w:rPr>
                <w:rFonts w:ascii="Arial" w:hAnsi="Arial" w:cs="Arial"/>
                <w:sz w:val="22"/>
                <w:szCs w:val="22"/>
                <w:lang w:val="en-US"/>
              </w:rPr>
            </w:pPr>
            <w:r>
              <w:rPr>
                <w:rFonts w:ascii="Arial" w:hAnsi="Arial" w:cs="Arial"/>
                <w:sz w:val="22"/>
                <w:szCs w:val="22"/>
                <w:lang w:val="en-US"/>
              </w:rPr>
              <w:t>1/13 (7.7%)</w:t>
            </w:r>
          </w:p>
          <w:p w14:paraId="66DD3A54" w14:textId="192F7034" w:rsidR="00196669" w:rsidRDefault="00196669" w:rsidP="0053499B">
            <w:pPr>
              <w:rPr>
                <w:rFonts w:ascii="Arial" w:hAnsi="Arial" w:cs="Arial"/>
                <w:sz w:val="22"/>
                <w:szCs w:val="22"/>
                <w:lang w:val="en-US"/>
              </w:rPr>
            </w:pPr>
            <w:r>
              <w:rPr>
                <w:rFonts w:ascii="Arial" w:hAnsi="Arial" w:cs="Arial"/>
                <w:sz w:val="22"/>
                <w:szCs w:val="22"/>
                <w:lang w:val="en-US"/>
              </w:rPr>
              <w:t>1/13 (7.7%)</w:t>
            </w:r>
          </w:p>
        </w:tc>
      </w:tr>
      <w:tr w:rsidR="000875C3" w14:paraId="272F267F" w14:textId="77777777" w:rsidTr="0053499B">
        <w:tc>
          <w:tcPr>
            <w:tcW w:w="3397" w:type="dxa"/>
          </w:tcPr>
          <w:p w14:paraId="779605E0" w14:textId="3CE27C90" w:rsidR="000875C3" w:rsidRPr="00196669" w:rsidRDefault="000875C3" w:rsidP="0053499B">
            <w:pPr>
              <w:rPr>
                <w:rFonts w:ascii="Arial" w:hAnsi="Arial" w:cs="Arial"/>
                <w:sz w:val="22"/>
                <w:szCs w:val="22"/>
                <w:lang w:val="en-US"/>
              </w:rPr>
            </w:pPr>
            <w:r>
              <w:rPr>
                <w:rFonts w:ascii="Arial" w:hAnsi="Arial" w:cs="Arial"/>
                <w:sz w:val="22"/>
                <w:szCs w:val="22"/>
                <w:lang w:val="en-US"/>
              </w:rPr>
              <w:t>Adenomyosis n/N (%)</w:t>
            </w:r>
          </w:p>
        </w:tc>
        <w:tc>
          <w:tcPr>
            <w:tcW w:w="2832" w:type="dxa"/>
          </w:tcPr>
          <w:p w14:paraId="516C6C64" w14:textId="05710FB1" w:rsidR="000875C3" w:rsidRDefault="000875C3" w:rsidP="0053499B">
            <w:pPr>
              <w:rPr>
                <w:rFonts w:ascii="Arial" w:hAnsi="Arial" w:cs="Arial"/>
                <w:sz w:val="22"/>
                <w:szCs w:val="22"/>
                <w:lang w:val="en-US"/>
              </w:rPr>
            </w:pPr>
            <w:r>
              <w:rPr>
                <w:rFonts w:ascii="Arial" w:hAnsi="Arial" w:cs="Arial"/>
                <w:sz w:val="22"/>
                <w:szCs w:val="22"/>
                <w:lang w:val="en-US"/>
              </w:rPr>
              <w:t>0/12 (0%)</w:t>
            </w:r>
          </w:p>
        </w:tc>
        <w:tc>
          <w:tcPr>
            <w:tcW w:w="2833" w:type="dxa"/>
          </w:tcPr>
          <w:p w14:paraId="478728A5" w14:textId="7AE0068F" w:rsidR="000875C3" w:rsidRDefault="000875C3" w:rsidP="0053499B">
            <w:pPr>
              <w:rPr>
                <w:rFonts w:ascii="Arial" w:hAnsi="Arial" w:cs="Arial"/>
                <w:sz w:val="22"/>
                <w:szCs w:val="22"/>
                <w:lang w:val="en-US"/>
              </w:rPr>
            </w:pPr>
            <w:r>
              <w:rPr>
                <w:rFonts w:ascii="Arial" w:hAnsi="Arial" w:cs="Arial"/>
                <w:sz w:val="22"/>
                <w:szCs w:val="22"/>
                <w:lang w:val="en-US"/>
              </w:rPr>
              <w:t>0/13 (0%)</w:t>
            </w:r>
          </w:p>
        </w:tc>
      </w:tr>
      <w:tr w:rsidR="0053499B" w14:paraId="6752AF59" w14:textId="77777777" w:rsidTr="0053499B">
        <w:tc>
          <w:tcPr>
            <w:tcW w:w="3397" w:type="dxa"/>
          </w:tcPr>
          <w:p w14:paraId="70D1DF4A" w14:textId="28B50A51" w:rsidR="0053499B" w:rsidRPr="00196669" w:rsidRDefault="0053499B" w:rsidP="0053499B">
            <w:pPr>
              <w:rPr>
                <w:rFonts w:ascii="Arial" w:hAnsi="Arial" w:cs="Arial"/>
                <w:sz w:val="22"/>
                <w:szCs w:val="22"/>
                <w:lang w:val="en-US"/>
              </w:rPr>
            </w:pPr>
            <w:r w:rsidRPr="00196669">
              <w:rPr>
                <w:rFonts w:ascii="Arial" w:hAnsi="Arial" w:cs="Arial"/>
                <w:sz w:val="22"/>
                <w:szCs w:val="22"/>
                <w:lang w:val="en-US"/>
              </w:rPr>
              <w:t>rASRM stage</w:t>
            </w:r>
          </w:p>
          <w:p w14:paraId="6D7A0BFF" w14:textId="31C0E088" w:rsidR="0053499B" w:rsidRDefault="0053499B" w:rsidP="0053499B">
            <w:pPr>
              <w:rPr>
                <w:rFonts w:ascii="Arial" w:hAnsi="Arial" w:cs="Arial"/>
                <w:sz w:val="22"/>
                <w:szCs w:val="22"/>
                <w:lang w:val="en-US"/>
              </w:rPr>
            </w:pPr>
            <w:r w:rsidRPr="00196669">
              <w:rPr>
                <w:rFonts w:ascii="Arial" w:hAnsi="Arial" w:cs="Arial"/>
                <w:sz w:val="22"/>
                <w:szCs w:val="22"/>
                <w:lang w:val="en-US"/>
              </w:rPr>
              <w:t>I n/N (%)</w:t>
            </w:r>
          </w:p>
          <w:p w14:paraId="55F3EA72" w14:textId="7836AE86" w:rsidR="0053499B" w:rsidRPr="00981162" w:rsidRDefault="0053499B" w:rsidP="0053499B">
            <w:pPr>
              <w:rPr>
                <w:rFonts w:ascii="Arial" w:hAnsi="Arial" w:cs="Arial"/>
                <w:sz w:val="22"/>
                <w:szCs w:val="22"/>
                <w:lang w:val="nl-BE"/>
              </w:rPr>
            </w:pPr>
            <w:r w:rsidRPr="00981162">
              <w:rPr>
                <w:rFonts w:ascii="Arial" w:hAnsi="Arial" w:cs="Arial"/>
                <w:sz w:val="22"/>
                <w:szCs w:val="22"/>
                <w:lang w:val="nl-BE"/>
              </w:rPr>
              <w:t>II n/N (%)</w:t>
            </w:r>
          </w:p>
          <w:p w14:paraId="01944652" w14:textId="72DA4E7C" w:rsidR="0053499B" w:rsidRPr="00981162" w:rsidRDefault="0053499B" w:rsidP="0053499B">
            <w:pPr>
              <w:rPr>
                <w:rFonts w:ascii="Arial" w:hAnsi="Arial" w:cs="Arial"/>
                <w:sz w:val="22"/>
                <w:szCs w:val="22"/>
                <w:lang w:val="nl-BE"/>
              </w:rPr>
            </w:pPr>
            <w:r w:rsidRPr="00981162">
              <w:rPr>
                <w:rFonts w:ascii="Arial" w:hAnsi="Arial" w:cs="Arial"/>
                <w:sz w:val="22"/>
                <w:szCs w:val="22"/>
                <w:lang w:val="nl-BE"/>
              </w:rPr>
              <w:t>III n/N (%)</w:t>
            </w:r>
          </w:p>
          <w:p w14:paraId="6B56F6F3" w14:textId="2D15D12E" w:rsidR="0053499B" w:rsidRPr="00981162" w:rsidRDefault="0053499B" w:rsidP="0053499B">
            <w:pPr>
              <w:rPr>
                <w:rFonts w:ascii="Arial" w:hAnsi="Arial" w:cs="Arial"/>
                <w:sz w:val="22"/>
                <w:szCs w:val="22"/>
                <w:lang w:val="nl-BE"/>
              </w:rPr>
            </w:pPr>
            <w:r w:rsidRPr="00981162">
              <w:rPr>
                <w:rFonts w:ascii="Arial" w:hAnsi="Arial" w:cs="Arial"/>
                <w:sz w:val="22"/>
                <w:szCs w:val="22"/>
                <w:lang w:val="nl-BE"/>
              </w:rPr>
              <w:t>IV n/N (%)</w:t>
            </w:r>
          </w:p>
        </w:tc>
        <w:tc>
          <w:tcPr>
            <w:tcW w:w="2832" w:type="dxa"/>
          </w:tcPr>
          <w:p w14:paraId="4CDCBAFC" w14:textId="77777777" w:rsidR="0053499B" w:rsidRDefault="0053499B" w:rsidP="0053499B">
            <w:pPr>
              <w:rPr>
                <w:rFonts w:ascii="Arial" w:hAnsi="Arial" w:cs="Arial"/>
                <w:sz w:val="22"/>
                <w:szCs w:val="22"/>
                <w:lang w:val="nl-BE"/>
              </w:rPr>
            </w:pPr>
          </w:p>
          <w:p w14:paraId="1BEACACE" w14:textId="71A21612" w:rsidR="00981162" w:rsidRDefault="00981162" w:rsidP="0053499B">
            <w:pPr>
              <w:rPr>
                <w:rFonts w:ascii="Arial" w:hAnsi="Arial" w:cs="Arial"/>
                <w:sz w:val="22"/>
                <w:szCs w:val="22"/>
                <w:lang w:val="nl-BE"/>
              </w:rPr>
            </w:pPr>
            <w:r>
              <w:rPr>
                <w:rFonts w:ascii="Arial" w:hAnsi="Arial" w:cs="Arial"/>
                <w:sz w:val="22"/>
                <w:szCs w:val="22"/>
                <w:lang w:val="nl-BE"/>
              </w:rPr>
              <w:t>2/12 (16.7%)</w:t>
            </w:r>
          </w:p>
          <w:p w14:paraId="303C841A" w14:textId="46AE182C" w:rsidR="00981162" w:rsidRDefault="00981162" w:rsidP="0053499B">
            <w:pPr>
              <w:rPr>
                <w:rFonts w:ascii="Arial" w:hAnsi="Arial" w:cs="Arial"/>
                <w:sz w:val="22"/>
                <w:szCs w:val="22"/>
                <w:lang w:val="nl-BE"/>
              </w:rPr>
            </w:pPr>
            <w:r>
              <w:rPr>
                <w:rFonts w:ascii="Arial" w:hAnsi="Arial" w:cs="Arial"/>
                <w:sz w:val="22"/>
                <w:szCs w:val="22"/>
                <w:lang w:val="nl-BE"/>
              </w:rPr>
              <w:t xml:space="preserve">5/12 </w:t>
            </w:r>
            <w:r w:rsidR="00711888">
              <w:rPr>
                <w:rFonts w:ascii="Arial" w:hAnsi="Arial" w:cs="Arial"/>
                <w:sz w:val="22"/>
                <w:szCs w:val="22"/>
                <w:lang w:val="nl-BE"/>
              </w:rPr>
              <w:t>(41.7%)</w:t>
            </w:r>
          </w:p>
          <w:p w14:paraId="13BFA4CD" w14:textId="6CF750BB" w:rsidR="00981162" w:rsidRDefault="00981162" w:rsidP="0053499B">
            <w:pPr>
              <w:rPr>
                <w:rFonts w:ascii="Arial" w:hAnsi="Arial" w:cs="Arial"/>
                <w:sz w:val="22"/>
                <w:szCs w:val="22"/>
                <w:lang w:val="nl-BE"/>
              </w:rPr>
            </w:pPr>
            <w:r>
              <w:rPr>
                <w:rFonts w:ascii="Arial" w:hAnsi="Arial" w:cs="Arial"/>
                <w:sz w:val="22"/>
                <w:szCs w:val="22"/>
                <w:lang w:val="nl-BE"/>
              </w:rPr>
              <w:t>0/12</w:t>
            </w:r>
            <w:r w:rsidR="00711888">
              <w:rPr>
                <w:rFonts w:ascii="Arial" w:hAnsi="Arial" w:cs="Arial"/>
                <w:sz w:val="22"/>
                <w:szCs w:val="22"/>
                <w:lang w:val="nl-BE"/>
              </w:rPr>
              <w:t xml:space="preserve"> (0%)</w:t>
            </w:r>
          </w:p>
          <w:p w14:paraId="024CA98A" w14:textId="0976CAA3" w:rsidR="00981162" w:rsidRPr="00981162" w:rsidRDefault="00981162" w:rsidP="0053499B">
            <w:pPr>
              <w:rPr>
                <w:rFonts w:ascii="Arial" w:hAnsi="Arial" w:cs="Arial"/>
                <w:sz w:val="22"/>
                <w:szCs w:val="22"/>
                <w:lang w:val="nl-BE"/>
              </w:rPr>
            </w:pPr>
            <w:r>
              <w:rPr>
                <w:rFonts w:ascii="Arial" w:hAnsi="Arial" w:cs="Arial"/>
                <w:sz w:val="22"/>
                <w:szCs w:val="22"/>
                <w:lang w:val="nl-BE"/>
              </w:rPr>
              <w:t>5/12</w:t>
            </w:r>
            <w:r w:rsidR="00711888">
              <w:rPr>
                <w:rFonts w:ascii="Arial" w:hAnsi="Arial" w:cs="Arial"/>
                <w:sz w:val="22"/>
                <w:szCs w:val="22"/>
                <w:lang w:val="nl-BE"/>
              </w:rPr>
              <w:t xml:space="preserve"> (41.7%)</w:t>
            </w:r>
          </w:p>
        </w:tc>
        <w:tc>
          <w:tcPr>
            <w:tcW w:w="2833" w:type="dxa"/>
          </w:tcPr>
          <w:p w14:paraId="3BAC3BF4" w14:textId="77777777" w:rsidR="0053499B" w:rsidRDefault="0053499B" w:rsidP="0053499B">
            <w:pPr>
              <w:rPr>
                <w:rFonts w:ascii="Arial" w:hAnsi="Arial" w:cs="Arial"/>
                <w:sz w:val="22"/>
                <w:szCs w:val="22"/>
                <w:lang w:val="nl-BE"/>
              </w:rPr>
            </w:pPr>
          </w:p>
          <w:p w14:paraId="0066FE5C" w14:textId="3114632D" w:rsidR="00196669" w:rsidRDefault="00196669" w:rsidP="0053499B">
            <w:pPr>
              <w:rPr>
                <w:rFonts w:ascii="Arial" w:hAnsi="Arial" w:cs="Arial"/>
                <w:sz w:val="22"/>
                <w:szCs w:val="22"/>
                <w:lang w:val="nl-BE"/>
              </w:rPr>
            </w:pPr>
            <w:r>
              <w:rPr>
                <w:rFonts w:ascii="Arial" w:hAnsi="Arial" w:cs="Arial"/>
                <w:sz w:val="22"/>
                <w:szCs w:val="22"/>
                <w:lang w:val="nl-BE"/>
              </w:rPr>
              <w:t>4/13 (30.7%)</w:t>
            </w:r>
          </w:p>
          <w:p w14:paraId="389084AE" w14:textId="7F34755D" w:rsidR="00196669" w:rsidRDefault="00196669" w:rsidP="0053499B">
            <w:pPr>
              <w:rPr>
                <w:rFonts w:ascii="Arial" w:hAnsi="Arial" w:cs="Arial"/>
                <w:sz w:val="22"/>
                <w:szCs w:val="22"/>
                <w:lang w:val="nl-BE"/>
              </w:rPr>
            </w:pPr>
            <w:r>
              <w:rPr>
                <w:rFonts w:ascii="Arial" w:hAnsi="Arial" w:cs="Arial"/>
                <w:sz w:val="22"/>
                <w:szCs w:val="22"/>
                <w:lang w:val="nl-BE"/>
              </w:rPr>
              <w:t>5/13 (38.6%)</w:t>
            </w:r>
          </w:p>
          <w:p w14:paraId="06797510" w14:textId="4AE5879E" w:rsidR="00196669" w:rsidRDefault="00196669" w:rsidP="0053499B">
            <w:pPr>
              <w:rPr>
                <w:rFonts w:ascii="Arial" w:hAnsi="Arial" w:cs="Arial"/>
                <w:sz w:val="22"/>
                <w:szCs w:val="22"/>
                <w:lang w:val="nl-BE"/>
              </w:rPr>
            </w:pPr>
            <w:r>
              <w:rPr>
                <w:rFonts w:ascii="Arial" w:hAnsi="Arial" w:cs="Arial"/>
                <w:sz w:val="22"/>
                <w:szCs w:val="22"/>
                <w:lang w:val="nl-BE"/>
              </w:rPr>
              <w:t>1/13 (7.7%)</w:t>
            </w:r>
          </w:p>
          <w:p w14:paraId="5210BDEB" w14:textId="62909263" w:rsidR="00196669" w:rsidRPr="00981162" w:rsidRDefault="00196669" w:rsidP="0053499B">
            <w:pPr>
              <w:rPr>
                <w:rFonts w:ascii="Arial" w:hAnsi="Arial" w:cs="Arial"/>
                <w:sz w:val="22"/>
                <w:szCs w:val="22"/>
                <w:lang w:val="nl-BE"/>
              </w:rPr>
            </w:pPr>
            <w:r>
              <w:rPr>
                <w:rFonts w:ascii="Arial" w:hAnsi="Arial" w:cs="Arial"/>
                <w:sz w:val="22"/>
                <w:szCs w:val="22"/>
                <w:lang w:val="nl-BE"/>
              </w:rPr>
              <w:t>3/13 (13%)</w:t>
            </w:r>
          </w:p>
        </w:tc>
      </w:tr>
      <w:tr w:rsidR="0053499B" w:rsidRPr="0053499B" w14:paraId="369244EC" w14:textId="77777777" w:rsidTr="0053499B">
        <w:tc>
          <w:tcPr>
            <w:tcW w:w="3397" w:type="dxa"/>
          </w:tcPr>
          <w:p w14:paraId="2AD8DB9B" w14:textId="7C8C8BE6" w:rsidR="0053499B" w:rsidRPr="009D426D" w:rsidRDefault="0053499B" w:rsidP="0053499B">
            <w:pPr>
              <w:rPr>
                <w:rFonts w:ascii="Arial" w:hAnsi="Arial" w:cs="Arial"/>
                <w:sz w:val="22"/>
                <w:szCs w:val="22"/>
                <w:lang w:val="en-US"/>
              </w:rPr>
            </w:pPr>
            <w:r w:rsidRPr="009D426D">
              <w:rPr>
                <w:rFonts w:ascii="Arial" w:hAnsi="Arial" w:cs="Arial"/>
                <w:sz w:val="22"/>
                <w:szCs w:val="22"/>
                <w:lang w:val="en-US"/>
              </w:rPr>
              <w:t>EFI</w:t>
            </w:r>
            <w:r w:rsidR="00711888" w:rsidRPr="009D426D">
              <w:rPr>
                <w:rFonts w:ascii="Arial" w:hAnsi="Arial" w:cs="Arial"/>
                <w:sz w:val="22"/>
                <w:szCs w:val="22"/>
                <w:lang w:val="en-US"/>
              </w:rPr>
              <w:t xml:space="preserve"> score</w:t>
            </w:r>
          </w:p>
          <w:p w14:paraId="0AD48F10" w14:textId="3D1EB1AC" w:rsidR="0053499B" w:rsidRPr="009D426D" w:rsidRDefault="0053499B" w:rsidP="0053499B">
            <w:pPr>
              <w:rPr>
                <w:rFonts w:ascii="Arial" w:hAnsi="Arial" w:cs="Arial"/>
                <w:sz w:val="22"/>
                <w:szCs w:val="22"/>
                <w:lang w:val="en-US"/>
              </w:rPr>
            </w:pPr>
            <w:r w:rsidRPr="009D426D">
              <w:rPr>
                <w:rFonts w:ascii="Arial" w:hAnsi="Arial" w:cs="Arial"/>
                <w:sz w:val="22"/>
                <w:szCs w:val="22"/>
                <w:lang w:val="en-US"/>
              </w:rPr>
              <w:t>7 n/N (%)</w:t>
            </w:r>
          </w:p>
          <w:p w14:paraId="7179756B" w14:textId="0684DB0E" w:rsidR="0053499B" w:rsidRPr="009D426D" w:rsidRDefault="0053499B" w:rsidP="0053499B">
            <w:pPr>
              <w:rPr>
                <w:rFonts w:ascii="Arial" w:hAnsi="Arial" w:cs="Arial"/>
                <w:sz w:val="22"/>
                <w:szCs w:val="22"/>
                <w:lang w:val="en-US"/>
              </w:rPr>
            </w:pPr>
            <w:r w:rsidRPr="009D426D">
              <w:rPr>
                <w:rFonts w:ascii="Arial" w:hAnsi="Arial" w:cs="Arial"/>
                <w:sz w:val="22"/>
                <w:szCs w:val="22"/>
                <w:lang w:val="en-US"/>
              </w:rPr>
              <w:t>8 n/N (%)</w:t>
            </w:r>
          </w:p>
          <w:p w14:paraId="0BB821F3" w14:textId="328EB088" w:rsidR="0053499B" w:rsidRPr="0053499B" w:rsidRDefault="0053499B" w:rsidP="0053499B">
            <w:pPr>
              <w:rPr>
                <w:rFonts w:ascii="Arial" w:hAnsi="Arial" w:cs="Arial"/>
                <w:sz w:val="22"/>
                <w:szCs w:val="22"/>
                <w:lang w:val="nl-BE"/>
              </w:rPr>
            </w:pPr>
            <w:r w:rsidRPr="0053499B">
              <w:rPr>
                <w:rFonts w:ascii="Arial" w:hAnsi="Arial" w:cs="Arial"/>
                <w:sz w:val="22"/>
                <w:szCs w:val="22"/>
                <w:lang w:val="nl-BE"/>
              </w:rPr>
              <w:t>9 n/N (%)</w:t>
            </w:r>
          </w:p>
          <w:p w14:paraId="283CE099" w14:textId="4787749D" w:rsidR="0053499B" w:rsidRPr="0053499B" w:rsidRDefault="0053499B" w:rsidP="0053499B">
            <w:pPr>
              <w:rPr>
                <w:rFonts w:ascii="Arial" w:hAnsi="Arial" w:cs="Arial"/>
                <w:sz w:val="22"/>
                <w:szCs w:val="22"/>
                <w:lang w:val="nl-BE"/>
              </w:rPr>
            </w:pPr>
            <w:r w:rsidRPr="0053499B">
              <w:rPr>
                <w:rFonts w:ascii="Arial" w:hAnsi="Arial" w:cs="Arial"/>
                <w:sz w:val="22"/>
                <w:szCs w:val="22"/>
                <w:lang w:val="nl-BE"/>
              </w:rPr>
              <w:t>10 n/N (%)</w:t>
            </w:r>
          </w:p>
        </w:tc>
        <w:tc>
          <w:tcPr>
            <w:tcW w:w="2832" w:type="dxa"/>
          </w:tcPr>
          <w:p w14:paraId="12BAAE2B" w14:textId="77777777" w:rsidR="00981162" w:rsidRDefault="00981162" w:rsidP="0053499B">
            <w:pPr>
              <w:rPr>
                <w:rFonts w:ascii="Arial" w:hAnsi="Arial" w:cs="Arial"/>
                <w:sz w:val="22"/>
                <w:szCs w:val="22"/>
                <w:lang w:val="nl-BE"/>
              </w:rPr>
            </w:pPr>
          </w:p>
          <w:p w14:paraId="0D51661E" w14:textId="6B736D9C" w:rsidR="00981162" w:rsidRDefault="00981162" w:rsidP="0053499B">
            <w:pPr>
              <w:rPr>
                <w:rFonts w:ascii="Arial" w:hAnsi="Arial" w:cs="Arial"/>
                <w:sz w:val="22"/>
                <w:szCs w:val="22"/>
                <w:lang w:val="nl-BE"/>
              </w:rPr>
            </w:pPr>
            <w:r>
              <w:rPr>
                <w:rFonts w:ascii="Arial" w:hAnsi="Arial" w:cs="Arial"/>
                <w:sz w:val="22"/>
                <w:szCs w:val="22"/>
                <w:lang w:val="nl-BE"/>
              </w:rPr>
              <w:t>3/12</w:t>
            </w:r>
            <w:r w:rsidR="00711888">
              <w:rPr>
                <w:rFonts w:ascii="Arial" w:hAnsi="Arial" w:cs="Arial"/>
                <w:sz w:val="22"/>
                <w:szCs w:val="22"/>
                <w:lang w:val="nl-BE"/>
              </w:rPr>
              <w:t xml:space="preserve"> (25%)</w:t>
            </w:r>
          </w:p>
          <w:p w14:paraId="1D59AA2F" w14:textId="35EEAD84" w:rsidR="00981162" w:rsidRDefault="00981162" w:rsidP="0053499B">
            <w:pPr>
              <w:rPr>
                <w:rFonts w:ascii="Arial" w:hAnsi="Arial" w:cs="Arial"/>
                <w:sz w:val="22"/>
                <w:szCs w:val="22"/>
                <w:lang w:val="nl-BE"/>
              </w:rPr>
            </w:pPr>
            <w:r>
              <w:rPr>
                <w:rFonts w:ascii="Arial" w:hAnsi="Arial" w:cs="Arial"/>
                <w:sz w:val="22"/>
                <w:szCs w:val="22"/>
                <w:lang w:val="nl-BE"/>
              </w:rPr>
              <w:t>2/12</w:t>
            </w:r>
            <w:r w:rsidR="00711888">
              <w:rPr>
                <w:rFonts w:ascii="Arial" w:hAnsi="Arial" w:cs="Arial"/>
                <w:sz w:val="22"/>
                <w:szCs w:val="22"/>
                <w:lang w:val="nl-BE"/>
              </w:rPr>
              <w:t xml:space="preserve"> (16.7%)</w:t>
            </w:r>
          </w:p>
          <w:p w14:paraId="6EAF0AE0" w14:textId="7A58C092" w:rsidR="00981162" w:rsidRDefault="00711888" w:rsidP="0053499B">
            <w:pPr>
              <w:rPr>
                <w:rFonts w:ascii="Arial" w:hAnsi="Arial" w:cs="Arial"/>
                <w:sz w:val="22"/>
                <w:szCs w:val="22"/>
                <w:lang w:val="nl-BE"/>
              </w:rPr>
            </w:pPr>
            <w:r>
              <w:rPr>
                <w:rFonts w:ascii="Arial" w:hAnsi="Arial" w:cs="Arial"/>
                <w:sz w:val="22"/>
                <w:szCs w:val="22"/>
                <w:lang w:val="nl-BE"/>
              </w:rPr>
              <w:t>6</w:t>
            </w:r>
            <w:r w:rsidR="00981162">
              <w:rPr>
                <w:rFonts w:ascii="Arial" w:hAnsi="Arial" w:cs="Arial"/>
                <w:sz w:val="22"/>
                <w:szCs w:val="22"/>
                <w:lang w:val="nl-BE"/>
              </w:rPr>
              <w:t>/12</w:t>
            </w:r>
            <w:r>
              <w:rPr>
                <w:rFonts w:ascii="Arial" w:hAnsi="Arial" w:cs="Arial"/>
                <w:sz w:val="22"/>
                <w:szCs w:val="22"/>
                <w:lang w:val="nl-BE"/>
              </w:rPr>
              <w:t xml:space="preserve"> (</w:t>
            </w:r>
            <w:r w:rsidR="00196669">
              <w:rPr>
                <w:rFonts w:ascii="Arial" w:hAnsi="Arial" w:cs="Arial"/>
                <w:sz w:val="22"/>
                <w:szCs w:val="22"/>
                <w:lang w:val="nl-BE"/>
              </w:rPr>
              <w:t>50</w:t>
            </w:r>
            <w:r>
              <w:rPr>
                <w:rFonts w:ascii="Arial" w:hAnsi="Arial" w:cs="Arial"/>
                <w:sz w:val="22"/>
                <w:szCs w:val="22"/>
                <w:lang w:val="nl-BE"/>
              </w:rPr>
              <w:t>%)</w:t>
            </w:r>
          </w:p>
          <w:p w14:paraId="428107BA" w14:textId="3BBDD816" w:rsidR="00981162" w:rsidRPr="0053499B" w:rsidRDefault="00711888" w:rsidP="00196669">
            <w:pPr>
              <w:rPr>
                <w:rFonts w:ascii="Arial" w:hAnsi="Arial" w:cs="Arial"/>
                <w:sz w:val="22"/>
                <w:szCs w:val="22"/>
                <w:lang w:val="nl-BE"/>
              </w:rPr>
            </w:pPr>
            <w:r>
              <w:rPr>
                <w:rFonts w:ascii="Arial" w:hAnsi="Arial" w:cs="Arial"/>
                <w:sz w:val="22"/>
                <w:szCs w:val="22"/>
                <w:lang w:val="nl-BE"/>
              </w:rPr>
              <w:t>1</w:t>
            </w:r>
            <w:r w:rsidR="00981162">
              <w:rPr>
                <w:rFonts w:ascii="Arial" w:hAnsi="Arial" w:cs="Arial"/>
                <w:sz w:val="22"/>
                <w:szCs w:val="22"/>
                <w:lang w:val="nl-BE"/>
              </w:rPr>
              <w:t>/12</w:t>
            </w:r>
            <w:r>
              <w:rPr>
                <w:rFonts w:ascii="Arial" w:hAnsi="Arial" w:cs="Arial"/>
                <w:sz w:val="22"/>
                <w:szCs w:val="22"/>
                <w:lang w:val="nl-BE"/>
              </w:rPr>
              <w:t xml:space="preserve"> (</w:t>
            </w:r>
            <w:r w:rsidR="00196669">
              <w:rPr>
                <w:rFonts w:ascii="Arial" w:hAnsi="Arial" w:cs="Arial"/>
                <w:sz w:val="22"/>
                <w:szCs w:val="22"/>
                <w:lang w:val="nl-BE"/>
              </w:rPr>
              <w:t>8.3</w:t>
            </w:r>
            <w:r>
              <w:rPr>
                <w:rFonts w:ascii="Arial" w:hAnsi="Arial" w:cs="Arial"/>
                <w:sz w:val="22"/>
                <w:szCs w:val="22"/>
                <w:lang w:val="nl-BE"/>
              </w:rPr>
              <w:t>%)</w:t>
            </w:r>
          </w:p>
        </w:tc>
        <w:tc>
          <w:tcPr>
            <w:tcW w:w="2833" w:type="dxa"/>
          </w:tcPr>
          <w:p w14:paraId="7D17A373" w14:textId="77777777" w:rsidR="0053499B" w:rsidRDefault="0053499B" w:rsidP="0053499B">
            <w:pPr>
              <w:rPr>
                <w:rFonts w:ascii="Arial" w:hAnsi="Arial" w:cs="Arial"/>
                <w:sz w:val="22"/>
                <w:szCs w:val="22"/>
                <w:lang w:val="nl-BE"/>
              </w:rPr>
            </w:pPr>
          </w:p>
          <w:p w14:paraId="096BB4AE" w14:textId="7846D2C6" w:rsidR="00196669" w:rsidRDefault="00196669" w:rsidP="0053499B">
            <w:pPr>
              <w:rPr>
                <w:rFonts w:ascii="Arial" w:hAnsi="Arial" w:cs="Arial"/>
                <w:sz w:val="22"/>
                <w:szCs w:val="22"/>
                <w:lang w:val="nl-BE"/>
              </w:rPr>
            </w:pPr>
            <w:r>
              <w:rPr>
                <w:rFonts w:ascii="Arial" w:hAnsi="Arial" w:cs="Arial"/>
                <w:sz w:val="22"/>
                <w:szCs w:val="22"/>
                <w:lang w:val="nl-BE"/>
              </w:rPr>
              <w:t>2/13 (15.4%)</w:t>
            </w:r>
          </w:p>
          <w:p w14:paraId="076F23CD" w14:textId="09D1A39E" w:rsidR="00196669" w:rsidRDefault="00196669" w:rsidP="0053499B">
            <w:pPr>
              <w:rPr>
                <w:rFonts w:ascii="Arial" w:hAnsi="Arial" w:cs="Arial"/>
                <w:sz w:val="22"/>
                <w:szCs w:val="22"/>
                <w:lang w:val="nl-BE"/>
              </w:rPr>
            </w:pPr>
            <w:r>
              <w:rPr>
                <w:rFonts w:ascii="Arial" w:hAnsi="Arial" w:cs="Arial"/>
                <w:sz w:val="22"/>
                <w:szCs w:val="22"/>
                <w:lang w:val="nl-BE"/>
              </w:rPr>
              <w:t>4/13 (30.7%)</w:t>
            </w:r>
          </w:p>
          <w:p w14:paraId="4FF91B6E" w14:textId="20990ABF" w:rsidR="00196669" w:rsidRDefault="00196669" w:rsidP="0053499B">
            <w:pPr>
              <w:rPr>
                <w:rFonts w:ascii="Arial" w:hAnsi="Arial" w:cs="Arial"/>
                <w:sz w:val="22"/>
                <w:szCs w:val="22"/>
                <w:lang w:val="nl-BE"/>
              </w:rPr>
            </w:pPr>
            <w:r>
              <w:rPr>
                <w:rFonts w:ascii="Arial" w:hAnsi="Arial" w:cs="Arial"/>
                <w:sz w:val="22"/>
                <w:szCs w:val="22"/>
                <w:lang w:val="nl-BE"/>
              </w:rPr>
              <w:t>5/13 (38.6%)</w:t>
            </w:r>
          </w:p>
          <w:p w14:paraId="6B12429C" w14:textId="1EAFDDFD" w:rsidR="00196669" w:rsidRPr="0053499B" w:rsidRDefault="00196669" w:rsidP="0053499B">
            <w:pPr>
              <w:rPr>
                <w:rFonts w:ascii="Arial" w:hAnsi="Arial" w:cs="Arial"/>
                <w:sz w:val="22"/>
                <w:szCs w:val="22"/>
                <w:lang w:val="nl-BE"/>
              </w:rPr>
            </w:pPr>
            <w:r>
              <w:rPr>
                <w:rFonts w:ascii="Arial" w:hAnsi="Arial" w:cs="Arial"/>
                <w:sz w:val="22"/>
                <w:szCs w:val="22"/>
                <w:lang w:val="nl-BE"/>
              </w:rPr>
              <w:t>2/13 (15.4%)</w:t>
            </w:r>
          </w:p>
        </w:tc>
      </w:tr>
      <w:tr w:rsidR="000C3A63" w:rsidRPr="0053499B" w14:paraId="053906A2" w14:textId="77777777" w:rsidTr="0053499B">
        <w:tc>
          <w:tcPr>
            <w:tcW w:w="3397" w:type="dxa"/>
          </w:tcPr>
          <w:p w14:paraId="11ACE129" w14:textId="45674A39" w:rsidR="000C3A63" w:rsidRPr="00196669" w:rsidRDefault="000C3A63" w:rsidP="0053499B">
            <w:pPr>
              <w:rPr>
                <w:rFonts w:ascii="Arial" w:hAnsi="Arial" w:cs="Arial"/>
                <w:sz w:val="22"/>
                <w:szCs w:val="22"/>
                <w:lang w:val="nl-BE"/>
              </w:rPr>
            </w:pPr>
            <w:r>
              <w:rPr>
                <w:rFonts w:ascii="Arial" w:hAnsi="Arial" w:cs="Arial"/>
                <w:sz w:val="22"/>
                <w:szCs w:val="22"/>
                <w:lang w:val="nl-BE"/>
              </w:rPr>
              <w:t>Early discontinuation</w:t>
            </w:r>
          </w:p>
        </w:tc>
        <w:tc>
          <w:tcPr>
            <w:tcW w:w="2832" w:type="dxa"/>
          </w:tcPr>
          <w:p w14:paraId="3656EC24" w14:textId="77777777" w:rsidR="000C3A63" w:rsidRDefault="000C3A63" w:rsidP="000C3A63">
            <w:pPr>
              <w:rPr>
                <w:rFonts w:ascii="Arial" w:hAnsi="Arial" w:cs="Arial"/>
                <w:sz w:val="22"/>
                <w:szCs w:val="22"/>
                <w:lang w:val="nl-BE"/>
              </w:rPr>
            </w:pPr>
            <w:r>
              <w:rPr>
                <w:rFonts w:ascii="Arial" w:hAnsi="Arial" w:cs="Arial"/>
                <w:sz w:val="22"/>
                <w:szCs w:val="22"/>
                <w:lang w:val="nl-BE"/>
              </w:rPr>
              <w:t>1/12 (8.3%)</w:t>
            </w:r>
          </w:p>
          <w:p w14:paraId="3046899C" w14:textId="087FE2E4" w:rsidR="000C3A63" w:rsidRDefault="000C3A63" w:rsidP="000C3A63">
            <w:pPr>
              <w:rPr>
                <w:rFonts w:ascii="Arial" w:hAnsi="Arial" w:cs="Arial"/>
                <w:sz w:val="22"/>
                <w:szCs w:val="22"/>
                <w:lang w:val="nl-BE"/>
              </w:rPr>
            </w:pPr>
            <w:r>
              <w:rPr>
                <w:rFonts w:ascii="Arial" w:hAnsi="Arial" w:cs="Arial"/>
                <w:sz w:val="22"/>
                <w:szCs w:val="22"/>
                <w:lang w:val="nl-BE"/>
              </w:rPr>
              <w:t>0 menstr cycles in study</w:t>
            </w:r>
          </w:p>
        </w:tc>
        <w:tc>
          <w:tcPr>
            <w:tcW w:w="2833" w:type="dxa"/>
          </w:tcPr>
          <w:p w14:paraId="447D170F" w14:textId="77777777" w:rsidR="000C3A63" w:rsidRDefault="000C3A63" w:rsidP="0053499B">
            <w:pPr>
              <w:rPr>
                <w:rFonts w:ascii="Arial" w:hAnsi="Arial" w:cs="Arial"/>
                <w:sz w:val="22"/>
                <w:szCs w:val="22"/>
                <w:lang w:val="nl-BE"/>
              </w:rPr>
            </w:pPr>
            <w:r>
              <w:rPr>
                <w:rFonts w:ascii="Arial" w:hAnsi="Arial" w:cs="Arial"/>
                <w:sz w:val="22"/>
                <w:szCs w:val="22"/>
                <w:lang w:val="nl-BE"/>
              </w:rPr>
              <w:t>1/13 (7.7%)</w:t>
            </w:r>
          </w:p>
          <w:p w14:paraId="1D19E37D" w14:textId="5BC18087" w:rsidR="000C3A63" w:rsidRDefault="000C3A63" w:rsidP="0053499B">
            <w:pPr>
              <w:rPr>
                <w:rFonts w:ascii="Arial" w:hAnsi="Arial" w:cs="Arial"/>
                <w:sz w:val="22"/>
                <w:szCs w:val="22"/>
                <w:lang w:val="nl-BE"/>
              </w:rPr>
            </w:pPr>
            <w:r>
              <w:rPr>
                <w:rFonts w:ascii="Arial" w:hAnsi="Arial" w:cs="Arial"/>
                <w:sz w:val="22"/>
                <w:szCs w:val="22"/>
                <w:lang w:val="nl-BE"/>
              </w:rPr>
              <w:t>5 menstr cycles in study</w:t>
            </w:r>
          </w:p>
        </w:tc>
      </w:tr>
    </w:tbl>
    <w:p w14:paraId="79ED498B" w14:textId="229E31FD" w:rsidR="00D664C2" w:rsidRDefault="00D664C2" w:rsidP="0080481C">
      <w:pPr>
        <w:spacing w:line="480" w:lineRule="auto"/>
        <w:rPr>
          <w:rFonts w:ascii="Arial" w:hAnsi="Arial" w:cs="Arial"/>
          <w:sz w:val="22"/>
          <w:szCs w:val="22"/>
          <w:lang w:val="nl-BE"/>
        </w:rPr>
      </w:pPr>
    </w:p>
    <w:p w14:paraId="301C75ED" w14:textId="77777777" w:rsidR="00D5136F" w:rsidRDefault="00E4504B" w:rsidP="0080481C">
      <w:pPr>
        <w:spacing w:line="480" w:lineRule="auto"/>
        <w:rPr>
          <w:rFonts w:ascii="Arial" w:hAnsi="Arial" w:cs="Arial"/>
          <w:sz w:val="22"/>
          <w:szCs w:val="22"/>
          <w:lang w:val="en-US"/>
        </w:rPr>
      </w:pPr>
      <w:r w:rsidRPr="00E4504B">
        <w:rPr>
          <w:rFonts w:ascii="Arial" w:hAnsi="Arial" w:cs="Arial"/>
          <w:sz w:val="22"/>
          <w:szCs w:val="22"/>
          <w:highlight w:val="green"/>
          <w:lang w:val="en-US"/>
        </w:rPr>
        <w:t>Table 2A</w:t>
      </w:r>
      <w:r>
        <w:rPr>
          <w:rFonts w:ascii="Arial" w:hAnsi="Arial" w:cs="Arial"/>
          <w:sz w:val="22"/>
          <w:szCs w:val="22"/>
          <w:lang w:val="en-US"/>
        </w:rPr>
        <w:t xml:space="preserve"> </w:t>
      </w:r>
      <w:r w:rsidRPr="003738BD">
        <w:rPr>
          <w:rFonts w:ascii="Arial" w:hAnsi="Arial" w:cs="Arial"/>
          <w:sz w:val="22"/>
          <w:szCs w:val="22"/>
          <w:lang w:val="en-US"/>
        </w:rPr>
        <w:t xml:space="preserve">reports </w:t>
      </w:r>
      <w:r w:rsidR="0085566C" w:rsidRPr="003738BD">
        <w:rPr>
          <w:rFonts w:ascii="Arial" w:hAnsi="Arial" w:cs="Arial"/>
          <w:sz w:val="22"/>
          <w:szCs w:val="22"/>
          <w:lang w:val="en-US"/>
        </w:rPr>
        <w:t xml:space="preserve">more details on the type of cycles in </w:t>
      </w:r>
      <w:r w:rsidRPr="003738BD">
        <w:rPr>
          <w:rFonts w:ascii="Arial" w:hAnsi="Arial" w:cs="Arial"/>
          <w:sz w:val="22"/>
          <w:szCs w:val="22"/>
          <w:lang w:val="en-US"/>
        </w:rPr>
        <w:t>the total population</w:t>
      </w:r>
      <w:r w:rsidR="0085566C" w:rsidRPr="003738BD">
        <w:rPr>
          <w:rFonts w:ascii="Arial" w:hAnsi="Arial" w:cs="Arial"/>
          <w:sz w:val="22"/>
          <w:szCs w:val="22"/>
          <w:lang w:val="en-US"/>
        </w:rPr>
        <w:t xml:space="preserve"> (both groups together)</w:t>
      </w:r>
      <w:r w:rsidRPr="003738BD">
        <w:rPr>
          <w:rFonts w:ascii="Arial" w:hAnsi="Arial" w:cs="Arial"/>
          <w:sz w:val="22"/>
          <w:szCs w:val="22"/>
          <w:lang w:val="en-US"/>
        </w:rPr>
        <w:t xml:space="preserve">: </w:t>
      </w:r>
      <w:r w:rsidR="0085566C" w:rsidRPr="003738BD">
        <w:rPr>
          <w:rFonts w:ascii="Arial" w:hAnsi="Arial" w:cs="Arial"/>
          <w:sz w:val="22"/>
          <w:szCs w:val="22"/>
          <w:lang w:val="en-US"/>
        </w:rPr>
        <w:t xml:space="preserve">a total of </w:t>
      </w:r>
      <w:r w:rsidR="003738BD">
        <w:rPr>
          <w:rFonts w:ascii="Arial" w:hAnsi="Arial" w:cs="Arial"/>
          <w:sz w:val="22"/>
          <w:szCs w:val="22"/>
          <w:lang w:val="en-US"/>
        </w:rPr>
        <w:t>140</w:t>
      </w:r>
      <w:r w:rsidRPr="003738BD">
        <w:rPr>
          <w:rFonts w:ascii="Arial" w:hAnsi="Arial" w:cs="Arial"/>
          <w:sz w:val="22"/>
          <w:szCs w:val="22"/>
          <w:lang w:val="en-US"/>
        </w:rPr>
        <w:t xml:space="preserve"> menstrual c</w:t>
      </w:r>
      <w:r w:rsidR="003738BD">
        <w:rPr>
          <w:rFonts w:ascii="Arial" w:hAnsi="Arial" w:cs="Arial"/>
          <w:sz w:val="22"/>
          <w:szCs w:val="22"/>
          <w:lang w:val="en-US"/>
        </w:rPr>
        <w:t>ycles were recorded, of which 103</w:t>
      </w:r>
      <w:r w:rsidRPr="003738BD">
        <w:rPr>
          <w:rFonts w:ascii="Arial" w:hAnsi="Arial" w:cs="Arial"/>
          <w:sz w:val="22"/>
          <w:szCs w:val="22"/>
          <w:lang w:val="en-US"/>
        </w:rPr>
        <w:t xml:space="preserve"> spontaneous cycles and 37 COH+IUI cycles. </w:t>
      </w:r>
    </w:p>
    <w:p w14:paraId="27F511E0" w14:textId="79A41767" w:rsidR="009A4F6A" w:rsidRDefault="0085566C" w:rsidP="0080481C">
      <w:pPr>
        <w:spacing w:line="480" w:lineRule="auto"/>
        <w:rPr>
          <w:rFonts w:ascii="Arial" w:hAnsi="Arial" w:cs="Arial"/>
          <w:sz w:val="22"/>
          <w:szCs w:val="22"/>
          <w:lang w:val="en-US"/>
        </w:rPr>
      </w:pPr>
      <w:r w:rsidRPr="003738BD">
        <w:rPr>
          <w:rFonts w:ascii="Arial" w:hAnsi="Arial" w:cs="Arial"/>
          <w:sz w:val="22"/>
          <w:szCs w:val="22"/>
          <w:lang w:val="en-US"/>
        </w:rPr>
        <w:t xml:space="preserve">In the R-expectant group, a total of </w:t>
      </w:r>
      <w:r w:rsidR="003738BD">
        <w:rPr>
          <w:rFonts w:ascii="Arial" w:hAnsi="Arial" w:cs="Arial"/>
          <w:sz w:val="22"/>
          <w:szCs w:val="22"/>
          <w:lang w:val="en-US"/>
        </w:rPr>
        <w:t>62</w:t>
      </w:r>
      <w:r w:rsidR="00F52DEA" w:rsidRPr="003738BD">
        <w:rPr>
          <w:rFonts w:ascii="Arial" w:hAnsi="Arial" w:cs="Arial"/>
          <w:sz w:val="22"/>
          <w:szCs w:val="22"/>
          <w:lang w:val="en-US"/>
        </w:rPr>
        <w:t xml:space="preserve"> menstrual cycles were recorded. </w:t>
      </w:r>
      <w:r w:rsidR="00E4504B" w:rsidRPr="003738BD">
        <w:rPr>
          <w:rFonts w:ascii="Arial" w:hAnsi="Arial" w:cs="Arial"/>
          <w:sz w:val="22"/>
          <w:szCs w:val="22"/>
          <w:lang w:val="en-US"/>
        </w:rPr>
        <w:t>For</w:t>
      </w:r>
      <w:r w:rsidR="009A4F6A" w:rsidRPr="003738BD">
        <w:rPr>
          <w:rFonts w:ascii="Arial" w:hAnsi="Arial" w:cs="Arial"/>
          <w:sz w:val="22"/>
          <w:szCs w:val="22"/>
          <w:lang w:val="en-US"/>
        </w:rPr>
        <w:t xml:space="preserve"> the</w:t>
      </w:r>
      <w:r w:rsidR="009A4F6A">
        <w:rPr>
          <w:rFonts w:ascii="Arial" w:hAnsi="Arial" w:cs="Arial"/>
          <w:sz w:val="22"/>
          <w:szCs w:val="22"/>
          <w:lang w:val="en-US"/>
        </w:rPr>
        <w:t xml:space="preserve"> patients in the </w:t>
      </w:r>
      <w:r w:rsidR="007C6D5E">
        <w:rPr>
          <w:rFonts w:ascii="Arial" w:hAnsi="Arial" w:cs="Arial"/>
          <w:sz w:val="22"/>
          <w:szCs w:val="22"/>
          <w:lang w:val="en-US"/>
        </w:rPr>
        <w:t>R-</w:t>
      </w:r>
      <w:r w:rsidR="009A4F6A">
        <w:rPr>
          <w:rFonts w:ascii="Arial" w:hAnsi="Arial" w:cs="Arial"/>
          <w:sz w:val="22"/>
          <w:szCs w:val="22"/>
          <w:lang w:val="en-US"/>
        </w:rPr>
        <w:t xml:space="preserve">IUI-group, </w:t>
      </w:r>
      <w:r w:rsidR="00E4504B" w:rsidRPr="00E4504B">
        <w:rPr>
          <w:rFonts w:ascii="Arial" w:hAnsi="Arial" w:cs="Arial"/>
          <w:sz w:val="22"/>
          <w:szCs w:val="22"/>
          <w:highlight w:val="green"/>
          <w:lang w:val="en-US"/>
        </w:rPr>
        <w:t>Table 2B</w:t>
      </w:r>
      <w:r w:rsidR="00E4504B">
        <w:rPr>
          <w:rFonts w:ascii="Arial" w:hAnsi="Arial" w:cs="Arial"/>
          <w:sz w:val="22"/>
          <w:szCs w:val="22"/>
          <w:lang w:val="en-US"/>
        </w:rPr>
        <w:t xml:space="preserve"> shows</w:t>
      </w:r>
      <w:r w:rsidR="009A4F6A">
        <w:rPr>
          <w:rFonts w:ascii="Arial" w:hAnsi="Arial" w:cs="Arial"/>
          <w:sz w:val="22"/>
          <w:szCs w:val="22"/>
          <w:lang w:val="en-US"/>
        </w:rPr>
        <w:t xml:space="preserve"> the number of IUI cycles compared to the total number of menstrual cycles </w:t>
      </w:r>
      <w:r w:rsidR="00E4504B">
        <w:rPr>
          <w:rFonts w:ascii="Arial" w:hAnsi="Arial" w:cs="Arial"/>
          <w:sz w:val="22"/>
          <w:szCs w:val="22"/>
          <w:lang w:val="en-US"/>
        </w:rPr>
        <w:t>in the study on a patient-level; in this group</w:t>
      </w:r>
      <w:r w:rsidR="003738BD">
        <w:rPr>
          <w:rFonts w:ascii="Arial" w:hAnsi="Arial" w:cs="Arial"/>
          <w:sz w:val="22"/>
          <w:szCs w:val="22"/>
          <w:lang w:val="en-US"/>
        </w:rPr>
        <w:t xml:space="preserve"> – on a total of 78 studied menstrual cycles</w:t>
      </w:r>
      <w:r w:rsidR="00E4504B">
        <w:rPr>
          <w:rFonts w:ascii="Arial" w:hAnsi="Arial" w:cs="Arial"/>
          <w:sz w:val="22"/>
          <w:szCs w:val="22"/>
          <w:lang w:val="en-US"/>
        </w:rPr>
        <w:t xml:space="preserve"> </w:t>
      </w:r>
      <w:r w:rsidR="003738BD">
        <w:rPr>
          <w:rFonts w:ascii="Arial" w:hAnsi="Arial" w:cs="Arial"/>
          <w:sz w:val="22"/>
          <w:szCs w:val="22"/>
          <w:lang w:val="en-US"/>
        </w:rPr>
        <w:t>- 41</w:t>
      </w:r>
      <w:r w:rsidR="00E4504B">
        <w:rPr>
          <w:rFonts w:ascii="Arial" w:hAnsi="Arial" w:cs="Arial"/>
          <w:sz w:val="22"/>
          <w:szCs w:val="22"/>
          <w:lang w:val="en-US"/>
        </w:rPr>
        <w:t xml:space="preserve"> spontaneous cycles were recorded</w:t>
      </w:r>
      <w:r>
        <w:rPr>
          <w:rFonts w:ascii="Arial" w:hAnsi="Arial" w:cs="Arial"/>
          <w:sz w:val="22"/>
          <w:szCs w:val="22"/>
          <w:lang w:val="en-US"/>
        </w:rPr>
        <w:t xml:space="preserve"> versus </w:t>
      </w:r>
      <w:r w:rsidR="003738BD">
        <w:rPr>
          <w:rFonts w:ascii="Arial" w:hAnsi="Arial" w:cs="Arial"/>
          <w:sz w:val="22"/>
          <w:szCs w:val="22"/>
          <w:lang w:val="en-US"/>
        </w:rPr>
        <w:t>37 COH+IUI-cycles (</w:t>
      </w:r>
      <w:r>
        <w:rPr>
          <w:rFonts w:ascii="Arial" w:hAnsi="Arial" w:cs="Arial"/>
          <w:sz w:val="22"/>
          <w:szCs w:val="22"/>
          <w:lang w:val="en-US"/>
        </w:rPr>
        <w:t xml:space="preserve">i.e. </w:t>
      </w:r>
      <w:r w:rsidR="003738BD">
        <w:rPr>
          <w:rFonts w:ascii="Arial" w:hAnsi="Arial" w:cs="Arial"/>
          <w:sz w:val="22"/>
          <w:szCs w:val="22"/>
          <w:lang w:val="en-US"/>
        </w:rPr>
        <w:t>52.6</w:t>
      </w:r>
      <w:r>
        <w:rPr>
          <w:rFonts w:ascii="Arial" w:hAnsi="Arial" w:cs="Arial"/>
          <w:sz w:val="22"/>
          <w:szCs w:val="22"/>
          <w:lang w:val="en-US"/>
        </w:rPr>
        <w:t>% of cycles in the R-IUI</w:t>
      </w:r>
      <w:r w:rsidR="00D5136F">
        <w:rPr>
          <w:rFonts w:ascii="Arial" w:hAnsi="Arial" w:cs="Arial"/>
          <w:sz w:val="22"/>
          <w:szCs w:val="22"/>
          <w:lang w:val="en-US"/>
        </w:rPr>
        <w:t>-</w:t>
      </w:r>
      <w:r>
        <w:rPr>
          <w:rFonts w:ascii="Arial" w:hAnsi="Arial" w:cs="Arial"/>
          <w:sz w:val="22"/>
          <w:szCs w:val="22"/>
          <w:lang w:val="en-US"/>
        </w:rPr>
        <w:t>group were spontaneous cycles)</w:t>
      </w:r>
      <w:r w:rsidR="00E4504B">
        <w:rPr>
          <w:rFonts w:ascii="Arial" w:hAnsi="Arial" w:cs="Arial"/>
          <w:sz w:val="22"/>
          <w:szCs w:val="22"/>
          <w:lang w:val="en-US"/>
        </w:rPr>
        <w:t xml:space="preserve">. </w:t>
      </w:r>
      <w:r w:rsidR="009A4F6A">
        <w:rPr>
          <w:rFonts w:ascii="Arial" w:hAnsi="Arial" w:cs="Arial"/>
          <w:sz w:val="22"/>
          <w:szCs w:val="22"/>
          <w:lang w:val="en-US"/>
        </w:rPr>
        <w:t xml:space="preserve"> </w:t>
      </w:r>
    </w:p>
    <w:p w14:paraId="68C0BE69" w14:textId="77777777" w:rsidR="000F4539" w:rsidRPr="009A4F6A" w:rsidRDefault="000F4539" w:rsidP="0080481C">
      <w:pPr>
        <w:spacing w:line="480" w:lineRule="auto"/>
        <w:rPr>
          <w:rFonts w:ascii="Arial" w:hAnsi="Arial" w:cs="Arial"/>
          <w:sz w:val="22"/>
          <w:szCs w:val="22"/>
          <w:lang w:val="en-US"/>
        </w:rPr>
      </w:pPr>
    </w:p>
    <w:p w14:paraId="08ADF640" w14:textId="06F710FB" w:rsidR="004F5881" w:rsidRDefault="009F4507" w:rsidP="0080481C">
      <w:pPr>
        <w:spacing w:line="480" w:lineRule="auto"/>
        <w:rPr>
          <w:rFonts w:ascii="Arial" w:hAnsi="Arial" w:cs="Arial"/>
          <w:i/>
          <w:sz w:val="22"/>
          <w:szCs w:val="22"/>
          <w:lang w:val="en-US"/>
        </w:rPr>
      </w:pPr>
      <w:r w:rsidRPr="00196669">
        <w:rPr>
          <w:rFonts w:ascii="Arial" w:hAnsi="Arial" w:cs="Arial"/>
          <w:i/>
          <w:sz w:val="22"/>
          <w:szCs w:val="22"/>
          <w:highlight w:val="green"/>
          <w:lang w:val="en-US"/>
        </w:rPr>
        <w:t>Table 2</w:t>
      </w:r>
      <w:r w:rsidR="004F5881">
        <w:rPr>
          <w:rFonts w:ascii="Arial" w:hAnsi="Arial" w:cs="Arial"/>
          <w:i/>
          <w:sz w:val="22"/>
          <w:szCs w:val="22"/>
          <w:highlight w:val="green"/>
          <w:lang w:val="en-US"/>
        </w:rPr>
        <w:t>A</w:t>
      </w:r>
      <w:r w:rsidR="004F5881">
        <w:rPr>
          <w:rFonts w:ascii="Arial" w:hAnsi="Arial" w:cs="Arial"/>
          <w:i/>
          <w:sz w:val="22"/>
          <w:szCs w:val="22"/>
          <w:lang w:val="en-US"/>
        </w:rPr>
        <w:t xml:space="preserve"> </w:t>
      </w:r>
      <w:r w:rsidR="004F5881" w:rsidRPr="003738BD">
        <w:rPr>
          <w:rFonts w:ascii="Arial" w:hAnsi="Arial" w:cs="Arial"/>
          <w:i/>
          <w:sz w:val="22"/>
          <w:szCs w:val="22"/>
          <w:lang w:val="en-US"/>
        </w:rPr>
        <w:t>RCT: for the total population: number of menstrual cycles with or without IUI versus occurrence of clinical pregnancy</w:t>
      </w:r>
    </w:p>
    <w:tbl>
      <w:tblPr>
        <w:tblStyle w:val="Tabelraster"/>
        <w:tblW w:w="0" w:type="auto"/>
        <w:tblLook w:val="04A0" w:firstRow="1" w:lastRow="0" w:firstColumn="1" w:lastColumn="0" w:noHBand="0" w:noVBand="1"/>
      </w:tblPr>
      <w:tblGrid>
        <w:gridCol w:w="2265"/>
        <w:gridCol w:w="2265"/>
        <w:gridCol w:w="2266"/>
        <w:gridCol w:w="2266"/>
      </w:tblGrid>
      <w:tr w:rsidR="004F5881" w:rsidRPr="004F5881" w14:paraId="4FFE16B8" w14:textId="77777777" w:rsidTr="004F5881">
        <w:tc>
          <w:tcPr>
            <w:tcW w:w="2265" w:type="dxa"/>
          </w:tcPr>
          <w:p w14:paraId="20EB6788" w14:textId="77777777" w:rsidR="004F5881" w:rsidRPr="004F5881" w:rsidRDefault="004F5881" w:rsidP="004F5881">
            <w:pPr>
              <w:spacing w:line="276" w:lineRule="auto"/>
              <w:rPr>
                <w:rFonts w:ascii="Arial" w:hAnsi="Arial" w:cs="Arial"/>
                <w:sz w:val="20"/>
                <w:szCs w:val="22"/>
                <w:lang w:val="en-US"/>
              </w:rPr>
            </w:pPr>
          </w:p>
        </w:tc>
        <w:tc>
          <w:tcPr>
            <w:tcW w:w="2265" w:type="dxa"/>
          </w:tcPr>
          <w:p w14:paraId="01EF8D73" w14:textId="272066E2"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 xml:space="preserve">Total </w:t>
            </w:r>
          </w:p>
        </w:tc>
        <w:tc>
          <w:tcPr>
            <w:tcW w:w="2266" w:type="dxa"/>
          </w:tcPr>
          <w:p w14:paraId="5E121B5D" w14:textId="3B15E2B4"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With clinical pregnancy</w:t>
            </w:r>
          </w:p>
        </w:tc>
        <w:tc>
          <w:tcPr>
            <w:tcW w:w="2266" w:type="dxa"/>
          </w:tcPr>
          <w:p w14:paraId="77B0AD87" w14:textId="6D00234C"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Without clinical pregnancy</w:t>
            </w:r>
          </w:p>
        </w:tc>
      </w:tr>
      <w:tr w:rsidR="004F5881" w:rsidRPr="004F5881" w14:paraId="1973973E" w14:textId="77777777" w:rsidTr="004F5881">
        <w:tc>
          <w:tcPr>
            <w:tcW w:w="2265" w:type="dxa"/>
          </w:tcPr>
          <w:p w14:paraId="61BA624A" w14:textId="6FB3AD00"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N Spontaneous cycles</w:t>
            </w:r>
          </w:p>
        </w:tc>
        <w:tc>
          <w:tcPr>
            <w:tcW w:w="2265" w:type="dxa"/>
          </w:tcPr>
          <w:p w14:paraId="46599BBB" w14:textId="79F91CE5" w:rsidR="004F5881" w:rsidRPr="004F5881" w:rsidRDefault="003738BD" w:rsidP="004F5881">
            <w:pPr>
              <w:spacing w:line="276" w:lineRule="auto"/>
              <w:rPr>
                <w:rFonts w:ascii="Arial" w:hAnsi="Arial" w:cs="Arial"/>
                <w:sz w:val="20"/>
                <w:szCs w:val="22"/>
                <w:lang w:val="en-US"/>
              </w:rPr>
            </w:pPr>
            <w:r>
              <w:rPr>
                <w:rFonts w:ascii="Arial" w:hAnsi="Arial" w:cs="Arial"/>
                <w:sz w:val="20"/>
                <w:szCs w:val="22"/>
                <w:lang w:val="en-US"/>
              </w:rPr>
              <w:t>103</w:t>
            </w:r>
          </w:p>
        </w:tc>
        <w:tc>
          <w:tcPr>
            <w:tcW w:w="2266" w:type="dxa"/>
          </w:tcPr>
          <w:p w14:paraId="76B82F85" w14:textId="578823E2" w:rsidR="004F5881" w:rsidRPr="004F5881" w:rsidRDefault="0085566C" w:rsidP="004F5881">
            <w:pPr>
              <w:spacing w:line="276" w:lineRule="auto"/>
              <w:rPr>
                <w:rFonts w:ascii="Arial" w:hAnsi="Arial" w:cs="Arial"/>
                <w:sz w:val="20"/>
                <w:szCs w:val="22"/>
                <w:lang w:val="en-US"/>
              </w:rPr>
            </w:pPr>
            <w:r>
              <w:rPr>
                <w:rFonts w:ascii="Arial" w:hAnsi="Arial" w:cs="Arial"/>
                <w:sz w:val="20"/>
                <w:szCs w:val="22"/>
                <w:lang w:val="en-US"/>
              </w:rPr>
              <w:t>8</w:t>
            </w:r>
          </w:p>
        </w:tc>
        <w:tc>
          <w:tcPr>
            <w:tcW w:w="2266" w:type="dxa"/>
          </w:tcPr>
          <w:p w14:paraId="1303F250" w14:textId="53555387" w:rsidR="004F5881" w:rsidRPr="004F5881" w:rsidRDefault="00D5136F" w:rsidP="004F5881">
            <w:pPr>
              <w:spacing w:line="276" w:lineRule="auto"/>
              <w:rPr>
                <w:rFonts w:ascii="Arial" w:hAnsi="Arial" w:cs="Arial"/>
                <w:sz w:val="20"/>
                <w:szCs w:val="22"/>
                <w:lang w:val="en-US"/>
              </w:rPr>
            </w:pPr>
            <w:r>
              <w:rPr>
                <w:rFonts w:ascii="Arial" w:hAnsi="Arial" w:cs="Arial"/>
                <w:sz w:val="20"/>
                <w:szCs w:val="22"/>
                <w:lang w:val="en-US"/>
              </w:rPr>
              <w:t>95</w:t>
            </w:r>
          </w:p>
        </w:tc>
      </w:tr>
      <w:tr w:rsidR="004F5881" w:rsidRPr="004F5881" w14:paraId="788A5753" w14:textId="77777777" w:rsidTr="004F5881">
        <w:tc>
          <w:tcPr>
            <w:tcW w:w="2265" w:type="dxa"/>
          </w:tcPr>
          <w:p w14:paraId="027DF780" w14:textId="49EA199A"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N COH+IUI cycles</w:t>
            </w:r>
          </w:p>
        </w:tc>
        <w:tc>
          <w:tcPr>
            <w:tcW w:w="2265" w:type="dxa"/>
          </w:tcPr>
          <w:p w14:paraId="358C920A" w14:textId="5EE2F797"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37</w:t>
            </w:r>
          </w:p>
        </w:tc>
        <w:tc>
          <w:tcPr>
            <w:tcW w:w="2266" w:type="dxa"/>
          </w:tcPr>
          <w:p w14:paraId="6CCB4760" w14:textId="157656AD"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2</w:t>
            </w:r>
          </w:p>
        </w:tc>
        <w:tc>
          <w:tcPr>
            <w:tcW w:w="2266" w:type="dxa"/>
          </w:tcPr>
          <w:p w14:paraId="4D7E1221" w14:textId="118420D2" w:rsidR="004F5881" w:rsidRPr="004F5881" w:rsidRDefault="004F5881" w:rsidP="004F5881">
            <w:pPr>
              <w:spacing w:line="276" w:lineRule="auto"/>
              <w:rPr>
                <w:rFonts w:ascii="Arial" w:hAnsi="Arial" w:cs="Arial"/>
                <w:sz w:val="20"/>
                <w:szCs w:val="22"/>
                <w:lang w:val="en-US"/>
              </w:rPr>
            </w:pPr>
            <w:r w:rsidRPr="004F5881">
              <w:rPr>
                <w:rFonts w:ascii="Arial" w:hAnsi="Arial" w:cs="Arial"/>
                <w:sz w:val="20"/>
                <w:szCs w:val="22"/>
                <w:lang w:val="en-US"/>
              </w:rPr>
              <w:t>35</w:t>
            </w:r>
          </w:p>
        </w:tc>
      </w:tr>
    </w:tbl>
    <w:p w14:paraId="264FBDF1" w14:textId="77777777" w:rsidR="004F5881" w:rsidRDefault="004F5881" w:rsidP="0080481C">
      <w:pPr>
        <w:spacing w:line="480" w:lineRule="auto"/>
        <w:rPr>
          <w:rFonts w:ascii="Arial" w:hAnsi="Arial" w:cs="Arial"/>
          <w:i/>
          <w:sz w:val="22"/>
          <w:szCs w:val="22"/>
          <w:highlight w:val="green"/>
          <w:lang w:val="en-US"/>
        </w:rPr>
      </w:pPr>
    </w:p>
    <w:p w14:paraId="7F719970" w14:textId="77777777" w:rsidR="00D5136F" w:rsidRDefault="00D5136F" w:rsidP="0080481C">
      <w:pPr>
        <w:spacing w:line="480" w:lineRule="auto"/>
        <w:rPr>
          <w:rFonts w:ascii="Arial" w:hAnsi="Arial" w:cs="Arial"/>
          <w:i/>
          <w:sz w:val="22"/>
          <w:szCs w:val="22"/>
          <w:highlight w:val="green"/>
          <w:lang w:val="en-US"/>
        </w:rPr>
      </w:pPr>
    </w:p>
    <w:p w14:paraId="6F107D59" w14:textId="77777777" w:rsidR="003738BD" w:rsidRDefault="004F5881" w:rsidP="0080481C">
      <w:pPr>
        <w:spacing w:line="480" w:lineRule="auto"/>
        <w:rPr>
          <w:rFonts w:ascii="Arial" w:hAnsi="Arial" w:cs="Arial"/>
          <w:i/>
          <w:sz w:val="22"/>
          <w:szCs w:val="22"/>
          <w:lang w:val="en-US"/>
        </w:rPr>
      </w:pPr>
      <w:r>
        <w:rPr>
          <w:rFonts w:ascii="Arial" w:hAnsi="Arial" w:cs="Arial"/>
          <w:i/>
          <w:sz w:val="22"/>
          <w:szCs w:val="22"/>
          <w:highlight w:val="green"/>
          <w:lang w:val="en-US"/>
        </w:rPr>
        <w:t>Table 2B</w:t>
      </w:r>
      <w:r w:rsidR="009F4507" w:rsidRPr="00196669">
        <w:rPr>
          <w:rFonts w:ascii="Arial" w:hAnsi="Arial" w:cs="Arial"/>
          <w:i/>
          <w:sz w:val="22"/>
          <w:szCs w:val="22"/>
          <w:highlight w:val="green"/>
          <w:lang w:val="en-US"/>
        </w:rPr>
        <w:t>:</w:t>
      </w:r>
      <w:r w:rsidR="009F4507" w:rsidRPr="00196669">
        <w:rPr>
          <w:rFonts w:ascii="Arial" w:hAnsi="Arial" w:cs="Arial"/>
          <w:i/>
          <w:sz w:val="22"/>
          <w:szCs w:val="22"/>
          <w:lang w:val="en-US"/>
        </w:rPr>
        <w:t xml:space="preserve"> </w:t>
      </w:r>
      <w:r w:rsidR="002B7FE1" w:rsidRPr="000F4539">
        <w:rPr>
          <w:rFonts w:ascii="Arial" w:hAnsi="Arial" w:cs="Arial"/>
          <w:i/>
          <w:sz w:val="22"/>
          <w:szCs w:val="22"/>
          <w:lang w:val="en-US"/>
        </w:rPr>
        <w:t xml:space="preserve">RCT: </w:t>
      </w:r>
      <w:r>
        <w:rPr>
          <w:rFonts w:ascii="Arial" w:hAnsi="Arial" w:cs="Arial"/>
          <w:i/>
          <w:sz w:val="22"/>
          <w:szCs w:val="22"/>
          <w:lang w:val="en-US"/>
        </w:rPr>
        <w:t>for the R-IUI-group</w:t>
      </w:r>
      <w:r w:rsidR="00F9337D">
        <w:rPr>
          <w:rFonts w:ascii="Arial" w:hAnsi="Arial" w:cs="Arial"/>
          <w:i/>
          <w:sz w:val="22"/>
          <w:szCs w:val="22"/>
          <w:lang w:val="en-US"/>
        </w:rPr>
        <w:t>:</w:t>
      </w:r>
      <w:r w:rsidRPr="000F4539">
        <w:rPr>
          <w:rFonts w:ascii="Arial" w:hAnsi="Arial" w:cs="Arial"/>
          <w:i/>
          <w:sz w:val="22"/>
          <w:szCs w:val="22"/>
          <w:lang w:val="en-US"/>
        </w:rPr>
        <w:t xml:space="preserve"> </w:t>
      </w:r>
      <w:r w:rsidR="000F4539" w:rsidRPr="000F4539">
        <w:rPr>
          <w:rFonts w:ascii="Arial" w:hAnsi="Arial" w:cs="Arial"/>
          <w:i/>
          <w:sz w:val="22"/>
          <w:szCs w:val="22"/>
          <w:lang w:val="en-US"/>
        </w:rPr>
        <w:t>Details of number of IUI cycles in comparison with to</w:t>
      </w:r>
      <w:r w:rsidR="00F9337D">
        <w:rPr>
          <w:rFonts w:ascii="Arial" w:hAnsi="Arial" w:cs="Arial"/>
          <w:i/>
          <w:sz w:val="22"/>
          <w:szCs w:val="22"/>
          <w:lang w:val="en-US"/>
        </w:rPr>
        <w:t>tal number of menstrual cycles on patient-level</w:t>
      </w:r>
      <w:r w:rsidR="003738BD">
        <w:rPr>
          <w:rFonts w:ascii="Arial" w:hAnsi="Arial" w:cs="Arial"/>
          <w:i/>
          <w:sz w:val="22"/>
          <w:szCs w:val="22"/>
          <w:lang w:val="en-US"/>
        </w:rPr>
        <w:t xml:space="preserve"> </w:t>
      </w:r>
    </w:p>
    <w:p w14:paraId="03C0873D" w14:textId="67C7B4E6" w:rsidR="00D664C2" w:rsidRPr="003738BD" w:rsidRDefault="003738BD" w:rsidP="0080481C">
      <w:pPr>
        <w:spacing w:line="480" w:lineRule="auto"/>
        <w:rPr>
          <w:rFonts w:ascii="Arial" w:hAnsi="Arial" w:cs="Arial"/>
          <w:i/>
          <w:sz w:val="18"/>
          <w:szCs w:val="22"/>
          <w:lang w:val="en-US"/>
        </w:rPr>
      </w:pPr>
      <w:r w:rsidRPr="003738BD">
        <w:rPr>
          <w:rFonts w:ascii="Arial" w:hAnsi="Arial" w:cs="Arial"/>
          <w:i/>
          <w:sz w:val="18"/>
          <w:szCs w:val="22"/>
          <w:lang w:val="en-US"/>
        </w:rPr>
        <w:t xml:space="preserve">*: for example: 2 </w:t>
      </w:r>
      <w:r>
        <w:rPr>
          <w:rFonts w:ascii="Arial" w:hAnsi="Arial" w:cs="Arial"/>
          <w:i/>
          <w:sz w:val="18"/>
          <w:szCs w:val="22"/>
          <w:lang w:val="en-US"/>
        </w:rPr>
        <w:t xml:space="preserve">= 2 </w:t>
      </w:r>
      <w:r w:rsidRPr="003738BD">
        <w:rPr>
          <w:rFonts w:ascii="Arial" w:hAnsi="Arial" w:cs="Arial"/>
          <w:i/>
          <w:sz w:val="18"/>
          <w:szCs w:val="22"/>
          <w:lang w:val="en-US"/>
        </w:rPr>
        <w:t>patients with 4 menstrual cycles, of which 1 with COH+</w:t>
      </w:r>
      <w:r>
        <w:rPr>
          <w:rFonts w:ascii="Arial" w:hAnsi="Arial" w:cs="Arial"/>
          <w:i/>
          <w:sz w:val="18"/>
          <w:szCs w:val="22"/>
          <w:lang w:val="en-US"/>
        </w:rPr>
        <w:t>IUI</w:t>
      </w:r>
    </w:p>
    <w:tbl>
      <w:tblPr>
        <w:tblStyle w:val="Tabelraster"/>
        <w:tblW w:w="9209" w:type="dxa"/>
        <w:tblInd w:w="-5" w:type="dxa"/>
        <w:tblLook w:val="04A0" w:firstRow="1" w:lastRow="0" w:firstColumn="1" w:lastColumn="0" w:noHBand="0" w:noVBand="1"/>
      </w:tblPr>
      <w:tblGrid>
        <w:gridCol w:w="2694"/>
        <w:gridCol w:w="1628"/>
        <w:gridCol w:w="1629"/>
        <w:gridCol w:w="1629"/>
        <w:gridCol w:w="1629"/>
      </w:tblGrid>
      <w:tr w:rsidR="003738BD" w:rsidRPr="00AA076B" w14:paraId="4155BFAD" w14:textId="77777777" w:rsidTr="003738BD">
        <w:trPr>
          <w:trHeight w:val="460"/>
        </w:trPr>
        <w:tc>
          <w:tcPr>
            <w:tcW w:w="2694" w:type="dxa"/>
            <w:vMerge w:val="restart"/>
          </w:tcPr>
          <w:p w14:paraId="3D21A084" w14:textId="77777777" w:rsidR="003738BD" w:rsidRPr="003738BD" w:rsidRDefault="003738BD" w:rsidP="0080481C">
            <w:pPr>
              <w:spacing w:line="480" w:lineRule="auto"/>
              <w:rPr>
                <w:rFonts w:ascii="Arial" w:hAnsi="Arial" w:cs="Arial"/>
                <w:b/>
                <w:sz w:val="20"/>
                <w:szCs w:val="22"/>
                <w:lang w:val="en-US"/>
              </w:rPr>
            </w:pPr>
          </w:p>
          <w:p w14:paraId="16C12363" w14:textId="78CF7A13" w:rsidR="003738BD" w:rsidRPr="003738BD" w:rsidRDefault="003738BD" w:rsidP="0080481C">
            <w:pPr>
              <w:spacing w:line="480" w:lineRule="auto"/>
              <w:rPr>
                <w:rFonts w:ascii="Arial" w:hAnsi="Arial" w:cs="Arial"/>
                <w:b/>
                <w:sz w:val="20"/>
                <w:szCs w:val="22"/>
                <w:lang w:val="en-US"/>
              </w:rPr>
            </w:pPr>
            <w:r w:rsidRPr="003738BD">
              <w:rPr>
                <w:rFonts w:ascii="Arial" w:hAnsi="Arial" w:cs="Arial"/>
                <w:b/>
                <w:sz w:val="20"/>
                <w:szCs w:val="22"/>
                <w:lang w:val="en-US"/>
              </w:rPr>
              <w:t>Total N menstrual cycles</w:t>
            </w:r>
          </w:p>
        </w:tc>
        <w:tc>
          <w:tcPr>
            <w:tcW w:w="6515" w:type="dxa"/>
            <w:gridSpan w:val="4"/>
          </w:tcPr>
          <w:p w14:paraId="7AF5C364" w14:textId="3C104270" w:rsidR="003738BD" w:rsidRPr="003738BD" w:rsidRDefault="003738BD" w:rsidP="003738BD">
            <w:pPr>
              <w:spacing w:line="480" w:lineRule="auto"/>
              <w:jc w:val="center"/>
              <w:rPr>
                <w:rFonts w:ascii="Arial" w:hAnsi="Arial" w:cs="Arial"/>
                <w:b/>
                <w:i/>
                <w:sz w:val="20"/>
                <w:szCs w:val="22"/>
                <w:lang w:val="en-US"/>
              </w:rPr>
            </w:pPr>
            <w:r w:rsidRPr="003738BD">
              <w:rPr>
                <w:rFonts w:ascii="Arial" w:hAnsi="Arial" w:cs="Arial"/>
                <w:b/>
                <w:i/>
                <w:sz w:val="20"/>
                <w:szCs w:val="22"/>
                <w:lang w:val="en-US"/>
              </w:rPr>
              <w:t>Total N of IUI cycles</w:t>
            </w:r>
          </w:p>
        </w:tc>
      </w:tr>
      <w:tr w:rsidR="003738BD" w:rsidRPr="003738BD" w14:paraId="370CCD69" w14:textId="77777777" w:rsidTr="003738BD">
        <w:trPr>
          <w:trHeight w:val="460"/>
        </w:trPr>
        <w:tc>
          <w:tcPr>
            <w:tcW w:w="2694" w:type="dxa"/>
            <w:vMerge/>
          </w:tcPr>
          <w:p w14:paraId="11A71C81" w14:textId="77777777" w:rsidR="003738BD" w:rsidRPr="003738BD" w:rsidRDefault="003738BD" w:rsidP="0080481C">
            <w:pPr>
              <w:spacing w:line="480" w:lineRule="auto"/>
              <w:rPr>
                <w:rFonts w:ascii="Arial" w:hAnsi="Arial" w:cs="Arial"/>
                <w:b/>
                <w:sz w:val="20"/>
                <w:szCs w:val="22"/>
                <w:lang w:val="en-US"/>
              </w:rPr>
            </w:pPr>
          </w:p>
        </w:tc>
        <w:tc>
          <w:tcPr>
            <w:tcW w:w="1628" w:type="dxa"/>
          </w:tcPr>
          <w:p w14:paraId="52FD2D5F" w14:textId="55B427B4" w:rsidR="003738BD" w:rsidRPr="003738BD" w:rsidRDefault="003738BD" w:rsidP="0080481C">
            <w:pPr>
              <w:spacing w:line="480" w:lineRule="auto"/>
              <w:rPr>
                <w:rFonts w:ascii="Arial" w:hAnsi="Arial" w:cs="Arial"/>
                <w:b/>
                <w:i/>
                <w:sz w:val="20"/>
                <w:szCs w:val="22"/>
                <w:lang w:val="en-US"/>
              </w:rPr>
            </w:pPr>
            <w:r w:rsidRPr="003738BD">
              <w:rPr>
                <w:rFonts w:ascii="Arial" w:hAnsi="Arial" w:cs="Arial"/>
                <w:b/>
                <w:i/>
                <w:sz w:val="20"/>
                <w:szCs w:val="22"/>
                <w:lang w:val="en-US"/>
              </w:rPr>
              <w:t>1</w:t>
            </w:r>
          </w:p>
        </w:tc>
        <w:tc>
          <w:tcPr>
            <w:tcW w:w="1629" w:type="dxa"/>
          </w:tcPr>
          <w:p w14:paraId="55C26B4E" w14:textId="7B640DBD" w:rsidR="003738BD" w:rsidRPr="003738BD" w:rsidRDefault="003738BD" w:rsidP="0080481C">
            <w:pPr>
              <w:spacing w:line="480" w:lineRule="auto"/>
              <w:rPr>
                <w:rFonts w:ascii="Arial" w:hAnsi="Arial" w:cs="Arial"/>
                <w:b/>
                <w:i/>
                <w:sz w:val="20"/>
                <w:szCs w:val="22"/>
                <w:lang w:val="en-US"/>
              </w:rPr>
            </w:pPr>
            <w:r w:rsidRPr="003738BD">
              <w:rPr>
                <w:rFonts w:ascii="Arial" w:hAnsi="Arial" w:cs="Arial"/>
                <w:b/>
                <w:i/>
                <w:sz w:val="20"/>
                <w:szCs w:val="22"/>
                <w:lang w:val="en-US"/>
              </w:rPr>
              <w:t>2</w:t>
            </w:r>
          </w:p>
        </w:tc>
        <w:tc>
          <w:tcPr>
            <w:tcW w:w="1629" w:type="dxa"/>
          </w:tcPr>
          <w:p w14:paraId="1E9B685A" w14:textId="57180498" w:rsidR="003738BD" w:rsidRPr="003738BD" w:rsidRDefault="003738BD" w:rsidP="0080481C">
            <w:pPr>
              <w:spacing w:line="480" w:lineRule="auto"/>
              <w:rPr>
                <w:rFonts w:ascii="Arial" w:hAnsi="Arial" w:cs="Arial"/>
                <w:b/>
                <w:i/>
                <w:sz w:val="20"/>
                <w:szCs w:val="22"/>
                <w:lang w:val="en-US"/>
              </w:rPr>
            </w:pPr>
            <w:r w:rsidRPr="003738BD">
              <w:rPr>
                <w:rFonts w:ascii="Arial" w:hAnsi="Arial" w:cs="Arial"/>
                <w:b/>
                <w:i/>
                <w:sz w:val="20"/>
                <w:szCs w:val="22"/>
                <w:lang w:val="en-US"/>
              </w:rPr>
              <w:t>3</w:t>
            </w:r>
          </w:p>
        </w:tc>
        <w:tc>
          <w:tcPr>
            <w:tcW w:w="1629" w:type="dxa"/>
          </w:tcPr>
          <w:p w14:paraId="4AFF1671" w14:textId="4F752923" w:rsidR="003738BD" w:rsidRPr="003738BD" w:rsidRDefault="003738BD" w:rsidP="0080481C">
            <w:pPr>
              <w:spacing w:line="480" w:lineRule="auto"/>
              <w:rPr>
                <w:rFonts w:ascii="Arial" w:hAnsi="Arial" w:cs="Arial"/>
                <w:b/>
                <w:i/>
                <w:sz w:val="20"/>
                <w:szCs w:val="22"/>
                <w:lang w:val="en-US"/>
              </w:rPr>
            </w:pPr>
            <w:r w:rsidRPr="003738BD">
              <w:rPr>
                <w:rFonts w:ascii="Arial" w:hAnsi="Arial" w:cs="Arial"/>
                <w:b/>
                <w:i/>
                <w:sz w:val="20"/>
                <w:szCs w:val="22"/>
                <w:lang w:val="en-US"/>
              </w:rPr>
              <w:t>4</w:t>
            </w:r>
          </w:p>
        </w:tc>
      </w:tr>
      <w:tr w:rsidR="003738BD" w:rsidRPr="003738BD" w14:paraId="2E424B39" w14:textId="77777777" w:rsidTr="003738BD">
        <w:trPr>
          <w:trHeight w:val="460"/>
        </w:trPr>
        <w:tc>
          <w:tcPr>
            <w:tcW w:w="2694" w:type="dxa"/>
          </w:tcPr>
          <w:p w14:paraId="0130FF41" w14:textId="5F2B533C" w:rsidR="003738BD" w:rsidRPr="003738BD" w:rsidRDefault="003738BD" w:rsidP="0080481C">
            <w:pPr>
              <w:spacing w:line="480" w:lineRule="auto"/>
              <w:rPr>
                <w:rFonts w:ascii="Arial" w:hAnsi="Arial" w:cs="Arial"/>
                <w:b/>
                <w:sz w:val="20"/>
                <w:szCs w:val="22"/>
                <w:lang w:val="en-US"/>
              </w:rPr>
            </w:pPr>
            <w:r w:rsidRPr="003738BD">
              <w:rPr>
                <w:rFonts w:ascii="Arial" w:hAnsi="Arial" w:cs="Arial"/>
                <w:b/>
                <w:sz w:val="20"/>
                <w:szCs w:val="22"/>
                <w:lang w:val="en-US"/>
              </w:rPr>
              <w:t>2</w:t>
            </w:r>
          </w:p>
        </w:tc>
        <w:tc>
          <w:tcPr>
            <w:tcW w:w="1628" w:type="dxa"/>
          </w:tcPr>
          <w:p w14:paraId="4FBD0660" w14:textId="21644B13"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1</w:t>
            </w:r>
          </w:p>
        </w:tc>
        <w:tc>
          <w:tcPr>
            <w:tcW w:w="1629" w:type="dxa"/>
          </w:tcPr>
          <w:p w14:paraId="21AA7FB3" w14:textId="441DB76F"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24F1A768" w14:textId="77D16D92"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65B00F27" w14:textId="403B040F"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r>
      <w:tr w:rsidR="003738BD" w:rsidRPr="003738BD" w14:paraId="73BB1436" w14:textId="77777777" w:rsidTr="003738BD">
        <w:trPr>
          <w:trHeight w:val="460"/>
        </w:trPr>
        <w:tc>
          <w:tcPr>
            <w:tcW w:w="2694" w:type="dxa"/>
          </w:tcPr>
          <w:p w14:paraId="404C8D71" w14:textId="1C24FFD6" w:rsidR="003738BD" w:rsidRPr="003738BD" w:rsidRDefault="003738BD" w:rsidP="0080481C">
            <w:pPr>
              <w:spacing w:line="480" w:lineRule="auto"/>
              <w:rPr>
                <w:rFonts w:ascii="Arial" w:hAnsi="Arial" w:cs="Arial"/>
                <w:b/>
                <w:sz w:val="20"/>
                <w:szCs w:val="22"/>
                <w:lang w:val="en-US"/>
              </w:rPr>
            </w:pPr>
            <w:r w:rsidRPr="003738BD">
              <w:rPr>
                <w:rFonts w:ascii="Arial" w:hAnsi="Arial" w:cs="Arial"/>
                <w:b/>
                <w:sz w:val="20"/>
                <w:szCs w:val="22"/>
                <w:lang w:val="en-US"/>
              </w:rPr>
              <w:t>4</w:t>
            </w:r>
          </w:p>
        </w:tc>
        <w:tc>
          <w:tcPr>
            <w:tcW w:w="1628" w:type="dxa"/>
          </w:tcPr>
          <w:p w14:paraId="53DB09AE" w14:textId="78E3E427"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2</w:t>
            </w:r>
            <w:r>
              <w:rPr>
                <w:rFonts w:ascii="Arial" w:hAnsi="Arial" w:cs="Arial"/>
                <w:sz w:val="20"/>
                <w:szCs w:val="22"/>
                <w:lang w:val="en-US"/>
              </w:rPr>
              <w:t>*</w:t>
            </w:r>
          </w:p>
        </w:tc>
        <w:tc>
          <w:tcPr>
            <w:tcW w:w="1629" w:type="dxa"/>
          </w:tcPr>
          <w:p w14:paraId="150F4C0E" w14:textId="67DB96B5"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06E56186" w14:textId="152B273F"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28DAFA25" w14:textId="5A382F6D"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r>
      <w:tr w:rsidR="003738BD" w:rsidRPr="003738BD" w14:paraId="2B530EF9" w14:textId="77777777" w:rsidTr="003738BD">
        <w:trPr>
          <w:trHeight w:val="460"/>
        </w:trPr>
        <w:tc>
          <w:tcPr>
            <w:tcW w:w="2694" w:type="dxa"/>
          </w:tcPr>
          <w:p w14:paraId="6B03535A" w14:textId="02F39008" w:rsidR="003738BD" w:rsidRPr="003738BD" w:rsidRDefault="003738BD" w:rsidP="0080481C">
            <w:pPr>
              <w:spacing w:line="480" w:lineRule="auto"/>
              <w:rPr>
                <w:rFonts w:ascii="Arial" w:hAnsi="Arial" w:cs="Arial"/>
                <w:b/>
                <w:sz w:val="20"/>
                <w:szCs w:val="22"/>
                <w:lang w:val="en-US"/>
              </w:rPr>
            </w:pPr>
            <w:r w:rsidRPr="003738BD">
              <w:rPr>
                <w:rFonts w:ascii="Arial" w:hAnsi="Arial" w:cs="Arial"/>
                <w:b/>
                <w:sz w:val="20"/>
                <w:szCs w:val="22"/>
                <w:lang w:val="en-US"/>
              </w:rPr>
              <w:t>5</w:t>
            </w:r>
          </w:p>
        </w:tc>
        <w:tc>
          <w:tcPr>
            <w:tcW w:w="1628" w:type="dxa"/>
          </w:tcPr>
          <w:p w14:paraId="79A187B9" w14:textId="7A774BDC"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1</w:t>
            </w:r>
          </w:p>
        </w:tc>
        <w:tc>
          <w:tcPr>
            <w:tcW w:w="1629" w:type="dxa"/>
          </w:tcPr>
          <w:p w14:paraId="44E0B0EE" w14:textId="3D2F2DA1"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7AF06383" w14:textId="4436C95D"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73269C9C" w14:textId="3237690C"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r>
      <w:tr w:rsidR="003738BD" w:rsidRPr="003738BD" w14:paraId="60D09B28" w14:textId="77777777" w:rsidTr="003738BD">
        <w:trPr>
          <w:trHeight w:val="460"/>
        </w:trPr>
        <w:tc>
          <w:tcPr>
            <w:tcW w:w="2694" w:type="dxa"/>
          </w:tcPr>
          <w:p w14:paraId="12A8594B" w14:textId="347AA4D8" w:rsidR="003738BD" w:rsidRPr="003738BD" w:rsidRDefault="003738BD" w:rsidP="0080481C">
            <w:pPr>
              <w:spacing w:line="480" w:lineRule="auto"/>
              <w:rPr>
                <w:rFonts w:ascii="Arial" w:hAnsi="Arial" w:cs="Arial"/>
                <w:b/>
                <w:sz w:val="20"/>
                <w:szCs w:val="22"/>
                <w:lang w:val="en-US"/>
              </w:rPr>
            </w:pPr>
            <w:r w:rsidRPr="003738BD">
              <w:rPr>
                <w:rFonts w:ascii="Arial" w:hAnsi="Arial" w:cs="Arial"/>
                <w:b/>
                <w:sz w:val="20"/>
                <w:szCs w:val="22"/>
                <w:lang w:val="en-US"/>
              </w:rPr>
              <w:t>7</w:t>
            </w:r>
          </w:p>
        </w:tc>
        <w:tc>
          <w:tcPr>
            <w:tcW w:w="1628" w:type="dxa"/>
          </w:tcPr>
          <w:p w14:paraId="5F764832" w14:textId="00F523EA"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0</w:t>
            </w:r>
          </w:p>
        </w:tc>
        <w:tc>
          <w:tcPr>
            <w:tcW w:w="1629" w:type="dxa"/>
          </w:tcPr>
          <w:p w14:paraId="57BC8E9D" w14:textId="67742B48"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1</w:t>
            </w:r>
          </w:p>
        </w:tc>
        <w:tc>
          <w:tcPr>
            <w:tcW w:w="1629" w:type="dxa"/>
          </w:tcPr>
          <w:p w14:paraId="77B7FED0" w14:textId="5CBEE460"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1</w:t>
            </w:r>
          </w:p>
        </w:tc>
        <w:tc>
          <w:tcPr>
            <w:tcW w:w="1629" w:type="dxa"/>
          </w:tcPr>
          <w:p w14:paraId="68B77356" w14:textId="5D27CDF7" w:rsidR="003738BD" w:rsidRPr="003738BD" w:rsidRDefault="003738BD" w:rsidP="0080481C">
            <w:pPr>
              <w:spacing w:line="480" w:lineRule="auto"/>
              <w:rPr>
                <w:rFonts w:ascii="Arial" w:hAnsi="Arial" w:cs="Arial"/>
                <w:sz w:val="20"/>
                <w:szCs w:val="22"/>
                <w:lang w:val="en-US"/>
              </w:rPr>
            </w:pPr>
            <w:r w:rsidRPr="003738BD">
              <w:rPr>
                <w:rFonts w:ascii="Arial" w:hAnsi="Arial" w:cs="Arial"/>
                <w:sz w:val="20"/>
                <w:szCs w:val="22"/>
                <w:lang w:val="en-US"/>
              </w:rPr>
              <w:t>7</w:t>
            </w:r>
          </w:p>
        </w:tc>
      </w:tr>
    </w:tbl>
    <w:p w14:paraId="34BB5AC9" w14:textId="77777777" w:rsidR="00F9337D" w:rsidRPr="003738BD" w:rsidRDefault="00F9337D" w:rsidP="0080481C">
      <w:pPr>
        <w:spacing w:line="480" w:lineRule="auto"/>
        <w:rPr>
          <w:rFonts w:ascii="Arial" w:hAnsi="Arial" w:cs="Arial"/>
          <w:sz w:val="22"/>
          <w:szCs w:val="22"/>
          <w:lang w:val="en-US"/>
        </w:rPr>
      </w:pPr>
    </w:p>
    <w:p w14:paraId="34A571E5" w14:textId="77777777" w:rsidR="000F4539" w:rsidRPr="000F4539" w:rsidRDefault="000F4539" w:rsidP="000F4539">
      <w:pPr>
        <w:spacing w:line="480" w:lineRule="auto"/>
        <w:rPr>
          <w:rFonts w:ascii="Arial" w:hAnsi="Arial" w:cs="Arial"/>
          <w:i/>
          <w:sz w:val="22"/>
          <w:szCs w:val="22"/>
          <w:highlight w:val="green"/>
        </w:rPr>
      </w:pPr>
    </w:p>
    <w:p w14:paraId="49530015" w14:textId="77777777" w:rsidR="00E4504B" w:rsidRDefault="00E4504B" w:rsidP="00E4504B">
      <w:pPr>
        <w:spacing w:line="480" w:lineRule="auto"/>
        <w:rPr>
          <w:rFonts w:ascii="Arial" w:hAnsi="Arial" w:cs="Arial"/>
          <w:sz w:val="22"/>
          <w:szCs w:val="22"/>
          <w:lang w:val="en-US"/>
        </w:rPr>
      </w:pPr>
      <w:r>
        <w:rPr>
          <w:rFonts w:ascii="Arial" w:hAnsi="Arial" w:cs="Arial"/>
          <w:sz w:val="22"/>
          <w:szCs w:val="22"/>
          <w:lang w:val="en-US"/>
        </w:rPr>
        <w:t>In patients allocated to the R-IUI-group</w:t>
      </w:r>
      <w:r w:rsidRPr="006D51C4">
        <w:rPr>
          <w:rFonts w:ascii="Arial" w:hAnsi="Arial" w:cs="Arial"/>
          <w:sz w:val="22"/>
          <w:szCs w:val="22"/>
          <w:lang w:val="en-US"/>
        </w:rPr>
        <w:t xml:space="preserve">, 4 clinical pregnancies were observed: 2 after IUI (of which 1 ended in a miscarriage) and 2 spontaneous pregnancies (of which 1 ended in a miscarriage). </w:t>
      </w:r>
    </w:p>
    <w:p w14:paraId="7F4066DA" w14:textId="044BA8E2" w:rsidR="000F4539" w:rsidRDefault="000F4539" w:rsidP="000F4539">
      <w:pPr>
        <w:spacing w:line="480" w:lineRule="auto"/>
        <w:rPr>
          <w:rFonts w:ascii="Arial" w:hAnsi="Arial" w:cs="Arial"/>
          <w:sz w:val="22"/>
          <w:szCs w:val="22"/>
          <w:lang w:val="en-US"/>
        </w:rPr>
      </w:pPr>
      <w:r w:rsidRPr="006D51C4">
        <w:rPr>
          <w:rFonts w:ascii="Arial" w:hAnsi="Arial" w:cs="Arial"/>
          <w:sz w:val="22"/>
          <w:szCs w:val="22"/>
          <w:lang w:val="en-US"/>
        </w:rPr>
        <w:t>In patients allocated</w:t>
      </w:r>
      <w:r>
        <w:rPr>
          <w:rFonts w:ascii="Arial" w:hAnsi="Arial" w:cs="Arial"/>
          <w:sz w:val="22"/>
          <w:szCs w:val="22"/>
          <w:lang w:val="en-US"/>
        </w:rPr>
        <w:t xml:space="preserve"> to the R-expectant-group, 6 clinical </w:t>
      </w:r>
      <w:r w:rsidR="00E4504B">
        <w:rPr>
          <w:rFonts w:ascii="Arial" w:hAnsi="Arial" w:cs="Arial"/>
          <w:sz w:val="22"/>
          <w:szCs w:val="22"/>
          <w:lang w:val="en-US"/>
        </w:rPr>
        <w:t xml:space="preserve">(spontaneous) </w:t>
      </w:r>
      <w:r>
        <w:rPr>
          <w:rFonts w:ascii="Arial" w:hAnsi="Arial" w:cs="Arial"/>
          <w:sz w:val="22"/>
          <w:szCs w:val="22"/>
          <w:lang w:val="en-US"/>
        </w:rPr>
        <w:t>pregnancies were observed, of which one was an ectopic (tubal) pregnancy that required laparoscopic salpingectomy.</w:t>
      </w:r>
    </w:p>
    <w:p w14:paraId="556550C2" w14:textId="77777777" w:rsidR="00D5136F" w:rsidRDefault="00D5136F" w:rsidP="00D5136F">
      <w:pPr>
        <w:spacing w:line="480" w:lineRule="auto"/>
        <w:rPr>
          <w:rFonts w:ascii="Arial" w:hAnsi="Arial" w:cs="Arial"/>
          <w:sz w:val="22"/>
          <w:szCs w:val="22"/>
          <w:lang w:val="en-US"/>
        </w:rPr>
      </w:pPr>
      <w:r w:rsidRPr="00B330AA">
        <w:rPr>
          <w:rFonts w:ascii="Arial" w:hAnsi="Arial" w:cs="Arial"/>
          <w:sz w:val="22"/>
          <w:szCs w:val="22"/>
          <w:highlight w:val="green"/>
          <w:lang w:val="en-US"/>
        </w:rPr>
        <w:t>Figure 2</w:t>
      </w:r>
      <w:r>
        <w:rPr>
          <w:rFonts w:ascii="Arial" w:hAnsi="Arial" w:cs="Arial"/>
          <w:sz w:val="22"/>
          <w:szCs w:val="22"/>
          <w:lang w:val="en-US"/>
        </w:rPr>
        <w:t xml:space="preserve"> shows the result of the primary outcome studied in the RCT: the clinical pregnancy rate at the end of the study period (after maximum 7 menstrual cycles) was 54.6% (95%CI 36.</w:t>
      </w:r>
      <w:r w:rsidRPr="002B7FE1">
        <w:rPr>
          <w:rFonts w:ascii="Arial" w:hAnsi="Arial" w:cs="Arial"/>
          <w:sz w:val="22"/>
          <w:szCs w:val="22"/>
          <w:lang w:val="en-US"/>
        </w:rPr>
        <w:t>5</w:t>
      </w:r>
      <w:r>
        <w:rPr>
          <w:rFonts w:ascii="Arial" w:hAnsi="Arial" w:cs="Arial"/>
          <w:sz w:val="22"/>
          <w:szCs w:val="22"/>
          <w:lang w:val="en-US"/>
        </w:rPr>
        <w:t>-</w:t>
      </w:r>
      <w:r w:rsidRPr="002B7FE1">
        <w:rPr>
          <w:rFonts w:ascii="Arial" w:hAnsi="Arial" w:cs="Arial"/>
          <w:sz w:val="22"/>
          <w:szCs w:val="22"/>
          <w:lang w:val="en-US"/>
        </w:rPr>
        <w:t>74.6</w:t>
      </w:r>
      <w:r>
        <w:rPr>
          <w:rFonts w:ascii="Arial" w:hAnsi="Arial" w:cs="Arial"/>
          <w:sz w:val="22"/>
          <w:szCs w:val="22"/>
          <w:lang w:val="en-US"/>
        </w:rPr>
        <w:t xml:space="preserve">) in the R-expectant-group and </w:t>
      </w:r>
      <w:r w:rsidRPr="006D51C4">
        <w:rPr>
          <w:rFonts w:ascii="Arial" w:hAnsi="Arial" w:cs="Arial"/>
          <w:sz w:val="22"/>
          <w:szCs w:val="22"/>
          <w:lang w:val="en-US"/>
        </w:rPr>
        <w:t>31.6</w:t>
      </w:r>
      <w:r>
        <w:rPr>
          <w:rFonts w:ascii="Arial" w:hAnsi="Arial" w:cs="Arial"/>
          <w:sz w:val="22"/>
          <w:szCs w:val="22"/>
          <w:lang w:val="en-US"/>
        </w:rPr>
        <w:t xml:space="preserve">% (95%CI </w:t>
      </w:r>
      <w:r w:rsidRPr="006D51C4">
        <w:rPr>
          <w:rFonts w:ascii="Arial" w:hAnsi="Arial" w:cs="Arial"/>
          <w:sz w:val="22"/>
          <w:szCs w:val="22"/>
          <w:lang w:val="en-US"/>
        </w:rPr>
        <w:t>15.4</w:t>
      </w:r>
      <w:r>
        <w:rPr>
          <w:rFonts w:ascii="Arial" w:hAnsi="Arial" w:cs="Arial"/>
          <w:sz w:val="22"/>
          <w:szCs w:val="22"/>
          <w:lang w:val="en-US"/>
        </w:rPr>
        <w:t>-</w:t>
      </w:r>
      <w:r w:rsidRPr="006D51C4">
        <w:rPr>
          <w:rFonts w:ascii="Arial" w:hAnsi="Arial" w:cs="Arial"/>
          <w:sz w:val="22"/>
          <w:szCs w:val="22"/>
          <w:lang w:val="en-US"/>
        </w:rPr>
        <w:t>57.8) in the R-IUI-group</w:t>
      </w:r>
      <w:r>
        <w:rPr>
          <w:rFonts w:ascii="Arial" w:hAnsi="Arial" w:cs="Arial"/>
          <w:sz w:val="22"/>
          <w:szCs w:val="22"/>
          <w:lang w:val="en-US"/>
        </w:rPr>
        <w:t xml:space="preserve"> </w:t>
      </w:r>
      <w:r>
        <w:rPr>
          <w:rFonts w:ascii="Arial" w:hAnsi="Arial" w:cs="Arial"/>
          <w:sz w:val="22"/>
          <w:szCs w:val="22"/>
          <w:lang w:val="en-US"/>
        </w:rPr>
        <w:lastRenderedPageBreak/>
        <w:t>(p=0.28, log-rank test)</w:t>
      </w:r>
      <w:r w:rsidRPr="006D51C4">
        <w:rPr>
          <w:rFonts w:ascii="Arial" w:hAnsi="Arial" w:cs="Arial"/>
          <w:sz w:val="22"/>
          <w:szCs w:val="22"/>
          <w:lang w:val="en-US"/>
        </w:rPr>
        <w:t>.</w:t>
      </w:r>
      <w:r>
        <w:rPr>
          <w:rFonts w:ascii="Arial" w:hAnsi="Arial" w:cs="Arial"/>
          <w:sz w:val="22"/>
          <w:szCs w:val="22"/>
          <w:lang w:val="en-US"/>
        </w:rPr>
        <w:t xml:space="preserve"> It should be stressed that, in patients in the R-IUI-Group, cycles are a mix of spontaneous and COH+IUI cycles as explained above. Data on live birth are awaited.</w:t>
      </w:r>
    </w:p>
    <w:p w14:paraId="2D4E6206" w14:textId="1223C858" w:rsidR="00D5136F" w:rsidRPr="004561B2" w:rsidRDefault="00D5136F" w:rsidP="00D5136F">
      <w:pPr>
        <w:spacing w:line="480" w:lineRule="auto"/>
        <w:rPr>
          <w:rFonts w:ascii="Arial" w:hAnsi="Arial" w:cs="Arial"/>
          <w:sz w:val="22"/>
          <w:szCs w:val="22"/>
          <w:lang w:val="en-US"/>
        </w:rPr>
      </w:pPr>
      <w:r w:rsidRPr="00D5136F">
        <w:rPr>
          <w:rFonts w:ascii="Arial" w:hAnsi="Arial" w:cs="Arial"/>
          <w:sz w:val="22"/>
          <w:szCs w:val="22"/>
          <w:lang w:val="en-US"/>
        </w:rPr>
        <w:t>The odds ratio for the effect of IUI on clinical pregnancy based on a discrete-time hazard model for IUI (allocation) as a baseline predictor was 0.47 (95%CI 0.12-1.80), with a p-value of 0.271; for IUI as a time-varying predictor, the odds ratio was 0.68 (95%CI 0.14-3.37), with a p-value of 0.6542.</w:t>
      </w:r>
      <w:r w:rsidRPr="00704ED8">
        <w:rPr>
          <w:rFonts w:ascii="Arial" w:hAnsi="Arial" w:cs="Arial"/>
          <w:sz w:val="22"/>
          <w:szCs w:val="22"/>
          <w:lang w:val="en-US"/>
        </w:rPr>
        <w:t xml:space="preserve"> </w:t>
      </w:r>
    </w:p>
    <w:p w14:paraId="2799A783" w14:textId="77777777" w:rsidR="000F4539" w:rsidRDefault="000F4539" w:rsidP="000F4539">
      <w:pPr>
        <w:pStyle w:val="Tekstopmerking"/>
        <w:spacing w:line="480" w:lineRule="auto"/>
        <w:rPr>
          <w:lang w:val="en-US"/>
        </w:rPr>
      </w:pPr>
    </w:p>
    <w:p w14:paraId="0058F646" w14:textId="584F1E5E" w:rsidR="002B7FE1" w:rsidRPr="00196669" w:rsidRDefault="002B7FE1" w:rsidP="000F4539">
      <w:pPr>
        <w:spacing w:line="480" w:lineRule="auto"/>
        <w:rPr>
          <w:rFonts w:ascii="Arial" w:hAnsi="Arial" w:cs="Arial"/>
          <w:i/>
          <w:sz w:val="22"/>
          <w:szCs w:val="22"/>
          <w:lang w:val="en-US"/>
        </w:rPr>
      </w:pPr>
      <w:r w:rsidRPr="00196669">
        <w:rPr>
          <w:rFonts w:ascii="Arial" w:hAnsi="Arial" w:cs="Arial"/>
          <w:i/>
          <w:sz w:val="22"/>
          <w:szCs w:val="22"/>
          <w:highlight w:val="green"/>
          <w:lang w:val="en-US"/>
        </w:rPr>
        <w:t>Figure 2:</w:t>
      </w:r>
      <w:r w:rsidRPr="00196669">
        <w:rPr>
          <w:rFonts w:ascii="Arial" w:hAnsi="Arial" w:cs="Arial"/>
          <w:i/>
          <w:sz w:val="22"/>
          <w:szCs w:val="22"/>
          <w:lang w:val="en-US"/>
        </w:rPr>
        <w:t xml:space="preserve"> </w:t>
      </w:r>
      <w:r w:rsidRPr="006D51C4">
        <w:rPr>
          <w:rFonts w:ascii="Arial" w:hAnsi="Arial" w:cs="Arial"/>
          <w:i/>
          <w:sz w:val="22"/>
          <w:szCs w:val="22"/>
          <w:lang w:val="en-US"/>
        </w:rPr>
        <w:t>R</w:t>
      </w:r>
      <w:r w:rsidR="002A4388" w:rsidRPr="006D51C4">
        <w:rPr>
          <w:rFonts w:ascii="Arial" w:hAnsi="Arial" w:cs="Arial"/>
          <w:i/>
          <w:sz w:val="22"/>
          <w:szCs w:val="22"/>
          <w:lang w:val="en-US"/>
        </w:rPr>
        <w:t xml:space="preserve">esult for the </w:t>
      </w:r>
      <w:r w:rsidR="002A4388" w:rsidRPr="006D51C4">
        <w:rPr>
          <w:rFonts w:ascii="Arial" w:hAnsi="Arial" w:cs="Arial"/>
          <w:b/>
          <w:i/>
          <w:sz w:val="22"/>
          <w:szCs w:val="22"/>
          <w:lang w:val="en-US"/>
        </w:rPr>
        <w:t>R</w:t>
      </w:r>
      <w:r w:rsidRPr="006D51C4">
        <w:rPr>
          <w:rFonts w:ascii="Arial" w:hAnsi="Arial" w:cs="Arial"/>
          <w:b/>
          <w:i/>
          <w:sz w:val="22"/>
          <w:szCs w:val="22"/>
          <w:lang w:val="en-US"/>
        </w:rPr>
        <w:t>CT</w:t>
      </w:r>
      <w:r w:rsidRPr="006D51C4">
        <w:rPr>
          <w:rFonts w:ascii="Arial" w:hAnsi="Arial" w:cs="Arial"/>
          <w:i/>
          <w:sz w:val="22"/>
          <w:szCs w:val="22"/>
          <w:lang w:val="en-US"/>
        </w:rPr>
        <w:t xml:space="preserve">: Kaplan-Meier </w:t>
      </w:r>
      <w:r w:rsidR="00196669" w:rsidRPr="006D51C4">
        <w:rPr>
          <w:rFonts w:ascii="Arial" w:hAnsi="Arial" w:cs="Arial"/>
          <w:i/>
          <w:sz w:val="22"/>
          <w:szCs w:val="22"/>
          <w:lang w:val="en-US"/>
        </w:rPr>
        <w:t>estimates for clinical pregnancy</w:t>
      </w:r>
      <w:r w:rsidRPr="006D51C4">
        <w:rPr>
          <w:rFonts w:ascii="Arial" w:hAnsi="Arial" w:cs="Arial"/>
          <w:i/>
          <w:sz w:val="22"/>
          <w:szCs w:val="22"/>
          <w:lang w:val="en-US"/>
        </w:rPr>
        <w:t xml:space="preserve"> </w:t>
      </w:r>
      <w:r w:rsidR="004561B2" w:rsidRPr="006D51C4">
        <w:rPr>
          <w:rFonts w:ascii="Arial" w:hAnsi="Arial" w:cs="Arial"/>
          <w:i/>
          <w:sz w:val="22"/>
          <w:szCs w:val="22"/>
          <w:lang w:val="en-US"/>
        </w:rPr>
        <w:t>(cycle 0 = at randomization)</w:t>
      </w:r>
      <w:r w:rsidR="0085566C">
        <w:rPr>
          <w:rFonts w:ascii="Arial" w:hAnsi="Arial" w:cs="Arial"/>
          <w:i/>
          <w:sz w:val="22"/>
          <w:szCs w:val="22"/>
          <w:lang w:val="en-US"/>
        </w:rPr>
        <w:t xml:space="preserve"> after 7 menstrual cycles</w:t>
      </w:r>
      <w:r w:rsidR="00E4504B">
        <w:rPr>
          <w:rFonts w:ascii="Arial" w:hAnsi="Arial" w:cs="Arial"/>
          <w:i/>
          <w:sz w:val="22"/>
          <w:szCs w:val="22"/>
          <w:lang w:val="en-US"/>
        </w:rPr>
        <w:t xml:space="preserve">. </w:t>
      </w:r>
    </w:p>
    <w:p w14:paraId="6DBCDB12" w14:textId="79D2F81E" w:rsidR="002B7FE1" w:rsidRPr="009F4507" w:rsidRDefault="006D51C4" w:rsidP="0080481C">
      <w:pPr>
        <w:spacing w:line="480" w:lineRule="auto"/>
        <w:rPr>
          <w:rFonts w:ascii="Arial" w:hAnsi="Arial" w:cs="Arial"/>
          <w:sz w:val="22"/>
          <w:szCs w:val="22"/>
          <w:lang w:val="en-US"/>
        </w:rPr>
      </w:pPr>
      <w:r>
        <w:rPr>
          <w:noProof/>
          <w:lang w:val="nl-BE" w:eastAsia="nl-BE"/>
        </w:rPr>
        <w:drawing>
          <wp:inline distT="0" distB="0" distL="0" distR="0" wp14:anchorId="21E93F3A" wp14:editId="28705E00">
            <wp:extent cx="5486400" cy="36576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5EEB1BF6" w14:textId="77777777" w:rsidR="00D5136F" w:rsidRDefault="00D5136F" w:rsidP="00B330AA">
      <w:pPr>
        <w:spacing w:line="480" w:lineRule="auto"/>
        <w:rPr>
          <w:rFonts w:ascii="Arial" w:hAnsi="Arial" w:cs="Arial"/>
          <w:sz w:val="22"/>
          <w:szCs w:val="22"/>
          <w:lang w:val="en-US"/>
        </w:rPr>
      </w:pPr>
    </w:p>
    <w:p w14:paraId="68C61887" w14:textId="63D1B5C0" w:rsidR="00143AE9" w:rsidRDefault="00B330AA" w:rsidP="00B330AA">
      <w:pPr>
        <w:spacing w:line="480" w:lineRule="auto"/>
        <w:rPr>
          <w:rFonts w:ascii="Arial" w:hAnsi="Arial" w:cs="Arial"/>
          <w:sz w:val="22"/>
          <w:szCs w:val="22"/>
          <w:lang w:val="en-US"/>
        </w:rPr>
      </w:pPr>
      <w:r>
        <w:rPr>
          <w:rFonts w:ascii="Arial" w:hAnsi="Arial" w:cs="Arial"/>
          <w:sz w:val="22"/>
          <w:szCs w:val="22"/>
          <w:lang w:val="en-US"/>
        </w:rPr>
        <w:t>The</w:t>
      </w:r>
      <w:r w:rsidR="00143AE9" w:rsidRPr="00CF3B7A">
        <w:rPr>
          <w:rFonts w:ascii="Arial" w:hAnsi="Arial" w:cs="Arial"/>
          <w:sz w:val="22"/>
          <w:szCs w:val="22"/>
          <w:lang w:val="en-US"/>
        </w:rPr>
        <w:t xml:space="preserve"> conditional power</w:t>
      </w:r>
      <w:r w:rsidR="00143AE9">
        <w:rPr>
          <w:rFonts w:ascii="Arial" w:hAnsi="Arial" w:cs="Arial"/>
          <w:sz w:val="22"/>
          <w:szCs w:val="22"/>
          <w:lang w:val="en-US"/>
        </w:rPr>
        <w:t xml:space="preserve"> calculation</w:t>
      </w:r>
      <w:r>
        <w:rPr>
          <w:rFonts w:ascii="Arial" w:hAnsi="Arial" w:cs="Arial"/>
          <w:sz w:val="22"/>
          <w:szCs w:val="22"/>
          <w:lang w:val="en-US"/>
        </w:rPr>
        <w:t xml:space="preserve"> gave following results: the probability that – if the study were to reach its targeted sample size – a higher cumulative clinical pregnancy rate would be found in </w:t>
      </w:r>
      <w:r w:rsidRPr="00704ED8">
        <w:rPr>
          <w:rFonts w:ascii="Arial" w:hAnsi="Arial" w:cs="Arial"/>
          <w:sz w:val="22"/>
          <w:szCs w:val="22"/>
          <w:lang w:val="en-US"/>
        </w:rPr>
        <w:t xml:space="preserve">the </w:t>
      </w:r>
      <w:r w:rsidR="002A4388" w:rsidRPr="00704ED8">
        <w:rPr>
          <w:rFonts w:ascii="Arial" w:hAnsi="Arial" w:cs="Arial"/>
          <w:sz w:val="22"/>
          <w:szCs w:val="22"/>
          <w:lang w:val="en-US"/>
        </w:rPr>
        <w:t>R-</w:t>
      </w:r>
      <w:r w:rsidR="00704ED8" w:rsidRPr="00704ED8">
        <w:rPr>
          <w:rFonts w:ascii="Arial" w:hAnsi="Arial" w:cs="Arial"/>
          <w:sz w:val="22"/>
          <w:szCs w:val="22"/>
          <w:lang w:val="en-US"/>
        </w:rPr>
        <w:t>IUI-group is 0.1</w:t>
      </w:r>
      <w:r w:rsidRPr="00704ED8">
        <w:rPr>
          <w:rFonts w:ascii="Arial" w:hAnsi="Arial" w:cs="Arial"/>
          <w:sz w:val="22"/>
          <w:szCs w:val="22"/>
          <w:lang w:val="en-US"/>
        </w:rPr>
        <w:t>%, 0.</w:t>
      </w:r>
      <w:r w:rsidR="00704ED8" w:rsidRPr="00704ED8">
        <w:rPr>
          <w:rFonts w:ascii="Arial" w:hAnsi="Arial" w:cs="Arial"/>
          <w:sz w:val="22"/>
          <w:szCs w:val="22"/>
          <w:lang w:val="en-US"/>
        </w:rPr>
        <w:t>00</w:t>
      </w:r>
      <w:r w:rsidRPr="00704ED8">
        <w:rPr>
          <w:rFonts w:ascii="Arial" w:hAnsi="Arial" w:cs="Arial"/>
          <w:sz w:val="22"/>
          <w:szCs w:val="22"/>
          <w:lang w:val="en-US"/>
        </w:rPr>
        <w:t xml:space="preserve">% and </w:t>
      </w:r>
      <w:r w:rsidR="00704ED8" w:rsidRPr="00704ED8">
        <w:rPr>
          <w:rFonts w:ascii="Arial" w:hAnsi="Arial" w:cs="Arial"/>
          <w:sz w:val="22"/>
          <w:szCs w:val="22"/>
          <w:lang w:val="en-US"/>
        </w:rPr>
        <w:t>22.8</w:t>
      </w:r>
      <w:r w:rsidRPr="00704ED8">
        <w:rPr>
          <w:rFonts w:ascii="Arial" w:hAnsi="Arial" w:cs="Arial"/>
          <w:sz w:val="22"/>
          <w:szCs w:val="22"/>
          <w:lang w:val="en-US"/>
        </w:rPr>
        <w:t>% under null effects, continued trend</w:t>
      </w:r>
      <w:r w:rsidRPr="00143AE9">
        <w:rPr>
          <w:rFonts w:ascii="Arial" w:hAnsi="Arial" w:cs="Arial"/>
          <w:sz w:val="22"/>
          <w:szCs w:val="22"/>
          <w:lang w:val="en-US"/>
        </w:rPr>
        <w:t xml:space="preserve"> effects and hypothesized effects respectively.</w:t>
      </w:r>
    </w:p>
    <w:p w14:paraId="066FCD18" w14:textId="5EAE3DE3" w:rsidR="00B330AA" w:rsidRDefault="00B330AA" w:rsidP="00B330AA">
      <w:pPr>
        <w:spacing w:line="480" w:lineRule="auto"/>
        <w:rPr>
          <w:rFonts w:ascii="Arial" w:hAnsi="Arial" w:cs="Arial"/>
          <w:sz w:val="22"/>
          <w:szCs w:val="22"/>
          <w:lang w:val="en-US"/>
        </w:rPr>
      </w:pPr>
      <w:r>
        <w:rPr>
          <w:rFonts w:ascii="Arial" w:hAnsi="Arial" w:cs="Arial"/>
          <w:sz w:val="22"/>
          <w:szCs w:val="22"/>
          <w:lang w:val="en-US"/>
        </w:rPr>
        <w:t xml:space="preserve">No adverse events were recorded in </w:t>
      </w:r>
      <w:r w:rsidR="002A4388">
        <w:rPr>
          <w:rFonts w:ascii="Arial" w:hAnsi="Arial" w:cs="Arial"/>
          <w:sz w:val="22"/>
          <w:szCs w:val="22"/>
          <w:lang w:val="en-US"/>
        </w:rPr>
        <w:t>either</w:t>
      </w:r>
      <w:r>
        <w:rPr>
          <w:rFonts w:ascii="Arial" w:hAnsi="Arial" w:cs="Arial"/>
          <w:sz w:val="22"/>
          <w:szCs w:val="22"/>
          <w:lang w:val="en-US"/>
        </w:rPr>
        <w:t xml:space="preserve"> study groups.</w:t>
      </w:r>
    </w:p>
    <w:p w14:paraId="796884F0" w14:textId="77777777" w:rsidR="00143AE9" w:rsidRDefault="00143AE9" w:rsidP="0080481C">
      <w:pPr>
        <w:spacing w:line="480" w:lineRule="auto"/>
        <w:rPr>
          <w:rFonts w:ascii="Arial" w:hAnsi="Arial" w:cs="Arial"/>
          <w:sz w:val="22"/>
          <w:szCs w:val="22"/>
          <w:lang w:val="en-US"/>
        </w:rPr>
      </w:pPr>
    </w:p>
    <w:p w14:paraId="6115078E" w14:textId="77777777" w:rsidR="00C85F2B" w:rsidRPr="00C85F2B" w:rsidRDefault="00C85F2B" w:rsidP="00C85F2B">
      <w:pPr>
        <w:spacing w:line="480" w:lineRule="auto"/>
        <w:rPr>
          <w:rFonts w:ascii="Arial" w:hAnsi="Arial" w:cs="Arial"/>
          <w:sz w:val="18"/>
          <w:szCs w:val="22"/>
          <w:lang w:val="en-US"/>
        </w:rPr>
      </w:pPr>
    </w:p>
    <w:p w14:paraId="71CA07AF" w14:textId="77777777"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DISCUSSION</w:t>
      </w:r>
    </w:p>
    <w:p w14:paraId="6E95BCFB" w14:textId="77777777"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Main findings</w:t>
      </w:r>
    </w:p>
    <w:p w14:paraId="30F4B365" w14:textId="29C5B7E8" w:rsidR="000439D0" w:rsidRDefault="00AA076B" w:rsidP="00483AC8">
      <w:pPr>
        <w:spacing w:line="480" w:lineRule="auto"/>
        <w:rPr>
          <w:rFonts w:ascii="Arial" w:hAnsi="Arial" w:cs="Arial"/>
          <w:sz w:val="22"/>
          <w:szCs w:val="22"/>
          <w:lang w:val="en-US"/>
        </w:rPr>
      </w:pPr>
      <w:r>
        <w:rPr>
          <w:rFonts w:ascii="Arial" w:hAnsi="Arial" w:cs="Arial"/>
          <w:sz w:val="22"/>
          <w:szCs w:val="22"/>
          <w:lang w:val="en-US"/>
        </w:rPr>
        <w:t>The RCT</w:t>
      </w:r>
      <w:r w:rsidR="00436EF3">
        <w:rPr>
          <w:rFonts w:ascii="Arial" w:hAnsi="Arial" w:cs="Arial"/>
          <w:sz w:val="22"/>
          <w:szCs w:val="22"/>
          <w:lang w:val="en-US"/>
        </w:rPr>
        <w:t xml:space="preserve"> failed to show a significant advantage of immediate postoperative start of treatment with COH-IUI in patients with a high EFI-score as compared to expectant management (for the cumulative clinical pregnancy rate after 7 menstrual cycles). More precisely, not even a trend towards a benefit for immediate COH-IUI was observed</w:t>
      </w:r>
      <w:r w:rsidR="009E41E0">
        <w:rPr>
          <w:rFonts w:ascii="Arial" w:hAnsi="Arial" w:cs="Arial"/>
          <w:sz w:val="22"/>
          <w:szCs w:val="22"/>
          <w:lang w:val="en-US"/>
        </w:rPr>
        <w:t>.</w:t>
      </w:r>
      <w:r w:rsidR="00B703FB">
        <w:rPr>
          <w:rFonts w:ascii="Arial" w:hAnsi="Arial" w:cs="Arial"/>
          <w:sz w:val="22"/>
          <w:szCs w:val="22"/>
          <w:lang w:val="en-US"/>
        </w:rPr>
        <w:t xml:space="preserve"> </w:t>
      </w:r>
      <w:r>
        <w:rPr>
          <w:rFonts w:ascii="Arial" w:hAnsi="Arial" w:cs="Arial"/>
          <w:sz w:val="22"/>
          <w:szCs w:val="22"/>
          <w:lang w:val="en-US"/>
        </w:rPr>
        <w:t>Of course,</w:t>
      </w:r>
      <w:r w:rsidR="00436EF3">
        <w:rPr>
          <w:rFonts w:ascii="Arial" w:hAnsi="Arial" w:cs="Arial"/>
          <w:sz w:val="22"/>
          <w:szCs w:val="22"/>
          <w:lang w:val="en-US"/>
        </w:rPr>
        <w:t xml:space="preserve"> this might be attributed to the failure to recruit the targeted sample size,</w:t>
      </w:r>
      <w:r w:rsidR="00EB52F6">
        <w:rPr>
          <w:rFonts w:ascii="Arial" w:hAnsi="Arial" w:cs="Arial"/>
          <w:sz w:val="22"/>
          <w:szCs w:val="22"/>
          <w:lang w:val="en-US"/>
        </w:rPr>
        <w:t xml:space="preserve"> although after correction for allocation and cycle rank in the discrete-time hazard model</w:t>
      </w:r>
      <w:r w:rsidR="00EB52F6" w:rsidRPr="00EB52F6">
        <w:rPr>
          <w:rFonts w:ascii="Arial" w:hAnsi="Arial" w:cs="Arial"/>
          <w:sz w:val="22"/>
          <w:szCs w:val="22"/>
          <w:lang w:val="en-US"/>
        </w:rPr>
        <w:t>, the effect of IUI on a cycle level was even further attenuated.</w:t>
      </w:r>
      <w:r w:rsidR="00EB52F6">
        <w:rPr>
          <w:rFonts w:ascii="Arial" w:hAnsi="Arial" w:cs="Arial"/>
          <w:sz w:val="22"/>
          <w:szCs w:val="22"/>
          <w:lang w:val="en-US"/>
        </w:rPr>
        <w:t xml:space="preserve"> Furthermore</w:t>
      </w:r>
      <w:r w:rsidR="00436EF3">
        <w:rPr>
          <w:rFonts w:ascii="Arial" w:hAnsi="Arial" w:cs="Arial"/>
          <w:sz w:val="22"/>
          <w:szCs w:val="22"/>
          <w:lang w:val="en-US"/>
        </w:rPr>
        <w:t xml:space="preserve">, it is </w:t>
      </w:r>
      <w:r w:rsidR="000439D0">
        <w:rPr>
          <w:rFonts w:ascii="Arial" w:hAnsi="Arial" w:cs="Arial"/>
          <w:sz w:val="22"/>
          <w:szCs w:val="22"/>
          <w:lang w:val="en-US"/>
        </w:rPr>
        <w:t>of utmost importance</w:t>
      </w:r>
      <w:r w:rsidR="00436EF3">
        <w:rPr>
          <w:rFonts w:ascii="Arial" w:hAnsi="Arial" w:cs="Arial"/>
          <w:sz w:val="22"/>
          <w:szCs w:val="22"/>
          <w:lang w:val="en-US"/>
        </w:rPr>
        <w:t xml:space="preserve"> that </w:t>
      </w:r>
      <w:r w:rsidR="009E41E0">
        <w:rPr>
          <w:rFonts w:ascii="Arial" w:hAnsi="Arial" w:cs="Arial"/>
          <w:sz w:val="22"/>
          <w:szCs w:val="22"/>
          <w:lang w:val="en-US"/>
        </w:rPr>
        <w:t>half of the clinical pregnancies that were achieved in the R-IUI-group were actually spontaneous and not after IUI</w:t>
      </w:r>
      <w:r w:rsidR="00B8743F">
        <w:rPr>
          <w:rFonts w:ascii="Arial" w:hAnsi="Arial" w:cs="Arial"/>
          <w:sz w:val="22"/>
          <w:szCs w:val="22"/>
          <w:lang w:val="en-US"/>
        </w:rPr>
        <w:t>, which could be recorded due to the specific design of our study where the follow-up period was defined by time and the number of menstrual cycles rather than the number (IUI) cycles per se.</w:t>
      </w:r>
    </w:p>
    <w:p w14:paraId="75BAAB26" w14:textId="2E44F7E1" w:rsidR="00B8743F" w:rsidRDefault="00B8743F" w:rsidP="00483AC8">
      <w:pPr>
        <w:spacing w:line="480" w:lineRule="auto"/>
        <w:rPr>
          <w:rFonts w:ascii="Arial" w:hAnsi="Arial" w:cs="Arial"/>
          <w:sz w:val="22"/>
          <w:szCs w:val="22"/>
          <w:lang w:val="en-US"/>
        </w:rPr>
      </w:pPr>
      <w:r>
        <w:rPr>
          <w:rFonts w:ascii="Arial" w:hAnsi="Arial" w:cs="Arial"/>
          <w:sz w:val="22"/>
          <w:szCs w:val="22"/>
          <w:lang w:val="en-US"/>
        </w:rPr>
        <w:t>These conclusions are similar to those of a retrospective controlled cohort study by Ghandi et al. (2013), where no benefit of COH+IUI (mix of anti-oestrogens and gonadotrophins) was seen in any stage of endometriosis (after surgical treatment) using Kaplan-Meier estimates. Other similarit</w:t>
      </w:r>
      <w:r w:rsidR="00E229C1">
        <w:rPr>
          <w:rFonts w:ascii="Arial" w:hAnsi="Arial" w:cs="Arial"/>
          <w:sz w:val="22"/>
          <w:szCs w:val="22"/>
          <w:lang w:val="en-US"/>
        </w:rPr>
        <w:t>ies with our study are that Ghandi et al.</w:t>
      </w:r>
      <w:r>
        <w:rPr>
          <w:rFonts w:ascii="Arial" w:hAnsi="Arial" w:cs="Arial"/>
          <w:sz w:val="22"/>
          <w:szCs w:val="22"/>
          <w:lang w:val="en-US"/>
        </w:rPr>
        <w:t xml:space="preserve"> have included patients between 18-35years, with at least one patent fallopian tube, and normal of mild male factor infertility. </w:t>
      </w:r>
      <w:r w:rsidR="00873E95">
        <w:rPr>
          <w:rFonts w:ascii="Arial" w:hAnsi="Arial" w:cs="Arial"/>
          <w:sz w:val="22"/>
          <w:szCs w:val="22"/>
          <w:lang w:val="en-US"/>
        </w:rPr>
        <w:t>Apart from the fact that the study by Ghandi et al</w:t>
      </w:r>
      <w:r w:rsidR="00E229C1">
        <w:rPr>
          <w:rFonts w:ascii="Arial" w:hAnsi="Arial" w:cs="Arial"/>
          <w:sz w:val="22"/>
          <w:szCs w:val="22"/>
          <w:lang w:val="en-US"/>
        </w:rPr>
        <w:t>.</w:t>
      </w:r>
      <w:r w:rsidR="00873E95">
        <w:rPr>
          <w:rFonts w:ascii="Arial" w:hAnsi="Arial" w:cs="Arial"/>
          <w:sz w:val="22"/>
          <w:szCs w:val="22"/>
          <w:lang w:val="en-US"/>
        </w:rPr>
        <w:t xml:space="preserve"> was a retrospective study, other relevant differences with our study were noticed (such as</w:t>
      </w:r>
      <w:r>
        <w:rPr>
          <w:rFonts w:ascii="Arial" w:hAnsi="Arial" w:cs="Arial"/>
          <w:sz w:val="22"/>
          <w:szCs w:val="22"/>
          <w:lang w:val="en-US"/>
        </w:rPr>
        <w:t xml:space="preserve"> inclusion of patients with</w:t>
      </w:r>
      <w:r w:rsidR="00873E95">
        <w:rPr>
          <w:rFonts w:ascii="Arial" w:hAnsi="Arial" w:cs="Arial"/>
          <w:sz w:val="22"/>
          <w:szCs w:val="22"/>
          <w:lang w:val="en-US"/>
        </w:rPr>
        <w:t xml:space="preserve"> ovulatory dysfunction and PCOS, </w:t>
      </w:r>
      <w:r w:rsidR="00E229C1">
        <w:rPr>
          <w:rFonts w:ascii="Arial" w:hAnsi="Arial" w:cs="Arial"/>
          <w:sz w:val="22"/>
          <w:szCs w:val="22"/>
          <w:lang w:val="en-US"/>
        </w:rPr>
        <w:t xml:space="preserve">reported </w:t>
      </w:r>
      <w:r w:rsidR="00873E95">
        <w:rPr>
          <w:rFonts w:ascii="Arial" w:hAnsi="Arial" w:cs="Arial"/>
          <w:sz w:val="22"/>
          <w:szCs w:val="22"/>
          <w:lang w:val="en-US"/>
        </w:rPr>
        <w:t xml:space="preserve">selection bias by the treating reproductive surgeon, and no EFI score calculated), which does not make it entirely comparable to our data. </w:t>
      </w:r>
    </w:p>
    <w:p w14:paraId="017FE57E" w14:textId="7328EE96" w:rsidR="00B84F73" w:rsidRDefault="009E41E0" w:rsidP="0080481C">
      <w:pPr>
        <w:spacing w:line="480" w:lineRule="auto"/>
        <w:rPr>
          <w:rFonts w:ascii="Arial" w:hAnsi="Arial" w:cs="Arial"/>
          <w:sz w:val="22"/>
          <w:szCs w:val="22"/>
          <w:lang w:val="en-US"/>
        </w:rPr>
      </w:pPr>
      <w:r>
        <w:rPr>
          <w:rFonts w:ascii="Arial" w:hAnsi="Arial" w:cs="Arial"/>
          <w:sz w:val="22"/>
          <w:szCs w:val="22"/>
          <w:lang w:val="en-US"/>
        </w:rPr>
        <w:t>Since the start of our study, one prospective study on the role of COH-IUI has been publ</w:t>
      </w:r>
      <w:r w:rsidR="00F86556">
        <w:rPr>
          <w:rFonts w:ascii="Arial" w:hAnsi="Arial" w:cs="Arial"/>
          <w:sz w:val="22"/>
          <w:szCs w:val="22"/>
          <w:lang w:val="en-US"/>
        </w:rPr>
        <w:t xml:space="preserve">ished (Keresztúri et al., 2015), which </w:t>
      </w:r>
      <w:r w:rsidR="00EB52F6">
        <w:rPr>
          <w:rFonts w:ascii="Arial" w:hAnsi="Arial" w:cs="Arial"/>
          <w:sz w:val="22"/>
          <w:szCs w:val="22"/>
          <w:lang w:val="en-US"/>
        </w:rPr>
        <w:t xml:space="preserve">claimed </w:t>
      </w:r>
      <w:r w:rsidR="00F86556">
        <w:rPr>
          <w:rFonts w:ascii="Arial" w:hAnsi="Arial" w:cs="Arial"/>
          <w:sz w:val="22"/>
          <w:szCs w:val="22"/>
          <w:lang w:val="en-US"/>
        </w:rPr>
        <w:t xml:space="preserve">a benefit of COH-IUI after surgery in endometriosis-based infertility. However, there are several </w:t>
      </w:r>
      <w:r w:rsidR="00873E95">
        <w:rPr>
          <w:rFonts w:ascii="Arial" w:hAnsi="Arial" w:cs="Arial"/>
          <w:sz w:val="22"/>
          <w:szCs w:val="22"/>
          <w:lang w:val="en-US"/>
        </w:rPr>
        <w:t xml:space="preserve">important </w:t>
      </w:r>
      <w:r w:rsidR="00F86556">
        <w:rPr>
          <w:rFonts w:ascii="Arial" w:hAnsi="Arial" w:cs="Arial"/>
          <w:sz w:val="22"/>
          <w:szCs w:val="22"/>
          <w:lang w:val="en-US"/>
        </w:rPr>
        <w:t>(methodological) flaws in this study:</w:t>
      </w:r>
      <w:r w:rsidR="00873E95">
        <w:rPr>
          <w:rFonts w:ascii="Arial" w:hAnsi="Arial" w:cs="Arial"/>
          <w:sz w:val="22"/>
          <w:szCs w:val="22"/>
          <w:lang w:val="en-US"/>
        </w:rPr>
        <w:t xml:space="preserve"> a very</w:t>
      </w:r>
      <w:r w:rsidR="00F86556">
        <w:rPr>
          <w:rFonts w:ascii="Arial" w:hAnsi="Arial" w:cs="Arial"/>
          <w:sz w:val="22"/>
          <w:szCs w:val="22"/>
          <w:lang w:val="en-US"/>
        </w:rPr>
        <w:t xml:space="preserve"> long time delay between study conduction (</w:t>
      </w:r>
      <w:r w:rsidR="00873E95">
        <w:rPr>
          <w:rFonts w:ascii="Arial" w:hAnsi="Arial" w:cs="Arial"/>
          <w:sz w:val="22"/>
          <w:szCs w:val="22"/>
          <w:lang w:val="en-US"/>
        </w:rPr>
        <w:t>2002-</w:t>
      </w:r>
      <w:r w:rsidR="00F86556">
        <w:rPr>
          <w:rFonts w:ascii="Arial" w:hAnsi="Arial" w:cs="Arial"/>
          <w:sz w:val="22"/>
          <w:szCs w:val="22"/>
          <w:lang w:val="en-US"/>
        </w:rPr>
        <w:t xml:space="preserve">2008) and timing of publication (2015), </w:t>
      </w:r>
      <w:r w:rsidR="00873E95">
        <w:rPr>
          <w:rFonts w:ascii="Arial" w:hAnsi="Arial" w:cs="Arial"/>
          <w:sz w:val="22"/>
          <w:szCs w:val="22"/>
          <w:lang w:val="en-US"/>
        </w:rPr>
        <w:t>non-random allocation</w:t>
      </w:r>
      <w:r w:rsidR="00F86556">
        <w:rPr>
          <w:rFonts w:ascii="Arial" w:hAnsi="Arial" w:cs="Arial"/>
          <w:sz w:val="22"/>
          <w:szCs w:val="22"/>
          <w:lang w:val="en-US"/>
        </w:rPr>
        <w:t xml:space="preserve"> with unclear stated reasons, double IUI, </w:t>
      </w:r>
      <w:r w:rsidR="000E01FB">
        <w:rPr>
          <w:rFonts w:ascii="Arial" w:hAnsi="Arial" w:cs="Arial"/>
          <w:sz w:val="22"/>
          <w:szCs w:val="22"/>
          <w:lang w:val="en-US"/>
        </w:rPr>
        <w:t xml:space="preserve">exclusion </w:t>
      </w:r>
      <w:r w:rsidR="000E01FB">
        <w:rPr>
          <w:rFonts w:ascii="Arial" w:hAnsi="Arial" w:cs="Arial"/>
          <w:sz w:val="22"/>
          <w:szCs w:val="22"/>
          <w:lang w:val="en-US"/>
        </w:rPr>
        <w:lastRenderedPageBreak/>
        <w:t xml:space="preserve">of </w:t>
      </w:r>
      <w:r w:rsidR="00F86556">
        <w:rPr>
          <w:rFonts w:ascii="Arial" w:hAnsi="Arial" w:cs="Arial"/>
          <w:sz w:val="22"/>
          <w:szCs w:val="22"/>
          <w:lang w:val="en-US"/>
        </w:rPr>
        <w:t xml:space="preserve">initiated but cancelled </w:t>
      </w:r>
      <w:r w:rsidR="000E01FB">
        <w:rPr>
          <w:rFonts w:ascii="Arial" w:hAnsi="Arial" w:cs="Arial"/>
          <w:sz w:val="22"/>
          <w:szCs w:val="22"/>
          <w:lang w:val="en-US"/>
        </w:rPr>
        <w:t xml:space="preserve">IUI </w:t>
      </w:r>
      <w:r w:rsidR="00F86556">
        <w:rPr>
          <w:rFonts w:ascii="Arial" w:hAnsi="Arial" w:cs="Arial"/>
          <w:sz w:val="22"/>
          <w:szCs w:val="22"/>
          <w:lang w:val="en-US"/>
        </w:rPr>
        <w:t>cycles, sexual intercourse was ‘forbidden’ during IUI, EFI was not reported,</w:t>
      </w:r>
      <w:r w:rsidR="00873E95">
        <w:rPr>
          <w:rFonts w:ascii="Arial" w:hAnsi="Arial" w:cs="Arial"/>
          <w:sz w:val="22"/>
          <w:szCs w:val="22"/>
          <w:lang w:val="en-US"/>
        </w:rPr>
        <w:t xml:space="preserve"> </w:t>
      </w:r>
      <w:r w:rsidR="000E01FB">
        <w:rPr>
          <w:rFonts w:ascii="Arial" w:hAnsi="Arial" w:cs="Arial"/>
          <w:sz w:val="22"/>
          <w:szCs w:val="22"/>
          <w:lang w:val="en-US"/>
        </w:rPr>
        <w:t xml:space="preserve">cumulative analyses with Kruskal-Wallis test instead of Kaplan-Meier estimates, </w:t>
      </w:r>
      <w:r w:rsidR="00F86556">
        <w:rPr>
          <w:rFonts w:ascii="Arial" w:hAnsi="Arial" w:cs="Arial"/>
          <w:sz w:val="22"/>
          <w:szCs w:val="22"/>
          <w:lang w:val="en-US"/>
        </w:rPr>
        <w:t xml:space="preserve">and </w:t>
      </w:r>
      <w:r w:rsidR="000E01FB">
        <w:rPr>
          <w:rFonts w:ascii="Arial" w:hAnsi="Arial" w:cs="Arial"/>
          <w:sz w:val="22"/>
          <w:szCs w:val="22"/>
          <w:lang w:val="en-US"/>
        </w:rPr>
        <w:t>no reporting whether a</w:t>
      </w:r>
      <w:r w:rsidR="00F86556">
        <w:rPr>
          <w:rFonts w:ascii="Arial" w:hAnsi="Arial" w:cs="Arial"/>
          <w:sz w:val="22"/>
          <w:szCs w:val="22"/>
          <w:lang w:val="en-US"/>
        </w:rPr>
        <w:t>ny of the pregnancies seen in the IUI-gro</w:t>
      </w:r>
      <w:r w:rsidR="00EB52F6">
        <w:rPr>
          <w:rFonts w:ascii="Arial" w:hAnsi="Arial" w:cs="Arial"/>
          <w:sz w:val="22"/>
          <w:szCs w:val="22"/>
          <w:lang w:val="en-US"/>
        </w:rPr>
        <w:t>up were conceived spontaneously. Altogether, this approach is not comparable with our study (nor for the RCT as for the observational part).</w:t>
      </w:r>
    </w:p>
    <w:p w14:paraId="5409DCD9" w14:textId="77777777" w:rsidR="00436EF3" w:rsidRDefault="00436EF3" w:rsidP="0080481C">
      <w:pPr>
        <w:spacing w:line="480" w:lineRule="auto"/>
        <w:rPr>
          <w:rFonts w:ascii="Arial" w:hAnsi="Arial" w:cs="Arial"/>
          <w:sz w:val="22"/>
          <w:szCs w:val="22"/>
          <w:lang w:val="en-US"/>
        </w:rPr>
      </w:pPr>
    </w:p>
    <w:p w14:paraId="2C2747A1" w14:textId="77777777" w:rsidR="00EB52F6"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 xml:space="preserve">Strengths </w:t>
      </w:r>
    </w:p>
    <w:p w14:paraId="037441B0" w14:textId="4CA844C9" w:rsidR="00EB52F6" w:rsidRDefault="00EB52F6" w:rsidP="0080481C">
      <w:pPr>
        <w:spacing w:line="480" w:lineRule="auto"/>
        <w:rPr>
          <w:rFonts w:ascii="Arial" w:hAnsi="Arial" w:cs="Arial"/>
          <w:sz w:val="22"/>
          <w:szCs w:val="22"/>
          <w:lang w:val="en-US"/>
        </w:rPr>
      </w:pPr>
      <w:r>
        <w:rPr>
          <w:rFonts w:ascii="Arial" w:hAnsi="Arial" w:cs="Arial"/>
          <w:sz w:val="22"/>
          <w:szCs w:val="22"/>
          <w:lang w:val="en-US"/>
        </w:rPr>
        <w:t>The most important strength of our study, is that the selection of eligible patients was mai</w:t>
      </w:r>
      <w:r w:rsidR="00647F50">
        <w:rPr>
          <w:rFonts w:ascii="Arial" w:hAnsi="Arial" w:cs="Arial"/>
          <w:sz w:val="22"/>
          <w:szCs w:val="22"/>
          <w:lang w:val="en-US"/>
        </w:rPr>
        <w:t xml:space="preserve">nly based on </w:t>
      </w:r>
      <w:r>
        <w:rPr>
          <w:rFonts w:ascii="Arial" w:hAnsi="Arial" w:cs="Arial"/>
          <w:sz w:val="22"/>
          <w:szCs w:val="22"/>
          <w:lang w:val="en-US"/>
        </w:rPr>
        <w:t>EFI</w:t>
      </w:r>
      <w:r w:rsidR="00647F50">
        <w:rPr>
          <w:rFonts w:ascii="Arial" w:hAnsi="Arial" w:cs="Arial"/>
          <w:sz w:val="22"/>
          <w:szCs w:val="22"/>
          <w:lang w:val="en-US"/>
        </w:rPr>
        <w:t xml:space="preserve"> scoring</w:t>
      </w:r>
      <w:r>
        <w:rPr>
          <w:rFonts w:ascii="Arial" w:hAnsi="Arial" w:cs="Arial"/>
          <w:sz w:val="22"/>
          <w:szCs w:val="22"/>
          <w:lang w:val="en-US"/>
        </w:rPr>
        <w:t xml:space="preserve">, which had to be at least 7 or more. </w:t>
      </w:r>
      <w:r w:rsidR="004D721E">
        <w:rPr>
          <w:rFonts w:ascii="Arial" w:hAnsi="Arial" w:cs="Arial"/>
          <w:sz w:val="22"/>
          <w:szCs w:val="22"/>
          <w:lang w:val="en-US"/>
        </w:rPr>
        <w:t xml:space="preserve">To our knowledge, this is the first study using this approach. Furthermore, we have used a stringent methodology, </w:t>
      </w:r>
      <w:r w:rsidR="00AC130D">
        <w:rPr>
          <w:rFonts w:ascii="Arial" w:hAnsi="Arial" w:cs="Arial"/>
          <w:sz w:val="22"/>
          <w:szCs w:val="22"/>
          <w:lang w:val="en-US"/>
        </w:rPr>
        <w:t xml:space="preserve">had </w:t>
      </w:r>
      <w:r w:rsidR="004D721E">
        <w:rPr>
          <w:rFonts w:ascii="Arial" w:hAnsi="Arial" w:cs="Arial"/>
          <w:sz w:val="22"/>
          <w:szCs w:val="22"/>
          <w:lang w:val="en-US"/>
        </w:rPr>
        <w:t>a low drop-out rate and we will be reporting on cumulative live birth rates (data awaited at the time of writing this chapter</w:t>
      </w:r>
      <w:r w:rsidR="00AC130D">
        <w:rPr>
          <w:rFonts w:ascii="Arial" w:hAnsi="Arial" w:cs="Arial"/>
          <w:sz w:val="22"/>
          <w:szCs w:val="22"/>
          <w:lang w:val="en-US"/>
        </w:rPr>
        <w:t>). Also, in the IUI-group,</w:t>
      </w:r>
      <w:r w:rsidR="004D721E">
        <w:rPr>
          <w:rFonts w:ascii="Arial" w:hAnsi="Arial" w:cs="Arial"/>
          <w:sz w:val="22"/>
          <w:szCs w:val="22"/>
          <w:lang w:val="en-US"/>
        </w:rPr>
        <w:t xml:space="preserve"> spontaneous pregnancies are accounted for (and appeared to be frequent), which is more in line with a real-life situation of daily clinical practice</w:t>
      </w:r>
      <w:r w:rsidR="00AC130D">
        <w:rPr>
          <w:rFonts w:ascii="Arial" w:hAnsi="Arial" w:cs="Arial"/>
          <w:sz w:val="22"/>
          <w:szCs w:val="22"/>
          <w:lang w:val="en-US"/>
        </w:rPr>
        <w:t xml:space="preserve"> than only focusing on IUI-pregnancies</w:t>
      </w:r>
      <w:r w:rsidR="004D721E">
        <w:rPr>
          <w:rFonts w:ascii="Arial" w:hAnsi="Arial" w:cs="Arial"/>
          <w:sz w:val="22"/>
          <w:szCs w:val="22"/>
          <w:lang w:val="en-US"/>
        </w:rPr>
        <w:t>. Although the RCT was underpowered and did not reach the targeted sample size, raw data are available on request to be used for future meta-analyses and/or IPD-analyses.</w:t>
      </w:r>
    </w:p>
    <w:p w14:paraId="25FD8F94" w14:textId="77777777" w:rsidR="004D721E" w:rsidRPr="00EB52F6" w:rsidRDefault="004D721E" w:rsidP="0080481C">
      <w:pPr>
        <w:spacing w:line="480" w:lineRule="auto"/>
        <w:rPr>
          <w:rFonts w:ascii="Arial" w:hAnsi="Arial" w:cs="Arial"/>
          <w:sz w:val="22"/>
          <w:szCs w:val="22"/>
          <w:lang w:val="en-US"/>
        </w:rPr>
      </w:pPr>
    </w:p>
    <w:p w14:paraId="2293D370" w14:textId="79F3C7DF" w:rsidR="00B84F73" w:rsidRPr="005D0FC7" w:rsidRDefault="00EB52F6" w:rsidP="0080481C">
      <w:pPr>
        <w:spacing w:line="480" w:lineRule="auto"/>
        <w:rPr>
          <w:rFonts w:ascii="Arial" w:hAnsi="Arial" w:cs="Arial"/>
          <w:b/>
          <w:sz w:val="22"/>
          <w:szCs w:val="22"/>
          <w:lang w:val="en-US"/>
        </w:rPr>
      </w:pPr>
      <w:r>
        <w:rPr>
          <w:rFonts w:ascii="Arial" w:hAnsi="Arial" w:cs="Arial"/>
          <w:b/>
          <w:sz w:val="22"/>
          <w:szCs w:val="22"/>
          <w:lang w:val="en-US"/>
        </w:rPr>
        <w:t>L</w:t>
      </w:r>
      <w:r w:rsidR="00B84F73" w:rsidRPr="005D0FC7">
        <w:rPr>
          <w:rFonts w:ascii="Arial" w:hAnsi="Arial" w:cs="Arial"/>
          <w:b/>
          <w:sz w:val="22"/>
          <w:szCs w:val="22"/>
          <w:lang w:val="en-US"/>
        </w:rPr>
        <w:t>imitations</w:t>
      </w:r>
    </w:p>
    <w:p w14:paraId="1C23402A" w14:textId="5B696F19" w:rsidR="00B84F73" w:rsidRDefault="00B703FB" w:rsidP="0080481C">
      <w:pPr>
        <w:spacing w:line="480" w:lineRule="auto"/>
        <w:rPr>
          <w:rFonts w:ascii="Arial" w:hAnsi="Arial" w:cs="Arial"/>
          <w:sz w:val="22"/>
          <w:szCs w:val="22"/>
          <w:lang w:val="en-US"/>
        </w:rPr>
      </w:pPr>
      <w:r>
        <w:rPr>
          <w:rFonts w:ascii="Arial" w:hAnsi="Arial" w:cs="Arial"/>
          <w:sz w:val="22"/>
          <w:szCs w:val="22"/>
          <w:lang w:val="en-US"/>
        </w:rPr>
        <w:t xml:space="preserve">The most important limitation is obviously the lack of recruitment of the targeted sample size in </w:t>
      </w:r>
      <w:r w:rsidR="00AA076B">
        <w:rPr>
          <w:rFonts w:ascii="Arial" w:hAnsi="Arial" w:cs="Arial"/>
          <w:sz w:val="22"/>
          <w:szCs w:val="22"/>
          <w:lang w:val="en-US"/>
        </w:rPr>
        <w:t>our</w:t>
      </w:r>
      <w:r w:rsidR="00AA076B">
        <w:rPr>
          <w:rFonts w:ascii="Arial" w:hAnsi="Arial" w:cs="Arial"/>
          <w:sz w:val="22"/>
          <w:szCs w:val="22"/>
          <w:lang w:val="en-US"/>
        </w:rPr>
        <w:t xml:space="preserve"> </w:t>
      </w:r>
      <w:r>
        <w:rPr>
          <w:rFonts w:ascii="Arial" w:hAnsi="Arial" w:cs="Arial"/>
          <w:sz w:val="22"/>
          <w:szCs w:val="22"/>
          <w:lang w:val="en-US"/>
        </w:rPr>
        <w:t xml:space="preserve">RCT. The </w:t>
      </w:r>
      <w:r w:rsidR="00AA076B">
        <w:rPr>
          <w:rFonts w:ascii="Arial" w:hAnsi="Arial" w:cs="Arial"/>
          <w:sz w:val="22"/>
          <w:szCs w:val="22"/>
          <w:lang w:val="en-US"/>
        </w:rPr>
        <w:t>study</w:t>
      </w:r>
      <w:r>
        <w:rPr>
          <w:rFonts w:ascii="Arial" w:hAnsi="Arial" w:cs="Arial"/>
          <w:sz w:val="22"/>
          <w:szCs w:val="22"/>
          <w:lang w:val="en-US"/>
        </w:rPr>
        <w:t xml:space="preserve"> was discontinued early because of low recruitment rates that were entirely due to a pre-existent strong preference for either expectant management or IUI in the eligible patients. Second,</w:t>
      </w:r>
      <w:r w:rsidR="004D721E">
        <w:rPr>
          <w:rFonts w:ascii="Arial" w:hAnsi="Arial" w:cs="Arial"/>
          <w:sz w:val="22"/>
          <w:szCs w:val="22"/>
          <w:lang w:val="en-US"/>
        </w:rPr>
        <w:t xml:space="preserve"> blinding of patients or physicians was not possible due to the nature of the intervention. </w:t>
      </w:r>
    </w:p>
    <w:p w14:paraId="0DDDEF48" w14:textId="77777777" w:rsidR="00AC130D" w:rsidRDefault="00AC130D" w:rsidP="0080481C">
      <w:pPr>
        <w:spacing w:line="480" w:lineRule="auto"/>
        <w:rPr>
          <w:rFonts w:ascii="Arial" w:hAnsi="Arial" w:cs="Arial"/>
          <w:sz w:val="22"/>
          <w:szCs w:val="22"/>
          <w:lang w:val="en-US"/>
        </w:rPr>
      </w:pPr>
    </w:p>
    <w:p w14:paraId="0F614D63" w14:textId="77777777" w:rsidR="00B84F73" w:rsidRPr="005D0FC7" w:rsidRDefault="00B84F73" w:rsidP="0080481C">
      <w:pPr>
        <w:spacing w:line="480" w:lineRule="auto"/>
        <w:rPr>
          <w:rFonts w:ascii="Arial" w:hAnsi="Arial" w:cs="Arial"/>
          <w:b/>
          <w:sz w:val="22"/>
          <w:szCs w:val="22"/>
          <w:lang w:val="en-US"/>
        </w:rPr>
      </w:pPr>
      <w:r w:rsidRPr="005D0FC7">
        <w:rPr>
          <w:rFonts w:ascii="Arial" w:hAnsi="Arial" w:cs="Arial"/>
          <w:b/>
          <w:sz w:val="22"/>
          <w:szCs w:val="22"/>
          <w:lang w:val="en-US"/>
        </w:rPr>
        <w:t>Interpretation of findings and clinical implications</w:t>
      </w:r>
    </w:p>
    <w:p w14:paraId="1B9551F1" w14:textId="67C09783" w:rsidR="00B703FB" w:rsidRPr="000E01FB" w:rsidRDefault="00B703FB" w:rsidP="00B703FB">
      <w:pPr>
        <w:spacing w:line="480" w:lineRule="auto"/>
        <w:rPr>
          <w:rFonts w:ascii="Arial" w:hAnsi="Arial" w:cs="Arial"/>
          <w:sz w:val="22"/>
          <w:szCs w:val="22"/>
          <w:lang w:val="en-US"/>
        </w:rPr>
      </w:pPr>
      <w:r>
        <w:rPr>
          <w:rFonts w:ascii="Arial" w:hAnsi="Arial" w:cs="Arial"/>
          <w:sz w:val="22"/>
          <w:szCs w:val="22"/>
          <w:lang w:val="en-US"/>
        </w:rPr>
        <w:t xml:space="preserve">Since the RCT was discontinued early, we performed a conditional power analysis </w:t>
      </w:r>
      <w:r w:rsidR="00C34A1A">
        <w:rPr>
          <w:rFonts w:ascii="Arial" w:hAnsi="Arial" w:cs="Arial"/>
          <w:sz w:val="22"/>
          <w:szCs w:val="22"/>
          <w:lang w:val="en-US"/>
        </w:rPr>
        <w:t>to calculate</w:t>
      </w:r>
      <w:r>
        <w:rPr>
          <w:rFonts w:ascii="Arial" w:hAnsi="Arial" w:cs="Arial"/>
          <w:sz w:val="22"/>
          <w:szCs w:val="22"/>
          <w:lang w:val="en-US"/>
        </w:rPr>
        <w:t xml:space="preserve"> – if the study were completed to reach its targeted sample size – the probability that a higher cumulative clinical pregnancy rate would be found in </w:t>
      </w:r>
      <w:r w:rsidRPr="00704ED8">
        <w:rPr>
          <w:rFonts w:ascii="Arial" w:hAnsi="Arial" w:cs="Arial"/>
          <w:sz w:val="22"/>
          <w:szCs w:val="22"/>
          <w:lang w:val="en-US"/>
        </w:rPr>
        <w:t xml:space="preserve">the R-IUI-group under null </w:t>
      </w:r>
      <w:r w:rsidRPr="00704ED8">
        <w:rPr>
          <w:rFonts w:ascii="Arial" w:hAnsi="Arial" w:cs="Arial"/>
          <w:sz w:val="22"/>
          <w:szCs w:val="22"/>
          <w:lang w:val="en-US"/>
        </w:rPr>
        <w:lastRenderedPageBreak/>
        <w:t>effects, continued trend</w:t>
      </w:r>
      <w:r w:rsidRPr="00143AE9">
        <w:rPr>
          <w:rFonts w:ascii="Arial" w:hAnsi="Arial" w:cs="Arial"/>
          <w:sz w:val="22"/>
          <w:szCs w:val="22"/>
          <w:lang w:val="en-US"/>
        </w:rPr>
        <w:t xml:space="preserve"> effects and hypothesized effects respectively.</w:t>
      </w:r>
      <w:r>
        <w:rPr>
          <w:rFonts w:ascii="Arial" w:hAnsi="Arial" w:cs="Arial"/>
          <w:sz w:val="22"/>
          <w:szCs w:val="22"/>
          <w:lang w:val="en-US"/>
        </w:rPr>
        <w:t xml:space="preserve"> In other words, under the two most realistic scenarios assuming continuation until completion of the study (null effect: future inclusions will not show any difference in CCPR between both groups if the study continues; continuous trend effects: future inclusions will show exactly the same trend as currently found in both groups), the probability that the study hypothesis would be confirmed would be virtually 0 (</w:t>
      </w:r>
      <w:r w:rsidRPr="00704ED8">
        <w:rPr>
          <w:rFonts w:ascii="Arial" w:hAnsi="Arial" w:cs="Arial"/>
          <w:sz w:val="22"/>
          <w:szCs w:val="22"/>
          <w:lang w:val="en-US"/>
        </w:rPr>
        <w:t>0.1</w:t>
      </w:r>
      <w:r>
        <w:rPr>
          <w:rFonts w:ascii="Arial" w:hAnsi="Arial" w:cs="Arial"/>
          <w:sz w:val="22"/>
          <w:szCs w:val="22"/>
          <w:lang w:val="en-US"/>
        </w:rPr>
        <w:t>% and</w:t>
      </w:r>
      <w:r w:rsidRPr="00704ED8">
        <w:rPr>
          <w:rFonts w:ascii="Arial" w:hAnsi="Arial" w:cs="Arial"/>
          <w:sz w:val="22"/>
          <w:szCs w:val="22"/>
          <w:lang w:val="en-US"/>
        </w:rPr>
        <w:t xml:space="preserve"> 0.00% </w:t>
      </w:r>
      <w:r>
        <w:rPr>
          <w:rFonts w:ascii="Arial" w:hAnsi="Arial" w:cs="Arial"/>
          <w:sz w:val="22"/>
          <w:szCs w:val="22"/>
          <w:lang w:val="en-US"/>
        </w:rPr>
        <w:t>respectivel</w:t>
      </w:r>
      <w:r w:rsidR="00C34A1A">
        <w:rPr>
          <w:rFonts w:ascii="Arial" w:hAnsi="Arial" w:cs="Arial"/>
          <w:sz w:val="22"/>
          <w:szCs w:val="22"/>
          <w:lang w:val="en-US"/>
        </w:rPr>
        <w:t>y)</w:t>
      </w:r>
      <w:r>
        <w:rPr>
          <w:rFonts w:ascii="Arial" w:hAnsi="Arial" w:cs="Arial"/>
          <w:sz w:val="22"/>
          <w:szCs w:val="22"/>
          <w:lang w:val="en-US"/>
        </w:rPr>
        <w:t xml:space="preserve">. Even in case of </w:t>
      </w:r>
      <w:r w:rsidRPr="00022F8A">
        <w:rPr>
          <w:rFonts w:ascii="Arial" w:hAnsi="Arial" w:cs="Arial"/>
          <w:sz w:val="22"/>
          <w:szCs w:val="22"/>
          <w:lang w:val="en-US"/>
        </w:rPr>
        <w:t>the third scenario (</w:t>
      </w:r>
      <w:r>
        <w:rPr>
          <w:rFonts w:ascii="Arial" w:hAnsi="Arial" w:cs="Arial"/>
          <w:sz w:val="22"/>
          <w:szCs w:val="22"/>
          <w:lang w:val="en-US"/>
        </w:rPr>
        <w:t xml:space="preserve">where future inclusions would show the hypothesized effect in the additional patients recruited till sample size would be completed), the probability of confirmation of our study hypothesis was estimated to be only </w:t>
      </w:r>
      <w:r w:rsidR="00C34A1A">
        <w:rPr>
          <w:rFonts w:ascii="Arial" w:hAnsi="Arial" w:cs="Arial"/>
          <w:sz w:val="22"/>
          <w:szCs w:val="22"/>
          <w:lang w:val="en-US"/>
        </w:rPr>
        <w:t>22.8</w:t>
      </w:r>
      <w:r>
        <w:rPr>
          <w:rFonts w:ascii="Arial" w:hAnsi="Arial" w:cs="Arial"/>
          <w:sz w:val="22"/>
          <w:szCs w:val="22"/>
          <w:lang w:val="en-US"/>
        </w:rPr>
        <w:t>%.</w:t>
      </w:r>
      <w:r w:rsidR="00C34A1A">
        <w:rPr>
          <w:rFonts w:ascii="Arial" w:hAnsi="Arial" w:cs="Arial"/>
          <w:sz w:val="22"/>
          <w:szCs w:val="22"/>
          <w:lang w:val="en-US"/>
        </w:rPr>
        <w:t xml:space="preserve"> </w:t>
      </w:r>
      <w:r w:rsidR="00647F50" w:rsidRPr="000E01FB">
        <w:rPr>
          <w:rFonts w:ascii="Arial" w:hAnsi="Arial" w:cs="Arial"/>
          <w:sz w:val="22"/>
          <w:szCs w:val="22"/>
          <w:lang w:val="en-US"/>
        </w:rPr>
        <w:t xml:space="preserve">In view of </w:t>
      </w:r>
      <w:r w:rsidR="00AA076B">
        <w:rPr>
          <w:rFonts w:ascii="Arial" w:hAnsi="Arial" w:cs="Arial"/>
          <w:sz w:val="22"/>
          <w:szCs w:val="22"/>
          <w:lang w:val="en-US"/>
        </w:rPr>
        <w:t>these results</w:t>
      </w:r>
      <w:r w:rsidR="00C34A1A" w:rsidRPr="000E01FB">
        <w:rPr>
          <w:rFonts w:ascii="Arial" w:hAnsi="Arial" w:cs="Arial"/>
          <w:sz w:val="22"/>
          <w:szCs w:val="22"/>
          <w:lang w:val="en-US"/>
        </w:rPr>
        <w:t>, we hypothesize that</w:t>
      </w:r>
      <w:r w:rsidR="00647F50" w:rsidRPr="000E01FB">
        <w:rPr>
          <w:rFonts w:ascii="Arial" w:hAnsi="Arial" w:cs="Arial"/>
          <w:sz w:val="22"/>
          <w:szCs w:val="22"/>
          <w:lang w:val="en-US"/>
        </w:rPr>
        <w:t xml:space="preserve"> COH+ IUI treatment does not provide added value to the probability of conception </w:t>
      </w:r>
      <w:r w:rsidR="000E01FB" w:rsidRPr="000E01FB">
        <w:rPr>
          <w:rFonts w:ascii="Arial" w:hAnsi="Arial" w:cs="Arial"/>
          <w:sz w:val="22"/>
          <w:szCs w:val="22"/>
          <w:lang w:val="en-US"/>
        </w:rPr>
        <w:t xml:space="preserve">immediately </w:t>
      </w:r>
      <w:r w:rsidR="00647F50" w:rsidRPr="000E01FB">
        <w:rPr>
          <w:rFonts w:ascii="Arial" w:hAnsi="Arial" w:cs="Arial"/>
          <w:sz w:val="22"/>
          <w:szCs w:val="22"/>
          <w:lang w:val="en-US"/>
        </w:rPr>
        <w:t>after endometriosis surgery.</w:t>
      </w:r>
      <w:r w:rsidR="000E01FB">
        <w:rPr>
          <w:rFonts w:ascii="Arial" w:hAnsi="Arial" w:cs="Arial"/>
          <w:sz w:val="22"/>
          <w:szCs w:val="22"/>
          <w:lang w:val="en-US"/>
        </w:rPr>
        <w:t xml:space="preserve"> Instead, </w:t>
      </w:r>
      <w:r w:rsidR="00E229C1">
        <w:rPr>
          <w:rFonts w:ascii="Arial" w:hAnsi="Arial" w:cs="Arial"/>
          <w:sz w:val="22"/>
          <w:szCs w:val="22"/>
          <w:lang w:val="en-US"/>
        </w:rPr>
        <w:t xml:space="preserve">we postulate that </w:t>
      </w:r>
      <w:r w:rsidR="00647F50" w:rsidRPr="000E01FB">
        <w:rPr>
          <w:rFonts w:ascii="Arial" w:hAnsi="Arial" w:cs="Arial"/>
          <w:sz w:val="22"/>
          <w:szCs w:val="22"/>
          <w:lang w:val="en-US"/>
        </w:rPr>
        <w:t xml:space="preserve">surgical treatment </w:t>
      </w:r>
      <w:r w:rsidR="000E01FB">
        <w:rPr>
          <w:rFonts w:ascii="Arial" w:hAnsi="Arial" w:cs="Arial"/>
          <w:sz w:val="22"/>
          <w:szCs w:val="22"/>
          <w:lang w:val="en-US"/>
        </w:rPr>
        <w:t>is initially sufficient in women with</w:t>
      </w:r>
      <w:r w:rsidR="00647F50" w:rsidRPr="000E01FB">
        <w:rPr>
          <w:rFonts w:ascii="Arial" w:hAnsi="Arial" w:cs="Arial"/>
          <w:sz w:val="22"/>
          <w:szCs w:val="22"/>
          <w:lang w:val="en-US"/>
        </w:rPr>
        <w:t xml:space="preserve"> EFI scores 7-10</w:t>
      </w:r>
      <w:r w:rsidR="00C34A1A" w:rsidRPr="000E01FB">
        <w:rPr>
          <w:rFonts w:ascii="Arial" w:hAnsi="Arial" w:cs="Arial"/>
          <w:sz w:val="22"/>
          <w:szCs w:val="22"/>
          <w:lang w:val="en-US"/>
        </w:rPr>
        <w:t>.</w:t>
      </w:r>
      <w:r w:rsidR="00192A20" w:rsidRPr="000E01FB">
        <w:rPr>
          <w:rFonts w:ascii="Arial" w:hAnsi="Arial" w:cs="Arial"/>
          <w:sz w:val="22"/>
          <w:szCs w:val="22"/>
          <w:lang w:val="en-US"/>
        </w:rPr>
        <w:t xml:space="preserve"> </w:t>
      </w:r>
    </w:p>
    <w:p w14:paraId="28F62FB4" w14:textId="62816FE7" w:rsidR="00C34A1A" w:rsidRPr="002F7793" w:rsidRDefault="00C34A1A" w:rsidP="00C34A1A">
      <w:pPr>
        <w:spacing w:line="480" w:lineRule="auto"/>
        <w:rPr>
          <w:rFonts w:ascii="Arial" w:hAnsi="Arial" w:cs="Arial"/>
          <w:sz w:val="22"/>
          <w:szCs w:val="22"/>
          <w:lang w:val="en-US"/>
        </w:rPr>
      </w:pPr>
      <w:r>
        <w:rPr>
          <w:rFonts w:ascii="Arial" w:hAnsi="Arial" w:cs="Arial"/>
          <w:sz w:val="22"/>
          <w:szCs w:val="22"/>
          <w:lang w:val="en-US"/>
        </w:rPr>
        <w:t xml:space="preserve">A potential benefit for immediate COH+IUI in a subgroup of patients women whose partner has a suboptimal sperm sample </w:t>
      </w:r>
      <w:r w:rsidR="00192A20">
        <w:rPr>
          <w:rFonts w:ascii="Arial" w:hAnsi="Arial" w:cs="Arial"/>
          <w:sz w:val="22"/>
          <w:szCs w:val="22"/>
          <w:lang w:val="en-US"/>
        </w:rPr>
        <w:t xml:space="preserve">cannot be </w:t>
      </w:r>
      <w:r>
        <w:rPr>
          <w:rFonts w:ascii="Arial" w:hAnsi="Arial" w:cs="Arial"/>
          <w:sz w:val="22"/>
          <w:szCs w:val="22"/>
          <w:lang w:val="en-US"/>
        </w:rPr>
        <w:t>exclude</w:t>
      </w:r>
      <w:r w:rsidR="00192A20">
        <w:rPr>
          <w:rFonts w:ascii="Arial" w:hAnsi="Arial" w:cs="Arial"/>
          <w:sz w:val="22"/>
          <w:szCs w:val="22"/>
          <w:lang w:val="en-US"/>
        </w:rPr>
        <w:t>d</w:t>
      </w:r>
      <w:r>
        <w:rPr>
          <w:rFonts w:ascii="Arial" w:hAnsi="Arial" w:cs="Arial"/>
          <w:sz w:val="22"/>
          <w:szCs w:val="22"/>
          <w:lang w:val="en-US"/>
        </w:rPr>
        <w:t xml:space="preserve"> </w:t>
      </w:r>
      <w:r w:rsidR="00192A20">
        <w:rPr>
          <w:rFonts w:ascii="Arial" w:hAnsi="Arial" w:cs="Arial"/>
          <w:sz w:val="22"/>
          <w:szCs w:val="22"/>
          <w:lang w:val="en-US"/>
        </w:rPr>
        <w:t>from our data</w:t>
      </w:r>
      <w:r>
        <w:rPr>
          <w:rFonts w:ascii="Arial" w:hAnsi="Arial" w:cs="Arial"/>
          <w:sz w:val="22"/>
          <w:szCs w:val="22"/>
          <w:lang w:val="en-US"/>
        </w:rPr>
        <w:t xml:space="preserve">, since the majority of patients had either completely normal or very mild sperm abnormalities. </w:t>
      </w:r>
      <w:r w:rsidR="00192A20">
        <w:rPr>
          <w:rFonts w:ascii="Arial" w:hAnsi="Arial" w:cs="Arial"/>
          <w:sz w:val="22"/>
          <w:szCs w:val="22"/>
          <w:lang w:val="en-US"/>
        </w:rPr>
        <w:t>Since</w:t>
      </w:r>
      <w:r w:rsidR="00647F50">
        <w:rPr>
          <w:rFonts w:ascii="Arial" w:hAnsi="Arial" w:cs="Arial"/>
          <w:sz w:val="22"/>
          <w:szCs w:val="22"/>
          <w:lang w:val="en-US"/>
        </w:rPr>
        <w:t xml:space="preserve"> our stud</w:t>
      </w:r>
      <w:r w:rsidR="000E01FB">
        <w:rPr>
          <w:rFonts w:ascii="Arial" w:hAnsi="Arial" w:cs="Arial"/>
          <w:sz w:val="22"/>
          <w:szCs w:val="22"/>
          <w:lang w:val="en-US"/>
        </w:rPr>
        <w:t>y was only performed during the</w:t>
      </w:r>
      <w:r w:rsidR="00192A20">
        <w:rPr>
          <w:rFonts w:ascii="Arial" w:hAnsi="Arial" w:cs="Arial"/>
          <w:sz w:val="22"/>
          <w:szCs w:val="22"/>
          <w:lang w:val="en-US"/>
        </w:rPr>
        <w:t xml:space="preserve"> 7 menstrual cycles </w:t>
      </w:r>
      <w:r w:rsidR="00647F50">
        <w:rPr>
          <w:rFonts w:ascii="Arial" w:hAnsi="Arial" w:cs="Arial"/>
          <w:sz w:val="22"/>
          <w:szCs w:val="22"/>
          <w:lang w:val="en-US"/>
        </w:rPr>
        <w:t xml:space="preserve">immediately following </w:t>
      </w:r>
      <w:r w:rsidR="00192A20">
        <w:rPr>
          <w:rFonts w:ascii="Arial" w:hAnsi="Arial" w:cs="Arial"/>
          <w:sz w:val="22"/>
          <w:szCs w:val="22"/>
          <w:lang w:val="en-US"/>
        </w:rPr>
        <w:t>surgery, we are unable to make statements on the role of COH+IUI in</w:t>
      </w:r>
      <w:r w:rsidR="00647F50">
        <w:rPr>
          <w:rFonts w:ascii="Arial" w:hAnsi="Arial" w:cs="Arial"/>
          <w:sz w:val="22"/>
          <w:szCs w:val="22"/>
          <w:lang w:val="en-US"/>
        </w:rPr>
        <w:t xml:space="preserve"> a more distant time zone (i</w:t>
      </w:r>
      <w:r w:rsidR="000E01FB">
        <w:rPr>
          <w:rFonts w:ascii="Arial" w:hAnsi="Arial" w:cs="Arial"/>
          <w:sz w:val="22"/>
          <w:szCs w:val="22"/>
          <w:lang w:val="en-US"/>
        </w:rPr>
        <w:t>.</w:t>
      </w:r>
      <w:r w:rsidR="00647F50">
        <w:rPr>
          <w:rFonts w:ascii="Arial" w:hAnsi="Arial" w:cs="Arial"/>
          <w:sz w:val="22"/>
          <w:szCs w:val="22"/>
          <w:lang w:val="en-US"/>
        </w:rPr>
        <w:t>e</w:t>
      </w:r>
      <w:r w:rsidR="000E01FB">
        <w:rPr>
          <w:rFonts w:ascii="Arial" w:hAnsi="Arial" w:cs="Arial"/>
          <w:sz w:val="22"/>
          <w:szCs w:val="22"/>
          <w:lang w:val="en-US"/>
        </w:rPr>
        <w:t>.</w:t>
      </w:r>
      <w:r w:rsidR="00647F50">
        <w:rPr>
          <w:rFonts w:ascii="Arial" w:hAnsi="Arial" w:cs="Arial"/>
          <w:sz w:val="22"/>
          <w:szCs w:val="22"/>
          <w:lang w:val="en-US"/>
        </w:rPr>
        <w:t xml:space="preserve"> </w:t>
      </w:r>
      <w:r w:rsidR="000E01FB">
        <w:rPr>
          <w:rFonts w:ascii="Arial" w:hAnsi="Arial" w:cs="Arial"/>
          <w:sz w:val="22"/>
          <w:szCs w:val="22"/>
          <w:lang w:val="en-US"/>
        </w:rPr>
        <w:t>&gt;6</w:t>
      </w:r>
      <w:r w:rsidR="00647F50">
        <w:rPr>
          <w:rFonts w:ascii="Arial" w:hAnsi="Arial" w:cs="Arial"/>
          <w:sz w:val="22"/>
          <w:szCs w:val="22"/>
          <w:lang w:val="en-US"/>
        </w:rPr>
        <w:t xml:space="preserve"> months after surgery)</w:t>
      </w:r>
      <w:r w:rsidR="000E01FB">
        <w:rPr>
          <w:rFonts w:ascii="Arial" w:hAnsi="Arial" w:cs="Arial"/>
          <w:sz w:val="22"/>
          <w:szCs w:val="22"/>
          <w:lang w:val="en-US"/>
        </w:rPr>
        <w:t>.</w:t>
      </w:r>
      <w:r w:rsidR="00192A20">
        <w:rPr>
          <w:rFonts w:ascii="Arial" w:hAnsi="Arial" w:cs="Arial"/>
          <w:sz w:val="22"/>
          <w:szCs w:val="22"/>
          <w:lang w:val="en-US"/>
        </w:rPr>
        <w:t xml:space="preserve"> Since some benefit of COH+IUI in endometriosis patients has been described in the past (see introduction), a place for IUI in </w:t>
      </w:r>
      <w:r w:rsidR="00647F50">
        <w:rPr>
          <w:rFonts w:ascii="Arial" w:hAnsi="Arial" w:cs="Arial"/>
          <w:sz w:val="22"/>
          <w:szCs w:val="22"/>
          <w:lang w:val="en-US"/>
        </w:rPr>
        <w:t xml:space="preserve">the treatment of </w:t>
      </w:r>
      <w:r w:rsidR="00192A20">
        <w:rPr>
          <w:rFonts w:ascii="Arial" w:hAnsi="Arial" w:cs="Arial"/>
          <w:sz w:val="22"/>
          <w:szCs w:val="22"/>
          <w:lang w:val="en-US"/>
        </w:rPr>
        <w:t xml:space="preserve">endometriosis </w:t>
      </w:r>
      <w:r w:rsidR="00647F50">
        <w:rPr>
          <w:rFonts w:ascii="Arial" w:hAnsi="Arial" w:cs="Arial"/>
          <w:sz w:val="22"/>
          <w:szCs w:val="22"/>
          <w:lang w:val="en-US"/>
        </w:rPr>
        <w:t xml:space="preserve">associated infertility </w:t>
      </w:r>
      <w:r w:rsidR="00192A20">
        <w:rPr>
          <w:rFonts w:ascii="Arial" w:hAnsi="Arial" w:cs="Arial"/>
          <w:sz w:val="22"/>
          <w:szCs w:val="22"/>
          <w:lang w:val="en-US"/>
        </w:rPr>
        <w:t xml:space="preserve">cannot altogether be excluded. In view of our findings, and </w:t>
      </w:r>
      <w:r w:rsidR="00AA076B">
        <w:rPr>
          <w:rFonts w:ascii="Arial" w:hAnsi="Arial" w:cs="Arial"/>
          <w:sz w:val="22"/>
          <w:szCs w:val="22"/>
          <w:lang w:val="en-US"/>
        </w:rPr>
        <w:t xml:space="preserve">the </w:t>
      </w:r>
      <w:r w:rsidR="00192A20">
        <w:rPr>
          <w:rFonts w:ascii="Arial" w:hAnsi="Arial" w:cs="Arial"/>
          <w:sz w:val="22"/>
          <w:szCs w:val="22"/>
          <w:lang w:val="en-US"/>
        </w:rPr>
        <w:t xml:space="preserve">evolution of cumulative non-ART pregnancy rates as seen in the studies on the EFI (Adamson and Pasta, 2010; Tomassetti et al., 2013) that show a tailing-off of pregnancy rates after 12-18 </w:t>
      </w:r>
      <w:r w:rsidR="00192A20" w:rsidRPr="002F7793">
        <w:rPr>
          <w:rFonts w:ascii="Arial" w:hAnsi="Arial" w:cs="Arial"/>
          <w:sz w:val="22"/>
          <w:szCs w:val="22"/>
          <w:lang w:val="en-US"/>
        </w:rPr>
        <w:t>months, we would</w:t>
      </w:r>
      <w:r w:rsidR="00E229C1">
        <w:rPr>
          <w:rFonts w:ascii="Arial" w:hAnsi="Arial" w:cs="Arial"/>
          <w:sz w:val="22"/>
          <w:szCs w:val="22"/>
          <w:lang w:val="en-US"/>
        </w:rPr>
        <w:t xml:space="preserve"> further</w:t>
      </w:r>
      <w:r w:rsidR="00192A20" w:rsidRPr="002F7793">
        <w:rPr>
          <w:rFonts w:ascii="Arial" w:hAnsi="Arial" w:cs="Arial"/>
          <w:sz w:val="22"/>
          <w:szCs w:val="22"/>
          <w:lang w:val="en-US"/>
        </w:rPr>
        <w:t xml:space="preserve"> like to hypothesize that the ideal management of patients with a high EFI would include a postoperative period of 12 months without ART, where IUI may be introduced in the second half (</w:t>
      </w:r>
      <w:r w:rsidR="00647F50" w:rsidRPr="002F7793">
        <w:rPr>
          <w:rFonts w:ascii="Arial" w:hAnsi="Arial" w:cs="Arial"/>
          <w:sz w:val="22"/>
          <w:szCs w:val="22"/>
          <w:lang w:val="en-US"/>
        </w:rPr>
        <w:t xml:space="preserve">6-12 months after surgery </w:t>
      </w:r>
      <w:r w:rsidR="00192A20" w:rsidRPr="002F7793">
        <w:rPr>
          <w:rFonts w:ascii="Arial" w:hAnsi="Arial" w:cs="Arial"/>
          <w:sz w:val="22"/>
          <w:szCs w:val="22"/>
          <w:lang w:val="en-US"/>
        </w:rPr>
        <w:t>or earlier when male factor infertility is present).</w:t>
      </w:r>
    </w:p>
    <w:p w14:paraId="3F94AB29" w14:textId="51F0BD27" w:rsidR="00B703FB" w:rsidRDefault="00B703FB" w:rsidP="0080481C">
      <w:pPr>
        <w:spacing w:line="480" w:lineRule="auto"/>
        <w:rPr>
          <w:rFonts w:ascii="Arial" w:hAnsi="Arial" w:cs="Arial"/>
          <w:sz w:val="22"/>
          <w:szCs w:val="22"/>
          <w:lang w:val="en-US"/>
        </w:rPr>
      </w:pPr>
    </w:p>
    <w:p w14:paraId="375C9CD3" w14:textId="77777777" w:rsidR="00B703FB" w:rsidRDefault="00B703FB" w:rsidP="0080481C">
      <w:pPr>
        <w:spacing w:line="480" w:lineRule="auto"/>
        <w:rPr>
          <w:rFonts w:ascii="Arial" w:hAnsi="Arial" w:cs="Arial"/>
          <w:sz w:val="22"/>
          <w:szCs w:val="22"/>
          <w:lang w:val="en-US"/>
        </w:rPr>
      </w:pPr>
    </w:p>
    <w:p w14:paraId="418FB348" w14:textId="796B0168" w:rsidR="00D6451E" w:rsidRPr="00D6451E" w:rsidRDefault="00D6451E" w:rsidP="0080481C">
      <w:pPr>
        <w:spacing w:line="480" w:lineRule="auto"/>
        <w:rPr>
          <w:rFonts w:ascii="Arial" w:hAnsi="Arial" w:cs="Arial"/>
          <w:b/>
          <w:sz w:val="22"/>
          <w:szCs w:val="22"/>
          <w:lang w:val="en-US"/>
        </w:rPr>
      </w:pPr>
      <w:r w:rsidRPr="00D6451E">
        <w:rPr>
          <w:rFonts w:ascii="Arial" w:hAnsi="Arial" w:cs="Arial"/>
          <w:b/>
          <w:sz w:val="22"/>
          <w:szCs w:val="22"/>
          <w:lang w:val="en-US"/>
        </w:rPr>
        <w:lastRenderedPageBreak/>
        <w:t>AUTHOR’S ROLES</w:t>
      </w:r>
    </w:p>
    <w:p w14:paraId="022FE555" w14:textId="77777777" w:rsidR="00D6451E" w:rsidRDefault="00D6451E" w:rsidP="00D6451E">
      <w:pPr>
        <w:spacing w:line="480" w:lineRule="auto"/>
        <w:rPr>
          <w:rFonts w:ascii="Arial" w:hAnsi="Arial" w:cs="Arial"/>
          <w:sz w:val="22"/>
          <w:szCs w:val="22"/>
          <w:lang w:val="en-US"/>
        </w:rPr>
      </w:pPr>
    </w:p>
    <w:p w14:paraId="6589781B" w14:textId="1494AB40" w:rsidR="00B84F73" w:rsidRPr="00D6451E" w:rsidRDefault="00D6451E" w:rsidP="00D6451E">
      <w:pPr>
        <w:spacing w:line="480" w:lineRule="auto"/>
        <w:rPr>
          <w:rFonts w:ascii="Arial" w:hAnsi="Arial" w:cs="Arial"/>
          <w:b/>
          <w:sz w:val="22"/>
          <w:szCs w:val="22"/>
          <w:lang w:val="en-US"/>
        </w:rPr>
      </w:pPr>
      <w:r w:rsidRPr="00D6451E">
        <w:rPr>
          <w:rFonts w:ascii="Arial" w:hAnsi="Arial" w:cs="Arial"/>
          <w:b/>
          <w:sz w:val="22"/>
          <w:szCs w:val="22"/>
          <w:lang w:val="en-US"/>
        </w:rPr>
        <w:t>FUNDING</w:t>
      </w:r>
    </w:p>
    <w:p w14:paraId="05270D36" w14:textId="77777777" w:rsidR="00D6451E" w:rsidRDefault="00D6451E" w:rsidP="00D6451E">
      <w:pPr>
        <w:spacing w:line="480" w:lineRule="auto"/>
        <w:rPr>
          <w:rFonts w:ascii="Arial" w:hAnsi="Arial" w:cs="Arial"/>
          <w:sz w:val="22"/>
          <w:szCs w:val="22"/>
          <w:lang w:val="en-US"/>
        </w:rPr>
      </w:pPr>
      <w:r>
        <w:rPr>
          <w:rFonts w:ascii="Arial" w:hAnsi="Arial" w:cs="Arial"/>
          <w:sz w:val="22"/>
          <w:szCs w:val="22"/>
          <w:lang w:val="en-US"/>
        </w:rPr>
        <w:t>C.T. was</w:t>
      </w:r>
      <w:r w:rsidRPr="00D6451E">
        <w:rPr>
          <w:rFonts w:ascii="Arial" w:hAnsi="Arial" w:cs="Arial"/>
          <w:sz w:val="22"/>
          <w:szCs w:val="22"/>
          <w:lang w:val="en-US"/>
        </w:rPr>
        <w:t xml:space="preserve"> supported by the Clinical Research Foundation of</w:t>
      </w:r>
      <w:r>
        <w:rPr>
          <w:rFonts w:ascii="Arial" w:hAnsi="Arial" w:cs="Arial"/>
          <w:sz w:val="22"/>
          <w:szCs w:val="22"/>
          <w:lang w:val="en-US"/>
        </w:rPr>
        <w:t xml:space="preserve"> </w:t>
      </w:r>
      <w:r w:rsidRPr="00D6451E">
        <w:rPr>
          <w:rFonts w:ascii="Arial" w:hAnsi="Arial" w:cs="Arial"/>
          <w:sz w:val="22"/>
          <w:szCs w:val="22"/>
          <w:lang w:val="en-US"/>
        </w:rPr>
        <w:t xml:space="preserve">UZ Leuven, Belgium. </w:t>
      </w:r>
    </w:p>
    <w:p w14:paraId="65D194E9" w14:textId="143E60B1" w:rsidR="00256351" w:rsidRDefault="00D6451E" w:rsidP="00D6451E">
      <w:pPr>
        <w:spacing w:line="480" w:lineRule="auto"/>
        <w:rPr>
          <w:rFonts w:ascii="Arial" w:hAnsi="Arial" w:cs="Arial"/>
          <w:sz w:val="22"/>
          <w:szCs w:val="22"/>
          <w:lang w:val="en-US"/>
        </w:rPr>
      </w:pPr>
      <w:commentRangeStart w:id="1"/>
      <w:r w:rsidRPr="00D6451E">
        <w:rPr>
          <w:rFonts w:ascii="Arial" w:hAnsi="Arial" w:cs="Arial"/>
          <w:sz w:val="22"/>
          <w:szCs w:val="22"/>
          <w:highlight w:val="yellow"/>
          <w:lang w:val="en-US"/>
        </w:rPr>
        <w:t>This study was also supported by the Ferring company (Copenhagen, Denmark) which provided free medication (Menopur) required for the group of patients who were randomized in RCT in the COH+IUI group</w:t>
      </w:r>
      <w:r w:rsidR="00AA076B">
        <w:rPr>
          <w:rFonts w:ascii="Arial" w:hAnsi="Arial" w:cs="Arial"/>
          <w:sz w:val="22"/>
          <w:szCs w:val="22"/>
          <w:highlight w:val="yellow"/>
          <w:lang w:val="en-US"/>
        </w:rPr>
        <w:t xml:space="preserve">. </w:t>
      </w:r>
      <w:r w:rsidR="00E229C1" w:rsidRPr="00E229C1">
        <w:rPr>
          <w:rFonts w:ascii="Arial" w:hAnsi="Arial" w:cs="Arial"/>
          <w:sz w:val="22"/>
          <w:szCs w:val="22"/>
          <w:highlight w:val="yellow"/>
          <w:lang w:val="en-US"/>
        </w:rPr>
        <w:t>The Ferring company was not involved in the study design, data analysis, writing and submission of the paper</w:t>
      </w:r>
      <w:commentRangeEnd w:id="1"/>
      <w:r w:rsidR="00E229C1">
        <w:rPr>
          <w:rStyle w:val="Verwijzingopmerking"/>
        </w:rPr>
        <w:commentReference w:id="1"/>
      </w:r>
      <w:r w:rsidR="00AA076B">
        <w:rPr>
          <w:rFonts w:ascii="Arial" w:hAnsi="Arial" w:cs="Arial"/>
          <w:sz w:val="22"/>
          <w:szCs w:val="22"/>
          <w:lang w:val="en-US"/>
        </w:rPr>
        <w:t>.</w:t>
      </w:r>
    </w:p>
    <w:p w14:paraId="2865B4EB" w14:textId="77777777" w:rsidR="00D6451E" w:rsidRDefault="00D6451E" w:rsidP="00D6451E">
      <w:pPr>
        <w:spacing w:line="480" w:lineRule="auto"/>
        <w:rPr>
          <w:rFonts w:ascii="Arial" w:hAnsi="Arial" w:cs="Arial"/>
          <w:sz w:val="22"/>
          <w:szCs w:val="22"/>
          <w:lang w:val="en-US"/>
        </w:rPr>
      </w:pPr>
    </w:p>
    <w:p w14:paraId="344AA2C9" w14:textId="39BC6A07" w:rsidR="00256351" w:rsidRDefault="00256351" w:rsidP="00D6451E">
      <w:pPr>
        <w:spacing w:line="480" w:lineRule="auto"/>
        <w:rPr>
          <w:rFonts w:ascii="Arial" w:hAnsi="Arial" w:cs="Arial"/>
          <w:sz w:val="22"/>
          <w:szCs w:val="22"/>
          <w:lang w:val="en-US"/>
        </w:rPr>
      </w:pPr>
      <w:r>
        <w:rPr>
          <w:rFonts w:ascii="Arial" w:hAnsi="Arial" w:cs="Arial"/>
          <w:sz w:val="22"/>
          <w:szCs w:val="22"/>
          <w:lang w:val="en-US"/>
        </w:rPr>
        <w:br w:type="page"/>
      </w:r>
    </w:p>
    <w:p w14:paraId="2E53C154" w14:textId="77777777" w:rsidR="00256351" w:rsidRPr="00256351" w:rsidRDefault="00256351" w:rsidP="0080481C">
      <w:pPr>
        <w:spacing w:line="480" w:lineRule="auto"/>
        <w:rPr>
          <w:rFonts w:ascii="Arial" w:hAnsi="Arial" w:cs="Arial"/>
          <w:b/>
          <w:sz w:val="22"/>
          <w:szCs w:val="22"/>
          <w:lang w:val="en-US"/>
        </w:rPr>
      </w:pPr>
      <w:r w:rsidRPr="00256351">
        <w:rPr>
          <w:rFonts w:ascii="Arial" w:hAnsi="Arial" w:cs="Arial"/>
          <w:b/>
          <w:sz w:val="22"/>
          <w:szCs w:val="22"/>
          <w:lang w:val="en-US"/>
        </w:rPr>
        <w:lastRenderedPageBreak/>
        <w:t>REFERENCES</w:t>
      </w:r>
    </w:p>
    <w:p w14:paraId="5E2C71DB" w14:textId="77777777" w:rsidR="004D2FCE" w:rsidRPr="004D2FCE" w:rsidRDefault="004D2FCE" w:rsidP="004D2FCE">
      <w:pPr>
        <w:spacing w:line="480" w:lineRule="auto"/>
        <w:rPr>
          <w:rFonts w:ascii="Arial" w:hAnsi="Arial" w:cs="Arial"/>
          <w:sz w:val="22"/>
          <w:szCs w:val="22"/>
          <w:lang w:val="en-US"/>
        </w:rPr>
      </w:pPr>
      <w:r w:rsidRPr="004D2FCE">
        <w:rPr>
          <w:rFonts w:ascii="Arial" w:hAnsi="Arial" w:cs="Arial"/>
          <w:sz w:val="22"/>
          <w:szCs w:val="22"/>
          <w:lang w:val="en-US"/>
        </w:rPr>
        <w:t>-de Ziegler D, Borghese B, Chapron C. Endometriosis and infertility: pathophysiology and management.</w:t>
      </w:r>
      <w:r>
        <w:rPr>
          <w:rFonts w:ascii="Arial" w:hAnsi="Arial" w:cs="Arial"/>
          <w:sz w:val="22"/>
          <w:szCs w:val="22"/>
          <w:lang w:val="en-US"/>
        </w:rPr>
        <w:t xml:space="preserve"> </w:t>
      </w:r>
      <w:r w:rsidRPr="004D2FCE">
        <w:rPr>
          <w:rFonts w:ascii="Arial" w:hAnsi="Arial" w:cs="Arial"/>
          <w:sz w:val="22"/>
          <w:szCs w:val="22"/>
          <w:lang w:val="en-US"/>
        </w:rPr>
        <w:t xml:space="preserve">Lancet. 2010;376(9742):730-8. </w:t>
      </w:r>
    </w:p>
    <w:p w14:paraId="6A18BD31" w14:textId="77777777" w:rsidR="00551063" w:rsidRDefault="004D2FCE" w:rsidP="00551063">
      <w:pPr>
        <w:spacing w:line="480" w:lineRule="auto"/>
        <w:rPr>
          <w:rFonts w:ascii="Arial" w:hAnsi="Arial" w:cs="Arial"/>
          <w:sz w:val="22"/>
          <w:szCs w:val="22"/>
          <w:lang w:val="en-US"/>
        </w:rPr>
      </w:pPr>
      <w:r>
        <w:rPr>
          <w:rFonts w:ascii="Arial" w:hAnsi="Arial" w:cs="Arial"/>
          <w:sz w:val="22"/>
          <w:szCs w:val="22"/>
          <w:lang w:val="en-US"/>
        </w:rPr>
        <w:t>-</w:t>
      </w:r>
      <w:r w:rsidR="00551063" w:rsidRPr="00551063">
        <w:rPr>
          <w:rFonts w:ascii="Arial" w:hAnsi="Arial" w:cs="Arial"/>
          <w:sz w:val="22"/>
          <w:szCs w:val="22"/>
          <w:lang w:val="en-US"/>
        </w:rPr>
        <w:t>Dunselman GA, Vermeulen N, Becker C, Calhaz-Jorge C, D'Hooghe T, De Bie B, Heikinheimo O, Horne AW, Kiesel L, Nap A, Prentice A, Saridogan E, Soriano D, Nelen W; European Society of Human Reproduction and Embryology.</w:t>
      </w:r>
      <w:r>
        <w:rPr>
          <w:rFonts w:ascii="Arial" w:hAnsi="Arial" w:cs="Arial"/>
          <w:sz w:val="22"/>
          <w:szCs w:val="22"/>
          <w:lang w:val="en-US"/>
        </w:rPr>
        <w:t xml:space="preserve"> </w:t>
      </w:r>
      <w:r w:rsidRPr="00551063">
        <w:rPr>
          <w:rFonts w:ascii="Arial" w:hAnsi="Arial" w:cs="Arial"/>
          <w:sz w:val="22"/>
          <w:szCs w:val="22"/>
          <w:lang w:val="en-US"/>
        </w:rPr>
        <w:t>ESHRE guideline: management of women with endometriosis.</w:t>
      </w:r>
      <w:r>
        <w:rPr>
          <w:rFonts w:ascii="Arial" w:hAnsi="Arial" w:cs="Arial"/>
          <w:sz w:val="22"/>
          <w:szCs w:val="22"/>
          <w:lang w:val="en-US"/>
        </w:rPr>
        <w:t xml:space="preserve"> </w:t>
      </w:r>
      <w:r w:rsidR="00551063" w:rsidRPr="00551063">
        <w:rPr>
          <w:rFonts w:ascii="Arial" w:hAnsi="Arial" w:cs="Arial"/>
          <w:sz w:val="22"/>
          <w:szCs w:val="22"/>
          <w:lang w:val="en-US"/>
        </w:rPr>
        <w:t xml:space="preserve">Hum Reprod. 2014 Mar;29(3):400-12. </w:t>
      </w:r>
    </w:p>
    <w:p w14:paraId="521EEA73" w14:textId="77777777" w:rsidR="000127FA" w:rsidRDefault="004D2FCE" w:rsidP="00256351">
      <w:pPr>
        <w:spacing w:line="480" w:lineRule="auto"/>
        <w:rPr>
          <w:rFonts w:ascii="Arial" w:hAnsi="Arial" w:cs="Arial"/>
          <w:sz w:val="22"/>
          <w:szCs w:val="22"/>
          <w:lang w:val="en-US"/>
        </w:rPr>
      </w:pPr>
      <w:r>
        <w:rPr>
          <w:rFonts w:ascii="Arial" w:hAnsi="Arial" w:cs="Arial"/>
          <w:sz w:val="22"/>
          <w:szCs w:val="22"/>
          <w:lang w:val="en-US"/>
        </w:rPr>
        <w:t>-</w:t>
      </w:r>
      <w:r w:rsidR="000127FA">
        <w:rPr>
          <w:rFonts w:ascii="Arial" w:hAnsi="Arial" w:cs="Arial"/>
          <w:sz w:val="22"/>
          <w:szCs w:val="22"/>
          <w:lang w:val="en-US"/>
        </w:rPr>
        <w:t>Ghandi AR, Carvalho LF, Nutter B, Falcone T. Determining the fertility benefit of controlled ovarian hyperstimulation with intrauterine insemination after operative laparoscopy in patients with endometriosis. JMIG 2014;21:101-108.</w:t>
      </w:r>
    </w:p>
    <w:p w14:paraId="07151BF7" w14:textId="77777777" w:rsidR="00256351" w:rsidRDefault="004D2FCE" w:rsidP="00256351">
      <w:pPr>
        <w:spacing w:line="480" w:lineRule="auto"/>
        <w:rPr>
          <w:rFonts w:ascii="Arial" w:hAnsi="Arial" w:cs="Arial"/>
          <w:sz w:val="22"/>
          <w:szCs w:val="22"/>
          <w:lang w:val="en-US"/>
        </w:rPr>
      </w:pPr>
      <w:r>
        <w:rPr>
          <w:rFonts w:ascii="Arial" w:hAnsi="Arial" w:cs="Arial"/>
          <w:sz w:val="22"/>
          <w:szCs w:val="22"/>
          <w:lang w:val="en-US"/>
        </w:rPr>
        <w:t>-</w:t>
      </w:r>
      <w:r w:rsidR="00256351" w:rsidRPr="00256351">
        <w:rPr>
          <w:rFonts w:ascii="Arial" w:hAnsi="Arial" w:cs="Arial"/>
          <w:sz w:val="22"/>
          <w:szCs w:val="22"/>
          <w:lang w:val="en-US"/>
        </w:rPr>
        <w:t>Nulsen JC, Walsh S, Dumez S, Metzger DA.</w:t>
      </w:r>
      <w:r w:rsidR="00256351">
        <w:rPr>
          <w:rFonts w:ascii="Arial" w:hAnsi="Arial" w:cs="Arial"/>
          <w:sz w:val="22"/>
          <w:szCs w:val="22"/>
          <w:lang w:val="en-US"/>
        </w:rPr>
        <w:t xml:space="preserve"> </w:t>
      </w:r>
      <w:r w:rsidR="00256351" w:rsidRPr="00256351">
        <w:rPr>
          <w:rFonts w:ascii="Arial" w:hAnsi="Arial" w:cs="Arial"/>
          <w:sz w:val="22"/>
          <w:szCs w:val="22"/>
          <w:lang w:val="en-US"/>
        </w:rPr>
        <w:t xml:space="preserve">A </w:t>
      </w:r>
      <w:r w:rsidR="000127FA">
        <w:rPr>
          <w:rFonts w:ascii="Arial" w:hAnsi="Arial" w:cs="Arial"/>
          <w:sz w:val="22"/>
          <w:szCs w:val="22"/>
          <w:lang w:val="en-US"/>
        </w:rPr>
        <w:t>R</w:t>
      </w:r>
      <w:r w:rsidR="00256351" w:rsidRPr="00256351">
        <w:rPr>
          <w:rFonts w:ascii="Arial" w:hAnsi="Arial" w:cs="Arial"/>
          <w:sz w:val="22"/>
          <w:szCs w:val="22"/>
          <w:lang w:val="en-US"/>
        </w:rPr>
        <w:t>andomized and longitudinal study of human menopausal gonadotropin with intrauterine insemination in the treatment of infertility.</w:t>
      </w:r>
      <w:r w:rsidR="000127FA">
        <w:rPr>
          <w:rFonts w:ascii="Arial" w:hAnsi="Arial" w:cs="Arial"/>
          <w:sz w:val="22"/>
          <w:szCs w:val="22"/>
          <w:lang w:val="en-US"/>
        </w:rPr>
        <w:t xml:space="preserve"> </w:t>
      </w:r>
      <w:r w:rsidR="000127FA" w:rsidRPr="00256351">
        <w:rPr>
          <w:rFonts w:ascii="Arial" w:hAnsi="Arial" w:cs="Arial"/>
          <w:sz w:val="22"/>
          <w:szCs w:val="22"/>
          <w:lang w:val="en-US"/>
        </w:rPr>
        <w:t>Obstet Gynecol. 1993;82(5):780-6.</w:t>
      </w:r>
    </w:p>
    <w:p w14:paraId="4FDE9292" w14:textId="77777777" w:rsidR="004D2FCE" w:rsidRPr="00F86556" w:rsidRDefault="004D2FCE" w:rsidP="004D2FCE">
      <w:pPr>
        <w:spacing w:line="480" w:lineRule="auto"/>
        <w:rPr>
          <w:rFonts w:ascii="Arial" w:hAnsi="Arial" w:cs="Arial"/>
          <w:sz w:val="22"/>
          <w:szCs w:val="22"/>
          <w:lang w:val="en-US"/>
        </w:rPr>
      </w:pPr>
      <w:r>
        <w:rPr>
          <w:rFonts w:ascii="Arial" w:hAnsi="Arial" w:cs="Arial"/>
          <w:sz w:val="22"/>
          <w:szCs w:val="22"/>
          <w:lang w:val="en-US"/>
        </w:rPr>
        <w:t>-</w:t>
      </w:r>
      <w:r w:rsidRPr="004D2FCE">
        <w:rPr>
          <w:rFonts w:ascii="Arial" w:hAnsi="Arial" w:cs="Arial"/>
          <w:sz w:val="22"/>
          <w:szCs w:val="22"/>
          <w:lang w:val="en-US"/>
        </w:rPr>
        <w:t>Nuojua-Huttunen S, Tomas C, Bloigu R, Tuomivaara L, Martikainen H. Intrauterine insemination treatment in subfertility: an analysi</w:t>
      </w:r>
      <w:r>
        <w:rPr>
          <w:rFonts w:ascii="Arial" w:hAnsi="Arial" w:cs="Arial"/>
          <w:sz w:val="22"/>
          <w:szCs w:val="22"/>
          <w:lang w:val="en-US"/>
        </w:rPr>
        <w:t xml:space="preserve">s of factors affecting outcome. </w:t>
      </w:r>
      <w:r w:rsidRPr="00F86556">
        <w:rPr>
          <w:rFonts w:ascii="Arial" w:hAnsi="Arial" w:cs="Arial"/>
          <w:sz w:val="22"/>
          <w:szCs w:val="22"/>
          <w:lang w:val="en-US"/>
        </w:rPr>
        <w:t>Hum Reprod. 1999;14(3):698-703.</w:t>
      </w:r>
    </w:p>
    <w:p w14:paraId="20486F68" w14:textId="0C474125" w:rsidR="00F86556" w:rsidRPr="00F86556" w:rsidRDefault="00F86556" w:rsidP="00F86556">
      <w:pPr>
        <w:spacing w:line="480" w:lineRule="auto"/>
        <w:rPr>
          <w:rFonts w:ascii="Arial" w:hAnsi="Arial" w:cs="Arial"/>
          <w:sz w:val="22"/>
          <w:szCs w:val="22"/>
          <w:lang w:val="en-US"/>
        </w:rPr>
      </w:pPr>
      <w:r>
        <w:rPr>
          <w:rFonts w:ascii="Arial" w:hAnsi="Arial" w:cs="Arial"/>
          <w:sz w:val="22"/>
          <w:szCs w:val="22"/>
          <w:lang w:val="en-US"/>
        </w:rPr>
        <w:t>-</w:t>
      </w:r>
      <w:r w:rsidRPr="00F86556">
        <w:rPr>
          <w:rFonts w:ascii="Arial" w:hAnsi="Arial" w:cs="Arial"/>
          <w:sz w:val="22"/>
          <w:szCs w:val="22"/>
          <w:lang w:val="en-US"/>
        </w:rPr>
        <w:t>Keresztúri A, Kozinszky Z</w:t>
      </w:r>
      <w:r>
        <w:rPr>
          <w:rFonts w:ascii="Arial" w:hAnsi="Arial" w:cs="Arial"/>
          <w:sz w:val="22"/>
          <w:szCs w:val="22"/>
          <w:lang w:val="en-US"/>
        </w:rPr>
        <w:t>, Daru J</w:t>
      </w:r>
      <w:r w:rsidRPr="00F86556">
        <w:rPr>
          <w:rFonts w:ascii="Arial" w:hAnsi="Arial" w:cs="Arial"/>
          <w:sz w:val="22"/>
          <w:szCs w:val="22"/>
          <w:lang w:val="en-US"/>
        </w:rPr>
        <w:t>, Pásztor N, Sikovanyecz J, Zádori J, Márton V, Koloszár S, Szöllősi J, Németh G.</w:t>
      </w:r>
      <w:r>
        <w:rPr>
          <w:rFonts w:ascii="Arial" w:hAnsi="Arial" w:cs="Arial"/>
          <w:sz w:val="22"/>
          <w:szCs w:val="22"/>
          <w:lang w:val="en-US"/>
        </w:rPr>
        <w:t xml:space="preserve"> </w:t>
      </w:r>
      <w:r w:rsidRPr="00F86556">
        <w:rPr>
          <w:rFonts w:ascii="Arial" w:hAnsi="Arial" w:cs="Arial"/>
          <w:sz w:val="22"/>
          <w:szCs w:val="22"/>
          <w:lang w:val="en-US"/>
        </w:rPr>
        <w:t>Pregnancy Rate after Controlled Ovarian Hyperstimulation and Intrauterine Insemination for the Treatment of E</w:t>
      </w:r>
      <w:r>
        <w:rPr>
          <w:rFonts w:ascii="Arial" w:hAnsi="Arial" w:cs="Arial"/>
          <w:sz w:val="22"/>
          <w:szCs w:val="22"/>
          <w:lang w:val="en-US"/>
        </w:rPr>
        <w:t xml:space="preserve">ndometriosis following Surgery. Biomed Res Int. 2015;2015:Article ID </w:t>
      </w:r>
      <w:r w:rsidRPr="00F86556">
        <w:rPr>
          <w:rFonts w:ascii="Arial" w:hAnsi="Arial" w:cs="Arial"/>
          <w:sz w:val="22"/>
          <w:szCs w:val="22"/>
          <w:lang w:val="en-US"/>
        </w:rPr>
        <w:t>282301</w:t>
      </w:r>
      <w:r>
        <w:rPr>
          <w:rFonts w:ascii="Arial" w:hAnsi="Arial" w:cs="Arial"/>
          <w:sz w:val="22"/>
          <w:szCs w:val="22"/>
          <w:lang w:val="en-US"/>
        </w:rPr>
        <w:t>, 8 pages</w:t>
      </w:r>
      <w:r w:rsidRPr="00F86556">
        <w:rPr>
          <w:rFonts w:ascii="Arial" w:hAnsi="Arial" w:cs="Arial"/>
          <w:sz w:val="22"/>
          <w:szCs w:val="22"/>
          <w:lang w:val="en-US"/>
        </w:rPr>
        <w:t xml:space="preserve">. </w:t>
      </w:r>
    </w:p>
    <w:p w14:paraId="28A9BB97" w14:textId="77777777" w:rsidR="00551063" w:rsidRDefault="004D2FCE" w:rsidP="00551063">
      <w:pPr>
        <w:spacing w:line="480" w:lineRule="auto"/>
        <w:rPr>
          <w:rFonts w:ascii="Arial" w:hAnsi="Arial" w:cs="Arial"/>
          <w:sz w:val="22"/>
          <w:szCs w:val="22"/>
          <w:lang w:val="en-US"/>
        </w:rPr>
      </w:pPr>
      <w:r w:rsidRPr="00C92DDF">
        <w:rPr>
          <w:rFonts w:ascii="Arial" w:hAnsi="Arial" w:cs="Arial"/>
          <w:sz w:val="22"/>
          <w:szCs w:val="22"/>
          <w:lang w:val="en-US"/>
        </w:rPr>
        <w:t>-</w:t>
      </w:r>
      <w:r w:rsidR="00551063" w:rsidRPr="00C92DDF">
        <w:rPr>
          <w:rFonts w:ascii="Arial" w:hAnsi="Arial" w:cs="Arial"/>
          <w:sz w:val="22"/>
          <w:szCs w:val="22"/>
          <w:lang w:val="en-US"/>
        </w:rPr>
        <w:t xml:space="preserve">Peeraer K, Debrock S, De Loecker P, Tomassetti C, Laenen A, Welkenhuysen M, Meeuwis L, Pelckmans S, Mol BW, Spiessens C, De Neubourg D, D'Hooghe TM. </w:t>
      </w:r>
      <w:r w:rsidR="00551063" w:rsidRPr="00551063">
        <w:rPr>
          <w:rFonts w:ascii="Arial" w:hAnsi="Arial" w:cs="Arial"/>
          <w:sz w:val="22"/>
          <w:szCs w:val="22"/>
          <w:lang w:val="en-US"/>
        </w:rPr>
        <w:t>Low-dose human menopausal gonadotrophin versus clomiphene citrate in subfertile couples treated with intrauterine insemination: a randomized controlled trial.</w:t>
      </w:r>
      <w:r w:rsidR="00551063">
        <w:rPr>
          <w:rFonts w:ascii="Arial" w:hAnsi="Arial" w:cs="Arial"/>
          <w:sz w:val="22"/>
          <w:szCs w:val="22"/>
          <w:lang w:val="en-US"/>
        </w:rPr>
        <w:t xml:space="preserve"> Hum Reprod</w:t>
      </w:r>
      <w:r w:rsidR="00551063" w:rsidRPr="00551063">
        <w:rPr>
          <w:rFonts w:ascii="Arial" w:hAnsi="Arial" w:cs="Arial"/>
          <w:sz w:val="22"/>
          <w:szCs w:val="22"/>
          <w:lang w:val="en-US"/>
        </w:rPr>
        <w:t xml:space="preserve"> 2015;30(5):1079-88. </w:t>
      </w:r>
    </w:p>
    <w:p w14:paraId="721CD1B9" w14:textId="0B5718A0" w:rsidR="00D6451E" w:rsidRDefault="00D6451E" w:rsidP="00551063">
      <w:pPr>
        <w:spacing w:line="480" w:lineRule="auto"/>
        <w:rPr>
          <w:rFonts w:ascii="Arial" w:hAnsi="Arial" w:cs="Arial"/>
          <w:sz w:val="22"/>
          <w:szCs w:val="22"/>
          <w:lang w:val="en-US"/>
        </w:rPr>
      </w:pPr>
      <w:r w:rsidRPr="002F7793">
        <w:rPr>
          <w:rFonts w:ascii="Arial" w:hAnsi="Arial" w:cs="Arial"/>
          <w:sz w:val="22"/>
          <w:szCs w:val="22"/>
          <w:lang w:val="en-US"/>
        </w:rPr>
        <w:t>-Peeraer K. Impact of Belgian legislation on reproductive outcome of medically assisted conception in the Leuven University Fertility Center. Dissertation presented for the degree of Doctor in Biomedical Sciences on October 3</w:t>
      </w:r>
      <w:r w:rsidRPr="002F7793">
        <w:rPr>
          <w:rFonts w:ascii="Arial" w:hAnsi="Arial" w:cs="Arial"/>
          <w:sz w:val="22"/>
          <w:szCs w:val="22"/>
          <w:vertAlign w:val="superscript"/>
          <w:lang w:val="en-US"/>
        </w:rPr>
        <w:t>rd</w:t>
      </w:r>
      <w:r w:rsidRPr="002F7793">
        <w:rPr>
          <w:rFonts w:ascii="Arial" w:hAnsi="Arial" w:cs="Arial"/>
          <w:sz w:val="22"/>
          <w:szCs w:val="22"/>
          <w:lang w:val="en-US"/>
        </w:rPr>
        <w:t xml:space="preserve"> 2016. </w:t>
      </w:r>
    </w:p>
    <w:p w14:paraId="128E4D73" w14:textId="77777777" w:rsidR="00BF0A15" w:rsidRPr="00551063" w:rsidRDefault="00BF0A15" w:rsidP="00551063">
      <w:pPr>
        <w:spacing w:line="480" w:lineRule="auto"/>
        <w:rPr>
          <w:rFonts w:ascii="Arial" w:hAnsi="Arial" w:cs="Arial"/>
          <w:sz w:val="22"/>
          <w:szCs w:val="22"/>
          <w:lang w:val="en-US"/>
        </w:rPr>
      </w:pPr>
      <w:r>
        <w:rPr>
          <w:rFonts w:ascii="Arial" w:hAnsi="Arial" w:cs="Arial"/>
          <w:sz w:val="22"/>
          <w:szCs w:val="22"/>
          <w:lang w:val="en-US"/>
        </w:rPr>
        <w:lastRenderedPageBreak/>
        <w:t>-</w:t>
      </w:r>
      <w:r w:rsidRPr="00BF0A15">
        <w:rPr>
          <w:rFonts w:ascii="Arial" w:hAnsi="Arial" w:cs="Arial"/>
          <w:sz w:val="22"/>
          <w:szCs w:val="22"/>
          <w:lang w:val="en-US"/>
        </w:rPr>
        <w:t>Practice Committee of the American Society for Reproductive Medicine. Endometriosis and infertility: a committee opinion. Fertil Steril 2012;98(3):591-8.</w:t>
      </w:r>
    </w:p>
    <w:p w14:paraId="783DF417" w14:textId="77777777" w:rsidR="004D2FCE" w:rsidRDefault="004D2FCE" w:rsidP="004D2FCE">
      <w:pPr>
        <w:spacing w:line="480" w:lineRule="auto"/>
        <w:rPr>
          <w:rFonts w:ascii="Arial" w:hAnsi="Arial" w:cs="Arial"/>
          <w:sz w:val="22"/>
          <w:szCs w:val="22"/>
          <w:lang w:val="en-US"/>
        </w:rPr>
      </w:pPr>
      <w:r w:rsidRPr="004D2FCE">
        <w:rPr>
          <w:rFonts w:ascii="Arial" w:hAnsi="Arial" w:cs="Arial"/>
          <w:sz w:val="22"/>
          <w:szCs w:val="22"/>
          <w:lang w:val="en-US"/>
        </w:rPr>
        <w:t>-Omland AK, Tanbo T, Dale PO, Abyholm T. Artificial insemination by husband in unexplained infertility compared with infertility associated with peritoneal endometriosis.</w:t>
      </w:r>
      <w:r>
        <w:rPr>
          <w:rFonts w:ascii="Arial" w:hAnsi="Arial" w:cs="Arial"/>
          <w:sz w:val="22"/>
          <w:szCs w:val="22"/>
          <w:lang w:val="en-US"/>
        </w:rPr>
        <w:t xml:space="preserve"> </w:t>
      </w:r>
      <w:r w:rsidRPr="004D2FCE">
        <w:rPr>
          <w:rFonts w:ascii="Arial" w:hAnsi="Arial" w:cs="Arial"/>
          <w:sz w:val="22"/>
          <w:szCs w:val="22"/>
          <w:lang w:val="en-US"/>
        </w:rPr>
        <w:t>Hum Reprod 1998;13(9):2602-5.</w:t>
      </w:r>
    </w:p>
    <w:p w14:paraId="0DAFDB42" w14:textId="7C98D57F" w:rsidR="00003D96" w:rsidRDefault="00003D96" w:rsidP="004D2FCE">
      <w:pPr>
        <w:spacing w:line="480" w:lineRule="auto"/>
        <w:rPr>
          <w:rFonts w:ascii="Arial" w:hAnsi="Arial" w:cs="Arial"/>
          <w:sz w:val="22"/>
          <w:szCs w:val="22"/>
          <w:lang w:val="en-US"/>
        </w:rPr>
      </w:pPr>
      <w:r>
        <w:rPr>
          <w:rFonts w:ascii="Arial" w:hAnsi="Arial" w:cs="Arial"/>
          <w:sz w:val="22"/>
          <w:szCs w:val="22"/>
          <w:lang w:val="en-US"/>
        </w:rPr>
        <w:t xml:space="preserve">-Singer JD and Willet JB. It’s about time: using discrete-time survival analysis to study duration and the timing of events. Journal of Educational Statistics. 1993;18:155-195. </w:t>
      </w:r>
    </w:p>
    <w:p w14:paraId="7BCA02D9" w14:textId="77777777" w:rsidR="004D2FCE" w:rsidRPr="004D2FCE" w:rsidRDefault="004D2FCE" w:rsidP="004D2FCE">
      <w:pPr>
        <w:spacing w:line="480" w:lineRule="auto"/>
        <w:rPr>
          <w:rFonts w:ascii="Arial" w:hAnsi="Arial" w:cs="Arial"/>
          <w:sz w:val="22"/>
          <w:szCs w:val="22"/>
          <w:lang w:val="en-US"/>
        </w:rPr>
      </w:pPr>
      <w:r w:rsidRPr="004D2FCE">
        <w:rPr>
          <w:rFonts w:ascii="Arial" w:hAnsi="Arial" w:cs="Arial"/>
          <w:sz w:val="22"/>
          <w:szCs w:val="22"/>
          <w:lang w:val="en-US"/>
        </w:rPr>
        <w:t>-Werbrouck E, Spiessens C, Meuleman C, D'Hooghe T. No difference in cycle pregnancy rate and in cumulative live-birth rate between women with surgically treated minimal to mild endometriosis and women with unexplained infertility after controlled ovarian hyperstimulation and intrauterine insemination.</w:t>
      </w:r>
      <w:r>
        <w:rPr>
          <w:rFonts w:ascii="Arial" w:hAnsi="Arial" w:cs="Arial"/>
          <w:sz w:val="22"/>
          <w:szCs w:val="22"/>
          <w:lang w:val="en-US"/>
        </w:rPr>
        <w:t xml:space="preserve"> F</w:t>
      </w:r>
      <w:r w:rsidRPr="004D2FCE">
        <w:rPr>
          <w:rFonts w:ascii="Arial" w:hAnsi="Arial" w:cs="Arial"/>
          <w:sz w:val="22"/>
          <w:szCs w:val="22"/>
          <w:lang w:val="en-US"/>
        </w:rPr>
        <w:t>ertil Steril 2006;86(3):566-71.</w:t>
      </w:r>
    </w:p>
    <w:p w14:paraId="0FDC3FA3" w14:textId="77777777" w:rsidR="004D2FCE" w:rsidRPr="004D2FCE" w:rsidRDefault="004D2FCE" w:rsidP="004D2FCE">
      <w:pPr>
        <w:spacing w:line="480" w:lineRule="auto"/>
        <w:rPr>
          <w:rFonts w:ascii="Arial" w:hAnsi="Arial" w:cs="Arial"/>
          <w:sz w:val="22"/>
          <w:szCs w:val="22"/>
          <w:lang w:val="en-US"/>
        </w:rPr>
      </w:pPr>
    </w:p>
    <w:p w14:paraId="0F820CFC" w14:textId="77777777" w:rsidR="004D2FCE" w:rsidRPr="004D2FCE" w:rsidRDefault="004D2FCE" w:rsidP="004D2FCE">
      <w:pPr>
        <w:spacing w:line="480" w:lineRule="auto"/>
        <w:rPr>
          <w:rFonts w:ascii="Arial" w:hAnsi="Arial" w:cs="Arial"/>
          <w:sz w:val="22"/>
          <w:szCs w:val="22"/>
          <w:lang w:val="en-US"/>
        </w:rPr>
      </w:pPr>
    </w:p>
    <w:p w14:paraId="0B38DEF1" w14:textId="77777777" w:rsidR="004D2FCE" w:rsidRPr="004D2FCE" w:rsidRDefault="004D2FCE" w:rsidP="004D2FCE">
      <w:pPr>
        <w:spacing w:line="480" w:lineRule="auto"/>
        <w:rPr>
          <w:rFonts w:ascii="Arial" w:hAnsi="Arial" w:cs="Arial"/>
          <w:sz w:val="22"/>
          <w:szCs w:val="22"/>
          <w:lang w:val="en-US"/>
        </w:rPr>
      </w:pPr>
    </w:p>
    <w:sectPr w:rsidR="004D2FCE" w:rsidRPr="004D2FCE" w:rsidSect="006630C1">
      <w:pgSz w:w="11906" w:h="16838"/>
      <w:pgMar w:top="1417" w:right="1417" w:bottom="1417" w:left="1417" w:header="708" w:footer="708" w:gutter="0"/>
      <w:lnNumType w:countBy="1" w:restart="continuous"/>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rla Tomassetti" w:date="2017-06-29T01:08:00Z" w:initials="CT">
    <w:p w14:paraId="1E0506E6" w14:textId="5E8C584F" w:rsidR="007153B1" w:rsidRDefault="007153B1">
      <w:pPr>
        <w:pStyle w:val="Tekstopmerking"/>
      </w:pPr>
      <w:r>
        <w:rPr>
          <w:rStyle w:val="Verwijzingopmerking"/>
        </w:rPr>
        <w:annotationRef/>
      </w:r>
      <w:r>
        <w:t>Aan Katrien : info mbt Ferring moet blijven staan in het manuscript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E0506E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E45C7B"/>
    <w:multiLevelType w:val="hybridMultilevel"/>
    <w:tmpl w:val="2BB045DE"/>
    <w:lvl w:ilvl="0" w:tplc="8CD8B1F2">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a Tomassetti">
    <w15:presenceInfo w15:providerId="AD" w15:userId="S-1-5-21-2123780637-82641590-1866013658-125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04C"/>
    <w:rsid w:val="00003D96"/>
    <w:rsid w:val="00004B91"/>
    <w:rsid w:val="000106CE"/>
    <w:rsid w:val="000127FA"/>
    <w:rsid w:val="00014D9A"/>
    <w:rsid w:val="00035BD3"/>
    <w:rsid w:val="000439D0"/>
    <w:rsid w:val="00050803"/>
    <w:rsid w:val="00066CFC"/>
    <w:rsid w:val="000701FF"/>
    <w:rsid w:val="00075EF1"/>
    <w:rsid w:val="00081DF6"/>
    <w:rsid w:val="00084617"/>
    <w:rsid w:val="000875C3"/>
    <w:rsid w:val="00092A22"/>
    <w:rsid w:val="000A4278"/>
    <w:rsid w:val="000A5108"/>
    <w:rsid w:val="000A753B"/>
    <w:rsid w:val="000B4399"/>
    <w:rsid w:val="000B6723"/>
    <w:rsid w:val="000C0F81"/>
    <w:rsid w:val="000C3A63"/>
    <w:rsid w:val="000D51A5"/>
    <w:rsid w:val="000D7096"/>
    <w:rsid w:val="000E01FB"/>
    <w:rsid w:val="000E6865"/>
    <w:rsid w:val="000F4539"/>
    <w:rsid w:val="00102251"/>
    <w:rsid w:val="00104D06"/>
    <w:rsid w:val="001132C3"/>
    <w:rsid w:val="00116265"/>
    <w:rsid w:val="001227FA"/>
    <w:rsid w:val="00124C22"/>
    <w:rsid w:val="001273A2"/>
    <w:rsid w:val="00130F62"/>
    <w:rsid w:val="001318DF"/>
    <w:rsid w:val="001327F0"/>
    <w:rsid w:val="00133618"/>
    <w:rsid w:val="00137010"/>
    <w:rsid w:val="00143AE9"/>
    <w:rsid w:val="00144892"/>
    <w:rsid w:val="00151944"/>
    <w:rsid w:val="00157AF8"/>
    <w:rsid w:val="00157E44"/>
    <w:rsid w:val="001630A3"/>
    <w:rsid w:val="00166B68"/>
    <w:rsid w:val="00171BF2"/>
    <w:rsid w:val="001807D5"/>
    <w:rsid w:val="00182CAC"/>
    <w:rsid w:val="00192A20"/>
    <w:rsid w:val="00196669"/>
    <w:rsid w:val="001A25DD"/>
    <w:rsid w:val="001A6DDA"/>
    <w:rsid w:val="001A762B"/>
    <w:rsid w:val="001B5801"/>
    <w:rsid w:val="001D16FF"/>
    <w:rsid w:val="001D533D"/>
    <w:rsid w:val="001E28D1"/>
    <w:rsid w:val="00206E64"/>
    <w:rsid w:val="00210F6F"/>
    <w:rsid w:val="0021644D"/>
    <w:rsid w:val="00222BAC"/>
    <w:rsid w:val="0023004C"/>
    <w:rsid w:val="00232E0B"/>
    <w:rsid w:val="00233E9F"/>
    <w:rsid w:val="00250483"/>
    <w:rsid w:val="00256351"/>
    <w:rsid w:val="002636FD"/>
    <w:rsid w:val="0026737B"/>
    <w:rsid w:val="00267F71"/>
    <w:rsid w:val="00274D81"/>
    <w:rsid w:val="0027711D"/>
    <w:rsid w:val="002A3082"/>
    <w:rsid w:val="002A4388"/>
    <w:rsid w:val="002B7FE1"/>
    <w:rsid w:val="002C6D4A"/>
    <w:rsid w:val="002F7793"/>
    <w:rsid w:val="0030423C"/>
    <w:rsid w:val="00307814"/>
    <w:rsid w:val="00311560"/>
    <w:rsid w:val="00314307"/>
    <w:rsid w:val="00314C8E"/>
    <w:rsid w:val="003308B6"/>
    <w:rsid w:val="00336873"/>
    <w:rsid w:val="00340024"/>
    <w:rsid w:val="003570EA"/>
    <w:rsid w:val="003577FD"/>
    <w:rsid w:val="00362794"/>
    <w:rsid w:val="003738BD"/>
    <w:rsid w:val="00375AFC"/>
    <w:rsid w:val="00377905"/>
    <w:rsid w:val="003805F7"/>
    <w:rsid w:val="00382879"/>
    <w:rsid w:val="00385728"/>
    <w:rsid w:val="003A2603"/>
    <w:rsid w:val="003A2D97"/>
    <w:rsid w:val="003A4C52"/>
    <w:rsid w:val="003A5710"/>
    <w:rsid w:val="003A7B4A"/>
    <w:rsid w:val="003B103B"/>
    <w:rsid w:val="003B5854"/>
    <w:rsid w:val="003C36D3"/>
    <w:rsid w:val="003C3CD9"/>
    <w:rsid w:val="003C4E59"/>
    <w:rsid w:val="003D0BBB"/>
    <w:rsid w:val="003D117F"/>
    <w:rsid w:val="003E2503"/>
    <w:rsid w:val="003E49FA"/>
    <w:rsid w:val="003E6358"/>
    <w:rsid w:val="003E7D3D"/>
    <w:rsid w:val="00401DF1"/>
    <w:rsid w:val="004049EA"/>
    <w:rsid w:val="00404BAA"/>
    <w:rsid w:val="00413A7B"/>
    <w:rsid w:val="00424329"/>
    <w:rsid w:val="00433A6A"/>
    <w:rsid w:val="00435BB4"/>
    <w:rsid w:val="00436EF3"/>
    <w:rsid w:val="0043798D"/>
    <w:rsid w:val="004521F2"/>
    <w:rsid w:val="004561B2"/>
    <w:rsid w:val="004715B7"/>
    <w:rsid w:val="00481252"/>
    <w:rsid w:val="00483AC8"/>
    <w:rsid w:val="00485D45"/>
    <w:rsid w:val="004A0E4F"/>
    <w:rsid w:val="004A54D2"/>
    <w:rsid w:val="004A7BEA"/>
    <w:rsid w:val="004C03FC"/>
    <w:rsid w:val="004C053D"/>
    <w:rsid w:val="004C093D"/>
    <w:rsid w:val="004C15AC"/>
    <w:rsid w:val="004C4A8C"/>
    <w:rsid w:val="004D2FCE"/>
    <w:rsid w:val="004D4A04"/>
    <w:rsid w:val="004D721E"/>
    <w:rsid w:val="004E0795"/>
    <w:rsid w:val="004E44EE"/>
    <w:rsid w:val="004E6FCC"/>
    <w:rsid w:val="004E7374"/>
    <w:rsid w:val="004E7B2B"/>
    <w:rsid w:val="004F0308"/>
    <w:rsid w:val="004F2ACE"/>
    <w:rsid w:val="004F47AD"/>
    <w:rsid w:val="004F5881"/>
    <w:rsid w:val="004F7F44"/>
    <w:rsid w:val="005025FA"/>
    <w:rsid w:val="00504022"/>
    <w:rsid w:val="00504B01"/>
    <w:rsid w:val="005116B8"/>
    <w:rsid w:val="00512458"/>
    <w:rsid w:val="00514ABE"/>
    <w:rsid w:val="00517F1D"/>
    <w:rsid w:val="00524C8E"/>
    <w:rsid w:val="0053499B"/>
    <w:rsid w:val="00541250"/>
    <w:rsid w:val="005428E7"/>
    <w:rsid w:val="005450C6"/>
    <w:rsid w:val="0055068A"/>
    <w:rsid w:val="00551063"/>
    <w:rsid w:val="00554E8C"/>
    <w:rsid w:val="00561B4B"/>
    <w:rsid w:val="005674B7"/>
    <w:rsid w:val="005726C7"/>
    <w:rsid w:val="00574C0E"/>
    <w:rsid w:val="005924C1"/>
    <w:rsid w:val="005A5B6F"/>
    <w:rsid w:val="005B1A74"/>
    <w:rsid w:val="005B4224"/>
    <w:rsid w:val="005B5133"/>
    <w:rsid w:val="005C24E1"/>
    <w:rsid w:val="005C380B"/>
    <w:rsid w:val="005D0FC7"/>
    <w:rsid w:val="005D18FA"/>
    <w:rsid w:val="005D4890"/>
    <w:rsid w:val="005F39F6"/>
    <w:rsid w:val="00627CB6"/>
    <w:rsid w:val="00630F4F"/>
    <w:rsid w:val="006331C0"/>
    <w:rsid w:val="00633DF9"/>
    <w:rsid w:val="00646C27"/>
    <w:rsid w:val="00647F50"/>
    <w:rsid w:val="0065413A"/>
    <w:rsid w:val="00656C69"/>
    <w:rsid w:val="00662ADE"/>
    <w:rsid w:val="006630C1"/>
    <w:rsid w:val="00664843"/>
    <w:rsid w:val="00691677"/>
    <w:rsid w:val="00695DC8"/>
    <w:rsid w:val="006A61DB"/>
    <w:rsid w:val="006C2035"/>
    <w:rsid w:val="006C5179"/>
    <w:rsid w:val="006C7509"/>
    <w:rsid w:val="006D50F8"/>
    <w:rsid w:val="006D51C4"/>
    <w:rsid w:val="006D6E28"/>
    <w:rsid w:val="006E1BB0"/>
    <w:rsid w:val="006F193C"/>
    <w:rsid w:val="0070047D"/>
    <w:rsid w:val="0070445E"/>
    <w:rsid w:val="00704ED8"/>
    <w:rsid w:val="007074AF"/>
    <w:rsid w:val="00707DF8"/>
    <w:rsid w:val="00711888"/>
    <w:rsid w:val="00711A1A"/>
    <w:rsid w:val="00712339"/>
    <w:rsid w:val="007153B1"/>
    <w:rsid w:val="00717BDE"/>
    <w:rsid w:val="007211AB"/>
    <w:rsid w:val="0072394A"/>
    <w:rsid w:val="007242CD"/>
    <w:rsid w:val="00733E77"/>
    <w:rsid w:val="007363A3"/>
    <w:rsid w:val="007416D0"/>
    <w:rsid w:val="0074544C"/>
    <w:rsid w:val="00746ED5"/>
    <w:rsid w:val="00755A35"/>
    <w:rsid w:val="007825D6"/>
    <w:rsid w:val="00786C2B"/>
    <w:rsid w:val="00787094"/>
    <w:rsid w:val="0079235D"/>
    <w:rsid w:val="00793449"/>
    <w:rsid w:val="00797D1D"/>
    <w:rsid w:val="007A14EB"/>
    <w:rsid w:val="007A6855"/>
    <w:rsid w:val="007B1170"/>
    <w:rsid w:val="007C5737"/>
    <w:rsid w:val="007C6D5E"/>
    <w:rsid w:val="007D1A40"/>
    <w:rsid w:val="007D5549"/>
    <w:rsid w:val="007D67F3"/>
    <w:rsid w:val="007E3BF3"/>
    <w:rsid w:val="007E5A5F"/>
    <w:rsid w:val="00802A58"/>
    <w:rsid w:val="0080481C"/>
    <w:rsid w:val="0083569D"/>
    <w:rsid w:val="00837CD7"/>
    <w:rsid w:val="0084116B"/>
    <w:rsid w:val="00847519"/>
    <w:rsid w:val="0085566C"/>
    <w:rsid w:val="00857F21"/>
    <w:rsid w:val="00865FFA"/>
    <w:rsid w:val="00866B2B"/>
    <w:rsid w:val="008701BD"/>
    <w:rsid w:val="00871E06"/>
    <w:rsid w:val="00873E95"/>
    <w:rsid w:val="00874BD6"/>
    <w:rsid w:val="0088177A"/>
    <w:rsid w:val="0088187D"/>
    <w:rsid w:val="008931EA"/>
    <w:rsid w:val="008959AE"/>
    <w:rsid w:val="008A159E"/>
    <w:rsid w:val="008B267A"/>
    <w:rsid w:val="008B2E00"/>
    <w:rsid w:val="008C3F42"/>
    <w:rsid w:val="008C59AD"/>
    <w:rsid w:val="008C64A8"/>
    <w:rsid w:val="008C7248"/>
    <w:rsid w:val="008D469D"/>
    <w:rsid w:val="008E4237"/>
    <w:rsid w:val="008E4EF7"/>
    <w:rsid w:val="008E5339"/>
    <w:rsid w:val="00907252"/>
    <w:rsid w:val="00913C23"/>
    <w:rsid w:val="00915BAE"/>
    <w:rsid w:val="009207BA"/>
    <w:rsid w:val="009224CA"/>
    <w:rsid w:val="00926CD4"/>
    <w:rsid w:val="00931F6D"/>
    <w:rsid w:val="009330CF"/>
    <w:rsid w:val="009352B4"/>
    <w:rsid w:val="00936803"/>
    <w:rsid w:val="00941CEC"/>
    <w:rsid w:val="0094359A"/>
    <w:rsid w:val="009447A2"/>
    <w:rsid w:val="00946625"/>
    <w:rsid w:val="009564FB"/>
    <w:rsid w:val="00960E87"/>
    <w:rsid w:val="00960FD3"/>
    <w:rsid w:val="00970D64"/>
    <w:rsid w:val="00976F5C"/>
    <w:rsid w:val="00981162"/>
    <w:rsid w:val="00992F57"/>
    <w:rsid w:val="009A07DE"/>
    <w:rsid w:val="009A164F"/>
    <w:rsid w:val="009A4F6A"/>
    <w:rsid w:val="009C2807"/>
    <w:rsid w:val="009C2918"/>
    <w:rsid w:val="009C75FA"/>
    <w:rsid w:val="009C7EA7"/>
    <w:rsid w:val="009D04F4"/>
    <w:rsid w:val="009D175C"/>
    <w:rsid w:val="009D415D"/>
    <w:rsid w:val="009D426D"/>
    <w:rsid w:val="009E41E0"/>
    <w:rsid w:val="009E7617"/>
    <w:rsid w:val="009F3612"/>
    <w:rsid w:val="009F3E13"/>
    <w:rsid w:val="009F4507"/>
    <w:rsid w:val="00A03BB4"/>
    <w:rsid w:val="00A05326"/>
    <w:rsid w:val="00A20C5B"/>
    <w:rsid w:val="00A22E6E"/>
    <w:rsid w:val="00A42E87"/>
    <w:rsid w:val="00A52980"/>
    <w:rsid w:val="00A55274"/>
    <w:rsid w:val="00A57D5C"/>
    <w:rsid w:val="00A64667"/>
    <w:rsid w:val="00A67CA3"/>
    <w:rsid w:val="00A760B0"/>
    <w:rsid w:val="00A7627A"/>
    <w:rsid w:val="00A76BCB"/>
    <w:rsid w:val="00A821D6"/>
    <w:rsid w:val="00A94219"/>
    <w:rsid w:val="00AA076B"/>
    <w:rsid w:val="00AA1FBA"/>
    <w:rsid w:val="00AA3A93"/>
    <w:rsid w:val="00AA4B6B"/>
    <w:rsid w:val="00AA69C8"/>
    <w:rsid w:val="00AB156E"/>
    <w:rsid w:val="00AB5534"/>
    <w:rsid w:val="00AB5CE1"/>
    <w:rsid w:val="00AC130D"/>
    <w:rsid w:val="00AC35F0"/>
    <w:rsid w:val="00AC4B19"/>
    <w:rsid w:val="00AD09EE"/>
    <w:rsid w:val="00AD2747"/>
    <w:rsid w:val="00AD2F99"/>
    <w:rsid w:val="00AD3AF2"/>
    <w:rsid w:val="00AD7E48"/>
    <w:rsid w:val="00AE0DC6"/>
    <w:rsid w:val="00AE63A9"/>
    <w:rsid w:val="00B0346A"/>
    <w:rsid w:val="00B062CC"/>
    <w:rsid w:val="00B14857"/>
    <w:rsid w:val="00B1623B"/>
    <w:rsid w:val="00B1693C"/>
    <w:rsid w:val="00B24AE5"/>
    <w:rsid w:val="00B24DDC"/>
    <w:rsid w:val="00B32938"/>
    <w:rsid w:val="00B330AA"/>
    <w:rsid w:val="00B476BD"/>
    <w:rsid w:val="00B5335C"/>
    <w:rsid w:val="00B54306"/>
    <w:rsid w:val="00B63929"/>
    <w:rsid w:val="00B661DD"/>
    <w:rsid w:val="00B673E3"/>
    <w:rsid w:val="00B703FB"/>
    <w:rsid w:val="00B7577C"/>
    <w:rsid w:val="00B83B9E"/>
    <w:rsid w:val="00B84F73"/>
    <w:rsid w:val="00B8743F"/>
    <w:rsid w:val="00BA2905"/>
    <w:rsid w:val="00BB3B71"/>
    <w:rsid w:val="00BC0540"/>
    <w:rsid w:val="00BD084A"/>
    <w:rsid w:val="00BF0A15"/>
    <w:rsid w:val="00BF4005"/>
    <w:rsid w:val="00C03EA9"/>
    <w:rsid w:val="00C06F83"/>
    <w:rsid w:val="00C178CB"/>
    <w:rsid w:val="00C24EF0"/>
    <w:rsid w:val="00C31D9C"/>
    <w:rsid w:val="00C32D72"/>
    <w:rsid w:val="00C3440E"/>
    <w:rsid w:val="00C34A1A"/>
    <w:rsid w:val="00C42A9D"/>
    <w:rsid w:val="00C43549"/>
    <w:rsid w:val="00C4502A"/>
    <w:rsid w:val="00C468CD"/>
    <w:rsid w:val="00C50482"/>
    <w:rsid w:val="00C6327D"/>
    <w:rsid w:val="00C656C4"/>
    <w:rsid w:val="00C8090A"/>
    <w:rsid w:val="00C85217"/>
    <w:rsid w:val="00C85F2B"/>
    <w:rsid w:val="00C9182B"/>
    <w:rsid w:val="00C92DDF"/>
    <w:rsid w:val="00CB7E5F"/>
    <w:rsid w:val="00CC6932"/>
    <w:rsid w:val="00CD438C"/>
    <w:rsid w:val="00CE3519"/>
    <w:rsid w:val="00CE4DA0"/>
    <w:rsid w:val="00CE6EA9"/>
    <w:rsid w:val="00CF039F"/>
    <w:rsid w:val="00CF1736"/>
    <w:rsid w:val="00CF3B7A"/>
    <w:rsid w:val="00CF3D82"/>
    <w:rsid w:val="00CF64C5"/>
    <w:rsid w:val="00D00CD0"/>
    <w:rsid w:val="00D0219E"/>
    <w:rsid w:val="00D02743"/>
    <w:rsid w:val="00D02A6B"/>
    <w:rsid w:val="00D02CAF"/>
    <w:rsid w:val="00D1162E"/>
    <w:rsid w:val="00D11FFA"/>
    <w:rsid w:val="00D12175"/>
    <w:rsid w:val="00D14021"/>
    <w:rsid w:val="00D15B78"/>
    <w:rsid w:val="00D17C3A"/>
    <w:rsid w:val="00D2607A"/>
    <w:rsid w:val="00D265AD"/>
    <w:rsid w:val="00D40DED"/>
    <w:rsid w:val="00D5136F"/>
    <w:rsid w:val="00D53C61"/>
    <w:rsid w:val="00D54465"/>
    <w:rsid w:val="00D558A7"/>
    <w:rsid w:val="00D614D6"/>
    <w:rsid w:val="00D627DD"/>
    <w:rsid w:val="00D6451E"/>
    <w:rsid w:val="00D664C2"/>
    <w:rsid w:val="00D66F94"/>
    <w:rsid w:val="00D67412"/>
    <w:rsid w:val="00D81374"/>
    <w:rsid w:val="00D816E8"/>
    <w:rsid w:val="00D909A9"/>
    <w:rsid w:val="00D92F47"/>
    <w:rsid w:val="00D95431"/>
    <w:rsid w:val="00DA0BA4"/>
    <w:rsid w:val="00DA3B9B"/>
    <w:rsid w:val="00DA59C3"/>
    <w:rsid w:val="00DB5148"/>
    <w:rsid w:val="00DC3A9C"/>
    <w:rsid w:val="00DE31C2"/>
    <w:rsid w:val="00E02463"/>
    <w:rsid w:val="00E0615E"/>
    <w:rsid w:val="00E10B84"/>
    <w:rsid w:val="00E229C1"/>
    <w:rsid w:val="00E24E6C"/>
    <w:rsid w:val="00E4504B"/>
    <w:rsid w:val="00E518BA"/>
    <w:rsid w:val="00E544CF"/>
    <w:rsid w:val="00E61E94"/>
    <w:rsid w:val="00E669F1"/>
    <w:rsid w:val="00E71D1A"/>
    <w:rsid w:val="00E833A4"/>
    <w:rsid w:val="00E931CB"/>
    <w:rsid w:val="00E93D35"/>
    <w:rsid w:val="00EA4823"/>
    <w:rsid w:val="00EA6B7E"/>
    <w:rsid w:val="00EB52F6"/>
    <w:rsid w:val="00ED5621"/>
    <w:rsid w:val="00ED6002"/>
    <w:rsid w:val="00EF6878"/>
    <w:rsid w:val="00F03D70"/>
    <w:rsid w:val="00F06DD6"/>
    <w:rsid w:val="00F071DC"/>
    <w:rsid w:val="00F1043E"/>
    <w:rsid w:val="00F277AB"/>
    <w:rsid w:val="00F40AF1"/>
    <w:rsid w:val="00F40FF2"/>
    <w:rsid w:val="00F4498A"/>
    <w:rsid w:val="00F4599F"/>
    <w:rsid w:val="00F472EA"/>
    <w:rsid w:val="00F50893"/>
    <w:rsid w:val="00F50974"/>
    <w:rsid w:val="00F52DEA"/>
    <w:rsid w:val="00F577F3"/>
    <w:rsid w:val="00F6422D"/>
    <w:rsid w:val="00F71A86"/>
    <w:rsid w:val="00F74011"/>
    <w:rsid w:val="00F75070"/>
    <w:rsid w:val="00F75926"/>
    <w:rsid w:val="00F831D8"/>
    <w:rsid w:val="00F84049"/>
    <w:rsid w:val="00F86556"/>
    <w:rsid w:val="00F91112"/>
    <w:rsid w:val="00F9337D"/>
    <w:rsid w:val="00FA56B3"/>
    <w:rsid w:val="00FA7163"/>
    <w:rsid w:val="00FB226B"/>
    <w:rsid w:val="00FB632E"/>
    <w:rsid w:val="00FC4AE3"/>
    <w:rsid w:val="00FD2B02"/>
    <w:rsid w:val="00FD48BF"/>
    <w:rsid w:val="00FE1443"/>
    <w:rsid w:val="00FE42AB"/>
    <w:rsid w:val="00FE4A5D"/>
    <w:rsid w:val="00FF174F"/>
    <w:rsid w:val="00FF3EB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51462"/>
  <w15:chartTrackingRefBased/>
  <w15:docId w15:val="{84CA2193-AB03-42AF-BFE3-F90F057E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23004C"/>
    <w:pPr>
      <w:spacing w:after="150"/>
    </w:pPr>
    <w:rPr>
      <w:lang w:val="nl-BE" w:eastAsia="nl-BE"/>
    </w:rPr>
  </w:style>
  <w:style w:type="character" w:styleId="Verwijzingopmerking">
    <w:name w:val="annotation reference"/>
    <w:basedOn w:val="Standaardalinea-lettertype"/>
    <w:rsid w:val="006630C1"/>
    <w:rPr>
      <w:sz w:val="16"/>
      <w:szCs w:val="16"/>
    </w:rPr>
  </w:style>
  <w:style w:type="paragraph" w:styleId="Tekstopmerking">
    <w:name w:val="annotation text"/>
    <w:basedOn w:val="Standaard"/>
    <w:link w:val="TekstopmerkingChar"/>
    <w:rsid w:val="006630C1"/>
    <w:rPr>
      <w:sz w:val="20"/>
      <w:szCs w:val="20"/>
    </w:rPr>
  </w:style>
  <w:style w:type="character" w:customStyle="1" w:styleId="TekstopmerkingChar">
    <w:name w:val="Tekst opmerking Char"/>
    <w:basedOn w:val="Standaardalinea-lettertype"/>
    <w:link w:val="Tekstopmerking"/>
    <w:rsid w:val="006630C1"/>
    <w:rPr>
      <w:lang w:val="nl-NL" w:eastAsia="nl-NL"/>
    </w:rPr>
  </w:style>
  <w:style w:type="paragraph" w:styleId="Onderwerpvanopmerking">
    <w:name w:val="annotation subject"/>
    <w:basedOn w:val="Tekstopmerking"/>
    <w:next w:val="Tekstopmerking"/>
    <w:link w:val="OnderwerpvanopmerkingChar"/>
    <w:rsid w:val="006630C1"/>
    <w:rPr>
      <w:b/>
      <w:bCs/>
    </w:rPr>
  </w:style>
  <w:style w:type="character" w:customStyle="1" w:styleId="OnderwerpvanopmerkingChar">
    <w:name w:val="Onderwerp van opmerking Char"/>
    <w:basedOn w:val="TekstopmerkingChar"/>
    <w:link w:val="Onderwerpvanopmerking"/>
    <w:rsid w:val="006630C1"/>
    <w:rPr>
      <w:b/>
      <w:bCs/>
      <w:lang w:val="nl-NL" w:eastAsia="nl-NL"/>
    </w:rPr>
  </w:style>
  <w:style w:type="paragraph" w:styleId="Ballontekst">
    <w:name w:val="Balloon Text"/>
    <w:basedOn w:val="Standaard"/>
    <w:link w:val="BallontekstChar"/>
    <w:rsid w:val="006630C1"/>
    <w:rPr>
      <w:rFonts w:ascii="Segoe UI" w:hAnsi="Segoe UI" w:cs="Segoe UI"/>
      <w:sz w:val="18"/>
      <w:szCs w:val="18"/>
    </w:rPr>
  </w:style>
  <w:style w:type="character" w:customStyle="1" w:styleId="BallontekstChar">
    <w:name w:val="Ballontekst Char"/>
    <w:basedOn w:val="Standaardalinea-lettertype"/>
    <w:link w:val="Ballontekst"/>
    <w:rsid w:val="006630C1"/>
    <w:rPr>
      <w:rFonts w:ascii="Segoe UI" w:hAnsi="Segoe UI" w:cs="Segoe UI"/>
      <w:sz w:val="18"/>
      <w:szCs w:val="18"/>
      <w:lang w:val="nl-NL" w:eastAsia="nl-NL"/>
    </w:rPr>
  </w:style>
  <w:style w:type="character" w:styleId="Regelnummer">
    <w:name w:val="line number"/>
    <w:basedOn w:val="Standaardalinea-lettertype"/>
    <w:rsid w:val="006630C1"/>
  </w:style>
  <w:style w:type="table" w:styleId="Tabelraster">
    <w:name w:val="Table Grid"/>
    <w:basedOn w:val="Standaardtabel"/>
    <w:rsid w:val="00D664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5259">
      <w:bodyDiv w:val="1"/>
      <w:marLeft w:val="0"/>
      <w:marRight w:val="0"/>
      <w:marTop w:val="0"/>
      <w:marBottom w:val="0"/>
      <w:divBdr>
        <w:top w:val="none" w:sz="0" w:space="0" w:color="auto"/>
        <w:left w:val="none" w:sz="0" w:space="0" w:color="auto"/>
        <w:bottom w:val="none" w:sz="0" w:space="0" w:color="auto"/>
        <w:right w:val="none" w:sz="0" w:space="0" w:color="auto"/>
      </w:divBdr>
      <w:divsChild>
        <w:div w:id="880898253">
          <w:marLeft w:val="547"/>
          <w:marRight w:val="0"/>
          <w:marTop w:val="154"/>
          <w:marBottom w:val="0"/>
          <w:divBdr>
            <w:top w:val="none" w:sz="0" w:space="0" w:color="auto"/>
            <w:left w:val="none" w:sz="0" w:space="0" w:color="auto"/>
            <w:bottom w:val="none" w:sz="0" w:space="0" w:color="auto"/>
            <w:right w:val="none" w:sz="0" w:space="0" w:color="auto"/>
          </w:divBdr>
        </w:div>
        <w:div w:id="799343171">
          <w:marLeft w:val="1166"/>
          <w:marRight w:val="0"/>
          <w:marTop w:val="134"/>
          <w:marBottom w:val="0"/>
          <w:divBdr>
            <w:top w:val="none" w:sz="0" w:space="0" w:color="auto"/>
            <w:left w:val="none" w:sz="0" w:space="0" w:color="auto"/>
            <w:bottom w:val="none" w:sz="0" w:space="0" w:color="auto"/>
            <w:right w:val="none" w:sz="0" w:space="0" w:color="auto"/>
          </w:divBdr>
        </w:div>
        <w:div w:id="20664592">
          <w:marLeft w:val="1166"/>
          <w:marRight w:val="0"/>
          <w:marTop w:val="134"/>
          <w:marBottom w:val="0"/>
          <w:divBdr>
            <w:top w:val="none" w:sz="0" w:space="0" w:color="auto"/>
            <w:left w:val="none" w:sz="0" w:space="0" w:color="auto"/>
            <w:bottom w:val="none" w:sz="0" w:space="0" w:color="auto"/>
            <w:right w:val="none" w:sz="0" w:space="0" w:color="auto"/>
          </w:divBdr>
        </w:div>
      </w:divsChild>
    </w:div>
    <w:div w:id="76949233">
      <w:bodyDiv w:val="1"/>
      <w:marLeft w:val="0"/>
      <w:marRight w:val="0"/>
      <w:marTop w:val="0"/>
      <w:marBottom w:val="0"/>
      <w:divBdr>
        <w:top w:val="none" w:sz="0" w:space="0" w:color="auto"/>
        <w:left w:val="none" w:sz="0" w:space="0" w:color="auto"/>
        <w:bottom w:val="none" w:sz="0" w:space="0" w:color="auto"/>
        <w:right w:val="none" w:sz="0" w:space="0" w:color="auto"/>
      </w:divBdr>
      <w:divsChild>
        <w:div w:id="1797871515">
          <w:marLeft w:val="0"/>
          <w:marRight w:val="1"/>
          <w:marTop w:val="0"/>
          <w:marBottom w:val="0"/>
          <w:divBdr>
            <w:top w:val="none" w:sz="0" w:space="0" w:color="auto"/>
            <w:left w:val="none" w:sz="0" w:space="0" w:color="auto"/>
            <w:bottom w:val="none" w:sz="0" w:space="0" w:color="auto"/>
            <w:right w:val="none" w:sz="0" w:space="0" w:color="auto"/>
          </w:divBdr>
          <w:divsChild>
            <w:div w:id="1768232661">
              <w:marLeft w:val="0"/>
              <w:marRight w:val="0"/>
              <w:marTop w:val="0"/>
              <w:marBottom w:val="0"/>
              <w:divBdr>
                <w:top w:val="none" w:sz="0" w:space="0" w:color="auto"/>
                <w:left w:val="none" w:sz="0" w:space="0" w:color="auto"/>
                <w:bottom w:val="none" w:sz="0" w:space="0" w:color="auto"/>
                <w:right w:val="none" w:sz="0" w:space="0" w:color="auto"/>
              </w:divBdr>
              <w:divsChild>
                <w:div w:id="33893645">
                  <w:marLeft w:val="0"/>
                  <w:marRight w:val="1"/>
                  <w:marTop w:val="0"/>
                  <w:marBottom w:val="0"/>
                  <w:divBdr>
                    <w:top w:val="none" w:sz="0" w:space="0" w:color="auto"/>
                    <w:left w:val="none" w:sz="0" w:space="0" w:color="auto"/>
                    <w:bottom w:val="none" w:sz="0" w:space="0" w:color="auto"/>
                    <w:right w:val="none" w:sz="0" w:space="0" w:color="auto"/>
                  </w:divBdr>
                  <w:divsChild>
                    <w:div w:id="180317302">
                      <w:marLeft w:val="0"/>
                      <w:marRight w:val="0"/>
                      <w:marTop w:val="0"/>
                      <w:marBottom w:val="0"/>
                      <w:divBdr>
                        <w:top w:val="none" w:sz="0" w:space="0" w:color="auto"/>
                        <w:left w:val="none" w:sz="0" w:space="0" w:color="auto"/>
                        <w:bottom w:val="none" w:sz="0" w:space="0" w:color="auto"/>
                        <w:right w:val="none" w:sz="0" w:space="0" w:color="auto"/>
                      </w:divBdr>
                      <w:divsChild>
                        <w:div w:id="735005852">
                          <w:marLeft w:val="0"/>
                          <w:marRight w:val="0"/>
                          <w:marTop w:val="0"/>
                          <w:marBottom w:val="0"/>
                          <w:divBdr>
                            <w:top w:val="none" w:sz="0" w:space="0" w:color="auto"/>
                            <w:left w:val="none" w:sz="0" w:space="0" w:color="auto"/>
                            <w:bottom w:val="none" w:sz="0" w:space="0" w:color="auto"/>
                            <w:right w:val="none" w:sz="0" w:space="0" w:color="auto"/>
                          </w:divBdr>
                          <w:divsChild>
                            <w:div w:id="1803038871">
                              <w:marLeft w:val="0"/>
                              <w:marRight w:val="0"/>
                              <w:marTop w:val="120"/>
                              <w:marBottom w:val="360"/>
                              <w:divBdr>
                                <w:top w:val="none" w:sz="0" w:space="0" w:color="auto"/>
                                <w:left w:val="none" w:sz="0" w:space="0" w:color="auto"/>
                                <w:bottom w:val="none" w:sz="0" w:space="0" w:color="auto"/>
                                <w:right w:val="none" w:sz="0" w:space="0" w:color="auto"/>
                              </w:divBdr>
                              <w:divsChild>
                                <w:div w:id="214121601">
                                  <w:marLeft w:val="0"/>
                                  <w:marRight w:val="0"/>
                                  <w:marTop w:val="0"/>
                                  <w:marBottom w:val="0"/>
                                  <w:divBdr>
                                    <w:top w:val="none" w:sz="0" w:space="0" w:color="auto"/>
                                    <w:left w:val="none" w:sz="0" w:space="0" w:color="auto"/>
                                    <w:bottom w:val="none" w:sz="0" w:space="0" w:color="auto"/>
                                    <w:right w:val="none" w:sz="0" w:space="0" w:color="auto"/>
                                  </w:divBdr>
                                </w:div>
                                <w:div w:id="107677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7666972">
      <w:bodyDiv w:val="1"/>
      <w:marLeft w:val="0"/>
      <w:marRight w:val="0"/>
      <w:marTop w:val="0"/>
      <w:marBottom w:val="0"/>
      <w:divBdr>
        <w:top w:val="none" w:sz="0" w:space="0" w:color="auto"/>
        <w:left w:val="none" w:sz="0" w:space="0" w:color="auto"/>
        <w:bottom w:val="none" w:sz="0" w:space="0" w:color="auto"/>
        <w:right w:val="none" w:sz="0" w:space="0" w:color="auto"/>
      </w:divBdr>
      <w:divsChild>
        <w:div w:id="454177309">
          <w:marLeft w:val="0"/>
          <w:marRight w:val="1"/>
          <w:marTop w:val="0"/>
          <w:marBottom w:val="0"/>
          <w:divBdr>
            <w:top w:val="none" w:sz="0" w:space="0" w:color="auto"/>
            <w:left w:val="none" w:sz="0" w:space="0" w:color="auto"/>
            <w:bottom w:val="none" w:sz="0" w:space="0" w:color="auto"/>
            <w:right w:val="none" w:sz="0" w:space="0" w:color="auto"/>
          </w:divBdr>
          <w:divsChild>
            <w:div w:id="896664497">
              <w:marLeft w:val="0"/>
              <w:marRight w:val="0"/>
              <w:marTop w:val="0"/>
              <w:marBottom w:val="0"/>
              <w:divBdr>
                <w:top w:val="none" w:sz="0" w:space="0" w:color="auto"/>
                <w:left w:val="none" w:sz="0" w:space="0" w:color="auto"/>
                <w:bottom w:val="none" w:sz="0" w:space="0" w:color="auto"/>
                <w:right w:val="none" w:sz="0" w:space="0" w:color="auto"/>
              </w:divBdr>
              <w:divsChild>
                <w:div w:id="1733118939">
                  <w:marLeft w:val="0"/>
                  <w:marRight w:val="1"/>
                  <w:marTop w:val="0"/>
                  <w:marBottom w:val="0"/>
                  <w:divBdr>
                    <w:top w:val="none" w:sz="0" w:space="0" w:color="auto"/>
                    <w:left w:val="none" w:sz="0" w:space="0" w:color="auto"/>
                    <w:bottom w:val="none" w:sz="0" w:space="0" w:color="auto"/>
                    <w:right w:val="none" w:sz="0" w:space="0" w:color="auto"/>
                  </w:divBdr>
                  <w:divsChild>
                    <w:div w:id="1906332951">
                      <w:marLeft w:val="0"/>
                      <w:marRight w:val="0"/>
                      <w:marTop w:val="0"/>
                      <w:marBottom w:val="0"/>
                      <w:divBdr>
                        <w:top w:val="none" w:sz="0" w:space="0" w:color="auto"/>
                        <w:left w:val="none" w:sz="0" w:space="0" w:color="auto"/>
                        <w:bottom w:val="none" w:sz="0" w:space="0" w:color="auto"/>
                        <w:right w:val="none" w:sz="0" w:space="0" w:color="auto"/>
                      </w:divBdr>
                      <w:divsChild>
                        <w:div w:id="769619909">
                          <w:marLeft w:val="0"/>
                          <w:marRight w:val="0"/>
                          <w:marTop w:val="0"/>
                          <w:marBottom w:val="0"/>
                          <w:divBdr>
                            <w:top w:val="none" w:sz="0" w:space="0" w:color="auto"/>
                            <w:left w:val="none" w:sz="0" w:space="0" w:color="auto"/>
                            <w:bottom w:val="none" w:sz="0" w:space="0" w:color="auto"/>
                            <w:right w:val="none" w:sz="0" w:space="0" w:color="auto"/>
                          </w:divBdr>
                          <w:divsChild>
                            <w:div w:id="1377701810">
                              <w:marLeft w:val="0"/>
                              <w:marRight w:val="0"/>
                              <w:marTop w:val="120"/>
                              <w:marBottom w:val="360"/>
                              <w:divBdr>
                                <w:top w:val="none" w:sz="0" w:space="0" w:color="auto"/>
                                <w:left w:val="none" w:sz="0" w:space="0" w:color="auto"/>
                                <w:bottom w:val="none" w:sz="0" w:space="0" w:color="auto"/>
                                <w:right w:val="none" w:sz="0" w:space="0" w:color="auto"/>
                              </w:divBdr>
                              <w:divsChild>
                                <w:div w:id="964969441">
                                  <w:marLeft w:val="0"/>
                                  <w:marRight w:val="0"/>
                                  <w:marTop w:val="0"/>
                                  <w:marBottom w:val="0"/>
                                  <w:divBdr>
                                    <w:top w:val="none" w:sz="0" w:space="0" w:color="auto"/>
                                    <w:left w:val="none" w:sz="0" w:space="0" w:color="auto"/>
                                    <w:bottom w:val="none" w:sz="0" w:space="0" w:color="auto"/>
                                    <w:right w:val="none" w:sz="0" w:space="0" w:color="auto"/>
                                  </w:divBdr>
                                </w:div>
                                <w:div w:id="6665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912831">
      <w:bodyDiv w:val="1"/>
      <w:marLeft w:val="0"/>
      <w:marRight w:val="0"/>
      <w:marTop w:val="0"/>
      <w:marBottom w:val="0"/>
      <w:divBdr>
        <w:top w:val="none" w:sz="0" w:space="0" w:color="auto"/>
        <w:left w:val="none" w:sz="0" w:space="0" w:color="auto"/>
        <w:bottom w:val="none" w:sz="0" w:space="0" w:color="auto"/>
        <w:right w:val="none" w:sz="0" w:space="0" w:color="auto"/>
      </w:divBdr>
      <w:divsChild>
        <w:div w:id="568855688">
          <w:marLeft w:val="547"/>
          <w:marRight w:val="0"/>
          <w:marTop w:val="154"/>
          <w:marBottom w:val="0"/>
          <w:divBdr>
            <w:top w:val="none" w:sz="0" w:space="0" w:color="auto"/>
            <w:left w:val="none" w:sz="0" w:space="0" w:color="auto"/>
            <w:bottom w:val="none" w:sz="0" w:space="0" w:color="auto"/>
            <w:right w:val="none" w:sz="0" w:space="0" w:color="auto"/>
          </w:divBdr>
        </w:div>
        <w:div w:id="144325419">
          <w:marLeft w:val="1166"/>
          <w:marRight w:val="0"/>
          <w:marTop w:val="134"/>
          <w:marBottom w:val="0"/>
          <w:divBdr>
            <w:top w:val="none" w:sz="0" w:space="0" w:color="auto"/>
            <w:left w:val="none" w:sz="0" w:space="0" w:color="auto"/>
            <w:bottom w:val="none" w:sz="0" w:space="0" w:color="auto"/>
            <w:right w:val="none" w:sz="0" w:space="0" w:color="auto"/>
          </w:divBdr>
        </w:div>
        <w:div w:id="263343781">
          <w:marLeft w:val="1166"/>
          <w:marRight w:val="0"/>
          <w:marTop w:val="134"/>
          <w:marBottom w:val="0"/>
          <w:divBdr>
            <w:top w:val="none" w:sz="0" w:space="0" w:color="auto"/>
            <w:left w:val="none" w:sz="0" w:space="0" w:color="auto"/>
            <w:bottom w:val="none" w:sz="0" w:space="0" w:color="auto"/>
            <w:right w:val="none" w:sz="0" w:space="0" w:color="auto"/>
          </w:divBdr>
        </w:div>
      </w:divsChild>
    </w:div>
    <w:div w:id="732780641">
      <w:bodyDiv w:val="1"/>
      <w:marLeft w:val="0"/>
      <w:marRight w:val="0"/>
      <w:marTop w:val="0"/>
      <w:marBottom w:val="0"/>
      <w:divBdr>
        <w:top w:val="none" w:sz="0" w:space="0" w:color="auto"/>
        <w:left w:val="none" w:sz="0" w:space="0" w:color="auto"/>
        <w:bottom w:val="none" w:sz="0" w:space="0" w:color="auto"/>
        <w:right w:val="none" w:sz="0" w:space="0" w:color="auto"/>
      </w:divBdr>
      <w:divsChild>
        <w:div w:id="204878699">
          <w:marLeft w:val="0"/>
          <w:marRight w:val="1"/>
          <w:marTop w:val="0"/>
          <w:marBottom w:val="0"/>
          <w:divBdr>
            <w:top w:val="none" w:sz="0" w:space="0" w:color="auto"/>
            <w:left w:val="none" w:sz="0" w:space="0" w:color="auto"/>
            <w:bottom w:val="none" w:sz="0" w:space="0" w:color="auto"/>
            <w:right w:val="none" w:sz="0" w:space="0" w:color="auto"/>
          </w:divBdr>
          <w:divsChild>
            <w:div w:id="1290823354">
              <w:marLeft w:val="0"/>
              <w:marRight w:val="0"/>
              <w:marTop w:val="0"/>
              <w:marBottom w:val="0"/>
              <w:divBdr>
                <w:top w:val="none" w:sz="0" w:space="0" w:color="auto"/>
                <w:left w:val="none" w:sz="0" w:space="0" w:color="auto"/>
                <w:bottom w:val="none" w:sz="0" w:space="0" w:color="auto"/>
                <w:right w:val="none" w:sz="0" w:space="0" w:color="auto"/>
              </w:divBdr>
              <w:divsChild>
                <w:div w:id="1963803014">
                  <w:marLeft w:val="0"/>
                  <w:marRight w:val="1"/>
                  <w:marTop w:val="0"/>
                  <w:marBottom w:val="0"/>
                  <w:divBdr>
                    <w:top w:val="none" w:sz="0" w:space="0" w:color="auto"/>
                    <w:left w:val="none" w:sz="0" w:space="0" w:color="auto"/>
                    <w:bottom w:val="none" w:sz="0" w:space="0" w:color="auto"/>
                    <w:right w:val="none" w:sz="0" w:space="0" w:color="auto"/>
                  </w:divBdr>
                  <w:divsChild>
                    <w:div w:id="322393707">
                      <w:marLeft w:val="0"/>
                      <w:marRight w:val="0"/>
                      <w:marTop w:val="0"/>
                      <w:marBottom w:val="0"/>
                      <w:divBdr>
                        <w:top w:val="none" w:sz="0" w:space="0" w:color="auto"/>
                        <w:left w:val="none" w:sz="0" w:space="0" w:color="auto"/>
                        <w:bottom w:val="none" w:sz="0" w:space="0" w:color="auto"/>
                        <w:right w:val="none" w:sz="0" w:space="0" w:color="auto"/>
                      </w:divBdr>
                      <w:divsChild>
                        <w:div w:id="568274968">
                          <w:marLeft w:val="0"/>
                          <w:marRight w:val="0"/>
                          <w:marTop w:val="0"/>
                          <w:marBottom w:val="0"/>
                          <w:divBdr>
                            <w:top w:val="none" w:sz="0" w:space="0" w:color="auto"/>
                            <w:left w:val="none" w:sz="0" w:space="0" w:color="auto"/>
                            <w:bottom w:val="none" w:sz="0" w:space="0" w:color="auto"/>
                            <w:right w:val="none" w:sz="0" w:space="0" w:color="auto"/>
                          </w:divBdr>
                          <w:divsChild>
                            <w:div w:id="258568704">
                              <w:marLeft w:val="0"/>
                              <w:marRight w:val="0"/>
                              <w:marTop w:val="120"/>
                              <w:marBottom w:val="360"/>
                              <w:divBdr>
                                <w:top w:val="none" w:sz="0" w:space="0" w:color="auto"/>
                                <w:left w:val="none" w:sz="0" w:space="0" w:color="auto"/>
                                <w:bottom w:val="none" w:sz="0" w:space="0" w:color="auto"/>
                                <w:right w:val="none" w:sz="0" w:space="0" w:color="auto"/>
                              </w:divBdr>
                              <w:divsChild>
                                <w:div w:id="1385594762">
                                  <w:marLeft w:val="0"/>
                                  <w:marRight w:val="0"/>
                                  <w:marTop w:val="0"/>
                                  <w:marBottom w:val="0"/>
                                  <w:divBdr>
                                    <w:top w:val="none" w:sz="0" w:space="0" w:color="auto"/>
                                    <w:left w:val="none" w:sz="0" w:space="0" w:color="auto"/>
                                    <w:bottom w:val="none" w:sz="0" w:space="0" w:color="auto"/>
                                    <w:right w:val="none" w:sz="0" w:space="0" w:color="auto"/>
                                  </w:divBdr>
                                </w:div>
                                <w:div w:id="1877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895754">
      <w:bodyDiv w:val="1"/>
      <w:marLeft w:val="0"/>
      <w:marRight w:val="0"/>
      <w:marTop w:val="0"/>
      <w:marBottom w:val="0"/>
      <w:divBdr>
        <w:top w:val="none" w:sz="0" w:space="0" w:color="auto"/>
        <w:left w:val="none" w:sz="0" w:space="0" w:color="auto"/>
        <w:bottom w:val="none" w:sz="0" w:space="0" w:color="auto"/>
        <w:right w:val="none" w:sz="0" w:space="0" w:color="auto"/>
      </w:divBdr>
    </w:div>
    <w:div w:id="1272281246">
      <w:bodyDiv w:val="1"/>
      <w:marLeft w:val="0"/>
      <w:marRight w:val="0"/>
      <w:marTop w:val="0"/>
      <w:marBottom w:val="0"/>
      <w:divBdr>
        <w:top w:val="none" w:sz="0" w:space="0" w:color="auto"/>
        <w:left w:val="none" w:sz="0" w:space="0" w:color="auto"/>
        <w:bottom w:val="none" w:sz="0" w:space="0" w:color="auto"/>
        <w:right w:val="none" w:sz="0" w:space="0" w:color="auto"/>
      </w:divBdr>
      <w:divsChild>
        <w:div w:id="1243562371">
          <w:marLeft w:val="0"/>
          <w:marRight w:val="1"/>
          <w:marTop w:val="0"/>
          <w:marBottom w:val="0"/>
          <w:divBdr>
            <w:top w:val="none" w:sz="0" w:space="0" w:color="auto"/>
            <w:left w:val="none" w:sz="0" w:space="0" w:color="auto"/>
            <w:bottom w:val="none" w:sz="0" w:space="0" w:color="auto"/>
            <w:right w:val="none" w:sz="0" w:space="0" w:color="auto"/>
          </w:divBdr>
          <w:divsChild>
            <w:div w:id="415174589">
              <w:marLeft w:val="0"/>
              <w:marRight w:val="0"/>
              <w:marTop w:val="0"/>
              <w:marBottom w:val="0"/>
              <w:divBdr>
                <w:top w:val="none" w:sz="0" w:space="0" w:color="auto"/>
                <w:left w:val="none" w:sz="0" w:space="0" w:color="auto"/>
                <w:bottom w:val="none" w:sz="0" w:space="0" w:color="auto"/>
                <w:right w:val="none" w:sz="0" w:space="0" w:color="auto"/>
              </w:divBdr>
              <w:divsChild>
                <w:div w:id="201015795">
                  <w:marLeft w:val="0"/>
                  <w:marRight w:val="1"/>
                  <w:marTop w:val="0"/>
                  <w:marBottom w:val="0"/>
                  <w:divBdr>
                    <w:top w:val="none" w:sz="0" w:space="0" w:color="auto"/>
                    <w:left w:val="none" w:sz="0" w:space="0" w:color="auto"/>
                    <w:bottom w:val="none" w:sz="0" w:space="0" w:color="auto"/>
                    <w:right w:val="none" w:sz="0" w:space="0" w:color="auto"/>
                  </w:divBdr>
                  <w:divsChild>
                    <w:div w:id="1760444708">
                      <w:marLeft w:val="0"/>
                      <w:marRight w:val="0"/>
                      <w:marTop w:val="0"/>
                      <w:marBottom w:val="0"/>
                      <w:divBdr>
                        <w:top w:val="none" w:sz="0" w:space="0" w:color="auto"/>
                        <w:left w:val="none" w:sz="0" w:space="0" w:color="auto"/>
                        <w:bottom w:val="none" w:sz="0" w:space="0" w:color="auto"/>
                        <w:right w:val="none" w:sz="0" w:space="0" w:color="auto"/>
                      </w:divBdr>
                      <w:divsChild>
                        <w:div w:id="2143687507">
                          <w:marLeft w:val="0"/>
                          <w:marRight w:val="0"/>
                          <w:marTop w:val="0"/>
                          <w:marBottom w:val="0"/>
                          <w:divBdr>
                            <w:top w:val="none" w:sz="0" w:space="0" w:color="auto"/>
                            <w:left w:val="none" w:sz="0" w:space="0" w:color="auto"/>
                            <w:bottom w:val="none" w:sz="0" w:space="0" w:color="auto"/>
                            <w:right w:val="none" w:sz="0" w:space="0" w:color="auto"/>
                          </w:divBdr>
                          <w:divsChild>
                            <w:div w:id="928466652">
                              <w:marLeft w:val="0"/>
                              <w:marRight w:val="0"/>
                              <w:marTop w:val="120"/>
                              <w:marBottom w:val="360"/>
                              <w:divBdr>
                                <w:top w:val="none" w:sz="0" w:space="0" w:color="auto"/>
                                <w:left w:val="none" w:sz="0" w:space="0" w:color="auto"/>
                                <w:bottom w:val="none" w:sz="0" w:space="0" w:color="auto"/>
                                <w:right w:val="none" w:sz="0" w:space="0" w:color="auto"/>
                              </w:divBdr>
                              <w:divsChild>
                                <w:div w:id="1440182266">
                                  <w:marLeft w:val="0"/>
                                  <w:marRight w:val="0"/>
                                  <w:marTop w:val="0"/>
                                  <w:marBottom w:val="0"/>
                                  <w:divBdr>
                                    <w:top w:val="none" w:sz="0" w:space="0" w:color="auto"/>
                                    <w:left w:val="none" w:sz="0" w:space="0" w:color="auto"/>
                                    <w:bottom w:val="none" w:sz="0" w:space="0" w:color="auto"/>
                                    <w:right w:val="none" w:sz="0" w:space="0" w:color="auto"/>
                                  </w:divBdr>
                                </w:div>
                                <w:div w:id="196538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720934">
      <w:bodyDiv w:val="1"/>
      <w:marLeft w:val="0"/>
      <w:marRight w:val="0"/>
      <w:marTop w:val="0"/>
      <w:marBottom w:val="0"/>
      <w:divBdr>
        <w:top w:val="none" w:sz="0" w:space="0" w:color="auto"/>
        <w:left w:val="none" w:sz="0" w:space="0" w:color="auto"/>
        <w:bottom w:val="none" w:sz="0" w:space="0" w:color="auto"/>
        <w:right w:val="none" w:sz="0" w:space="0" w:color="auto"/>
      </w:divBdr>
      <w:divsChild>
        <w:div w:id="974333747">
          <w:marLeft w:val="0"/>
          <w:marRight w:val="1"/>
          <w:marTop w:val="0"/>
          <w:marBottom w:val="0"/>
          <w:divBdr>
            <w:top w:val="none" w:sz="0" w:space="0" w:color="auto"/>
            <w:left w:val="none" w:sz="0" w:space="0" w:color="auto"/>
            <w:bottom w:val="none" w:sz="0" w:space="0" w:color="auto"/>
            <w:right w:val="none" w:sz="0" w:space="0" w:color="auto"/>
          </w:divBdr>
          <w:divsChild>
            <w:div w:id="2010718395">
              <w:marLeft w:val="0"/>
              <w:marRight w:val="0"/>
              <w:marTop w:val="0"/>
              <w:marBottom w:val="0"/>
              <w:divBdr>
                <w:top w:val="none" w:sz="0" w:space="0" w:color="auto"/>
                <w:left w:val="none" w:sz="0" w:space="0" w:color="auto"/>
                <w:bottom w:val="none" w:sz="0" w:space="0" w:color="auto"/>
                <w:right w:val="none" w:sz="0" w:space="0" w:color="auto"/>
              </w:divBdr>
              <w:divsChild>
                <w:div w:id="1469055773">
                  <w:marLeft w:val="0"/>
                  <w:marRight w:val="1"/>
                  <w:marTop w:val="0"/>
                  <w:marBottom w:val="0"/>
                  <w:divBdr>
                    <w:top w:val="none" w:sz="0" w:space="0" w:color="auto"/>
                    <w:left w:val="none" w:sz="0" w:space="0" w:color="auto"/>
                    <w:bottom w:val="none" w:sz="0" w:space="0" w:color="auto"/>
                    <w:right w:val="none" w:sz="0" w:space="0" w:color="auto"/>
                  </w:divBdr>
                  <w:divsChild>
                    <w:div w:id="1936591411">
                      <w:marLeft w:val="0"/>
                      <w:marRight w:val="0"/>
                      <w:marTop w:val="0"/>
                      <w:marBottom w:val="0"/>
                      <w:divBdr>
                        <w:top w:val="none" w:sz="0" w:space="0" w:color="auto"/>
                        <w:left w:val="none" w:sz="0" w:space="0" w:color="auto"/>
                        <w:bottom w:val="none" w:sz="0" w:space="0" w:color="auto"/>
                        <w:right w:val="none" w:sz="0" w:space="0" w:color="auto"/>
                      </w:divBdr>
                      <w:divsChild>
                        <w:div w:id="115415225">
                          <w:marLeft w:val="0"/>
                          <w:marRight w:val="0"/>
                          <w:marTop w:val="0"/>
                          <w:marBottom w:val="0"/>
                          <w:divBdr>
                            <w:top w:val="none" w:sz="0" w:space="0" w:color="auto"/>
                            <w:left w:val="none" w:sz="0" w:space="0" w:color="auto"/>
                            <w:bottom w:val="none" w:sz="0" w:space="0" w:color="auto"/>
                            <w:right w:val="none" w:sz="0" w:space="0" w:color="auto"/>
                          </w:divBdr>
                          <w:divsChild>
                            <w:div w:id="1565946027">
                              <w:marLeft w:val="0"/>
                              <w:marRight w:val="0"/>
                              <w:marTop w:val="0"/>
                              <w:marBottom w:val="0"/>
                              <w:divBdr>
                                <w:top w:val="none" w:sz="0" w:space="0" w:color="auto"/>
                                <w:left w:val="none" w:sz="0" w:space="0" w:color="auto"/>
                                <w:bottom w:val="none" w:sz="0" w:space="0" w:color="auto"/>
                                <w:right w:val="none" w:sz="0" w:space="0" w:color="auto"/>
                              </w:divBdr>
                            </w:div>
                          </w:divsChild>
                        </w:div>
                        <w:div w:id="1085880117">
                          <w:marLeft w:val="0"/>
                          <w:marRight w:val="0"/>
                          <w:marTop w:val="0"/>
                          <w:marBottom w:val="0"/>
                          <w:divBdr>
                            <w:top w:val="none" w:sz="0" w:space="0" w:color="auto"/>
                            <w:left w:val="none" w:sz="0" w:space="0" w:color="auto"/>
                            <w:bottom w:val="none" w:sz="0" w:space="0" w:color="auto"/>
                            <w:right w:val="none" w:sz="0" w:space="0" w:color="auto"/>
                          </w:divBdr>
                          <w:divsChild>
                            <w:div w:id="1862084379">
                              <w:marLeft w:val="0"/>
                              <w:marRight w:val="0"/>
                              <w:marTop w:val="120"/>
                              <w:marBottom w:val="360"/>
                              <w:divBdr>
                                <w:top w:val="none" w:sz="0" w:space="0" w:color="auto"/>
                                <w:left w:val="none" w:sz="0" w:space="0" w:color="auto"/>
                                <w:bottom w:val="none" w:sz="0" w:space="0" w:color="auto"/>
                                <w:right w:val="none" w:sz="0" w:space="0" w:color="auto"/>
                              </w:divBdr>
                              <w:divsChild>
                                <w:div w:id="2145152872">
                                  <w:marLeft w:val="0"/>
                                  <w:marRight w:val="0"/>
                                  <w:marTop w:val="0"/>
                                  <w:marBottom w:val="0"/>
                                  <w:divBdr>
                                    <w:top w:val="none" w:sz="0" w:space="0" w:color="auto"/>
                                    <w:left w:val="none" w:sz="0" w:space="0" w:color="auto"/>
                                    <w:bottom w:val="none" w:sz="0" w:space="0" w:color="auto"/>
                                    <w:right w:val="none" w:sz="0" w:space="0" w:color="auto"/>
                                  </w:divBdr>
                                </w:div>
                                <w:div w:id="3622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438997">
      <w:bodyDiv w:val="1"/>
      <w:marLeft w:val="0"/>
      <w:marRight w:val="0"/>
      <w:marTop w:val="0"/>
      <w:marBottom w:val="0"/>
      <w:divBdr>
        <w:top w:val="none" w:sz="0" w:space="0" w:color="auto"/>
        <w:left w:val="none" w:sz="0" w:space="0" w:color="auto"/>
        <w:bottom w:val="none" w:sz="0" w:space="0" w:color="auto"/>
        <w:right w:val="none" w:sz="0" w:space="0" w:color="auto"/>
      </w:divBdr>
      <w:divsChild>
        <w:div w:id="1214850430">
          <w:marLeft w:val="0"/>
          <w:marRight w:val="1"/>
          <w:marTop w:val="0"/>
          <w:marBottom w:val="0"/>
          <w:divBdr>
            <w:top w:val="none" w:sz="0" w:space="0" w:color="auto"/>
            <w:left w:val="none" w:sz="0" w:space="0" w:color="auto"/>
            <w:bottom w:val="none" w:sz="0" w:space="0" w:color="auto"/>
            <w:right w:val="none" w:sz="0" w:space="0" w:color="auto"/>
          </w:divBdr>
          <w:divsChild>
            <w:div w:id="961501796">
              <w:marLeft w:val="0"/>
              <w:marRight w:val="0"/>
              <w:marTop w:val="0"/>
              <w:marBottom w:val="0"/>
              <w:divBdr>
                <w:top w:val="none" w:sz="0" w:space="0" w:color="auto"/>
                <w:left w:val="none" w:sz="0" w:space="0" w:color="auto"/>
                <w:bottom w:val="none" w:sz="0" w:space="0" w:color="auto"/>
                <w:right w:val="none" w:sz="0" w:space="0" w:color="auto"/>
              </w:divBdr>
              <w:divsChild>
                <w:div w:id="2020505179">
                  <w:marLeft w:val="0"/>
                  <w:marRight w:val="1"/>
                  <w:marTop w:val="0"/>
                  <w:marBottom w:val="0"/>
                  <w:divBdr>
                    <w:top w:val="none" w:sz="0" w:space="0" w:color="auto"/>
                    <w:left w:val="none" w:sz="0" w:space="0" w:color="auto"/>
                    <w:bottom w:val="none" w:sz="0" w:space="0" w:color="auto"/>
                    <w:right w:val="none" w:sz="0" w:space="0" w:color="auto"/>
                  </w:divBdr>
                  <w:divsChild>
                    <w:div w:id="1897548815">
                      <w:marLeft w:val="0"/>
                      <w:marRight w:val="0"/>
                      <w:marTop w:val="0"/>
                      <w:marBottom w:val="0"/>
                      <w:divBdr>
                        <w:top w:val="none" w:sz="0" w:space="0" w:color="auto"/>
                        <w:left w:val="none" w:sz="0" w:space="0" w:color="auto"/>
                        <w:bottom w:val="none" w:sz="0" w:space="0" w:color="auto"/>
                        <w:right w:val="none" w:sz="0" w:space="0" w:color="auto"/>
                      </w:divBdr>
                      <w:divsChild>
                        <w:div w:id="255140255">
                          <w:marLeft w:val="0"/>
                          <w:marRight w:val="0"/>
                          <w:marTop w:val="0"/>
                          <w:marBottom w:val="0"/>
                          <w:divBdr>
                            <w:top w:val="none" w:sz="0" w:space="0" w:color="auto"/>
                            <w:left w:val="none" w:sz="0" w:space="0" w:color="auto"/>
                            <w:bottom w:val="none" w:sz="0" w:space="0" w:color="auto"/>
                            <w:right w:val="none" w:sz="0" w:space="0" w:color="auto"/>
                          </w:divBdr>
                          <w:divsChild>
                            <w:div w:id="2009405282">
                              <w:marLeft w:val="0"/>
                              <w:marRight w:val="0"/>
                              <w:marTop w:val="120"/>
                              <w:marBottom w:val="360"/>
                              <w:divBdr>
                                <w:top w:val="none" w:sz="0" w:space="0" w:color="auto"/>
                                <w:left w:val="none" w:sz="0" w:space="0" w:color="auto"/>
                                <w:bottom w:val="none" w:sz="0" w:space="0" w:color="auto"/>
                                <w:right w:val="none" w:sz="0" w:space="0" w:color="auto"/>
                              </w:divBdr>
                              <w:divsChild>
                                <w:div w:id="537861343">
                                  <w:marLeft w:val="0"/>
                                  <w:marRight w:val="0"/>
                                  <w:marTop w:val="0"/>
                                  <w:marBottom w:val="0"/>
                                  <w:divBdr>
                                    <w:top w:val="none" w:sz="0" w:space="0" w:color="auto"/>
                                    <w:left w:val="none" w:sz="0" w:space="0" w:color="auto"/>
                                    <w:bottom w:val="none" w:sz="0" w:space="0" w:color="auto"/>
                                    <w:right w:val="none" w:sz="0" w:space="0" w:color="auto"/>
                                  </w:divBdr>
                                </w:div>
                                <w:div w:id="75020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5725333">
      <w:bodyDiv w:val="1"/>
      <w:marLeft w:val="0"/>
      <w:marRight w:val="0"/>
      <w:marTop w:val="0"/>
      <w:marBottom w:val="0"/>
      <w:divBdr>
        <w:top w:val="none" w:sz="0" w:space="0" w:color="auto"/>
        <w:left w:val="none" w:sz="0" w:space="0" w:color="auto"/>
        <w:bottom w:val="none" w:sz="0" w:space="0" w:color="auto"/>
        <w:right w:val="none" w:sz="0" w:space="0" w:color="auto"/>
      </w:divBdr>
      <w:divsChild>
        <w:div w:id="882061928">
          <w:marLeft w:val="0"/>
          <w:marRight w:val="1"/>
          <w:marTop w:val="0"/>
          <w:marBottom w:val="0"/>
          <w:divBdr>
            <w:top w:val="none" w:sz="0" w:space="0" w:color="auto"/>
            <w:left w:val="none" w:sz="0" w:space="0" w:color="auto"/>
            <w:bottom w:val="none" w:sz="0" w:space="0" w:color="auto"/>
            <w:right w:val="none" w:sz="0" w:space="0" w:color="auto"/>
          </w:divBdr>
          <w:divsChild>
            <w:div w:id="2016417655">
              <w:marLeft w:val="0"/>
              <w:marRight w:val="0"/>
              <w:marTop w:val="0"/>
              <w:marBottom w:val="0"/>
              <w:divBdr>
                <w:top w:val="none" w:sz="0" w:space="0" w:color="auto"/>
                <w:left w:val="none" w:sz="0" w:space="0" w:color="auto"/>
                <w:bottom w:val="none" w:sz="0" w:space="0" w:color="auto"/>
                <w:right w:val="none" w:sz="0" w:space="0" w:color="auto"/>
              </w:divBdr>
              <w:divsChild>
                <w:div w:id="365132782">
                  <w:marLeft w:val="0"/>
                  <w:marRight w:val="1"/>
                  <w:marTop w:val="0"/>
                  <w:marBottom w:val="0"/>
                  <w:divBdr>
                    <w:top w:val="none" w:sz="0" w:space="0" w:color="auto"/>
                    <w:left w:val="none" w:sz="0" w:space="0" w:color="auto"/>
                    <w:bottom w:val="none" w:sz="0" w:space="0" w:color="auto"/>
                    <w:right w:val="none" w:sz="0" w:space="0" w:color="auto"/>
                  </w:divBdr>
                  <w:divsChild>
                    <w:div w:id="1796559301">
                      <w:marLeft w:val="0"/>
                      <w:marRight w:val="0"/>
                      <w:marTop w:val="0"/>
                      <w:marBottom w:val="0"/>
                      <w:divBdr>
                        <w:top w:val="none" w:sz="0" w:space="0" w:color="auto"/>
                        <w:left w:val="none" w:sz="0" w:space="0" w:color="auto"/>
                        <w:bottom w:val="none" w:sz="0" w:space="0" w:color="auto"/>
                        <w:right w:val="none" w:sz="0" w:space="0" w:color="auto"/>
                      </w:divBdr>
                      <w:divsChild>
                        <w:div w:id="735711483">
                          <w:marLeft w:val="0"/>
                          <w:marRight w:val="0"/>
                          <w:marTop w:val="0"/>
                          <w:marBottom w:val="0"/>
                          <w:divBdr>
                            <w:top w:val="none" w:sz="0" w:space="0" w:color="auto"/>
                            <w:left w:val="none" w:sz="0" w:space="0" w:color="auto"/>
                            <w:bottom w:val="none" w:sz="0" w:space="0" w:color="auto"/>
                            <w:right w:val="none" w:sz="0" w:space="0" w:color="auto"/>
                          </w:divBdr>
                          <w:divsChild>
                            <w:div w:id="183635526">
                              <w:marLeft w:val="0"/>
                              <w:marRight w:val="0"/>
                              <w:marTop w:val="120"/>
                              <w:marBottom w:val="360"/>
                              <w:divBdr>
                                <w:top w:val="none" w:sz="0" w:space="0" w:color="auto"/>
                                <w:left w:val="none" w:sz="0" w:space="0" w:color="auto"/>
                                <w:bottom w:val="none" w:sz="0" w:space="0" w:color="auto"/>
                                <w:right w:val="none" w:sz="0" w:space="0" w:color="auto"/>
                              </w:divBdr>
                              <w:divsChild>
                                <w:div w:id="1869485489">
                                  <w:marLeft w:val="0"/>
                                  <w:marRight w:val="0"/>
                                  <w:marTop w:val="0"/>
                                  <w:marBottom w:val="0"/>
                                  <w:divBdr>
                                    <w:top w:val="none" w:sz="0" w:space="0" w:color="auto"/>
                                    <w:left w:val="none" w:sz="0" w:space="0" w:color="auto"/>
                                    <w:bottom w:val="none" w:sz="0" w:space="0" w:color="auto"/>
                                    <w:right w:val="none" w:sz="0" w:space="0" w:color="auto"/>
                                  </w:divBdr>
                                </w:div>
                                <w:div w:id="67699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299257">
      <w:bodyDiv w:val="1"/>
      <w:marLeft w:val="0"/>
      <w:marRight w:val="0"/>
      <w:marTop w:val="0"/>
      <w:marBottom w:val="0"/>
      <w:divBdr>
        <w:top w:val="none" w:sz="0" w:space="0" w:color="auto"/>
        <w:left w:val="none" w:sz="0" w:space="0" w:color="auto"/>
        <w:bottom w:val="none" w:sz="0" w:space="0" w:color="auto"/>
        <w:right w:val="none" w:sz="0" w:space="0" w:color="auto"/>
      </w:divBdr>
      <w:divsChild>
        <w:div w:id="1182672448">
          <w:marLeft w:val="0"/>
          <w:marRight w:val="1"/>
          <w:marTop w:val="0"/>
          <w:marBottom w:val="0"/>
          <w:divBdr>
            <w:top w:val="none" w:sz="0" w:space="0" w:color="auto"/>
            <w:left w:val="none" w:sz="0" w:space="0" w:color="auto"/>
            <w:bottom w:val="none" w:sz="0" w:space="0" w:color="auto"/>
            <w:right w:val="none" w:sz="0" w:space="0" w:color="auto"/>
          </w:divBdr>
          <w:divsChild>
            <w:div w:id="411704417">
              <w:marLeft w:val="0"/>
              <w:marRight w:val="0"/>
              <w:marTop w:val="0"/>
              <w:marBottom w:val="0"/>
              <w:divBdr>
                <w:top w:val="none" w:sz="0" w:space="0" w:color="auto"/>
                <w:left w:val="none" w:sz="0" w:space="0" w:color="auto"/>
                <w:bottom w:val="none" w:sz="0" w:space="0" w:color="auto"/>
                <w:right w:val="none" w:sz="0" w:space="0" w:color="auto"/>
              </w:divBdr>
              <w:divsChild>
                <w:div w:id="705640292">
                  <w:marLeft w:val="0"/>
                  <w:marRight w:val="1"/>
                  <w:marTop w:val="0"/>
                  <w:marBottom w:val="0"/>
                  <w:divBdr>
                    <w:top w:val="none" w:sz="0" w:space="0" w:color="auto"/>
                    <w:left w:val="none" w:sz="0" w:space="0" w:color="auto"/>
                    <w:bottom w:val="none" w:sz="0" w:space="0" w:color="auto"/>
                    <w:right w:val="none" w:sz="0" w:space="0" w:color="auto"/>
                  </w:divBdr>
                  <w:divsChild>
                    <w:div w:id="883561194">
                      <w:marLeft w:val="0"/>
                      <w:marRight w:val="0"/>
                      <w:marTop w:val="0"/>
                      <w:marBottom w:val="0"/>
                      <w:divBdr>
                        <w:top w:val="none" w:sz="0" w:space="0" w:color="auto"/>
                        <w:left w:val="none" w:sz="0" w:space="0" w:color="auto"/>
                        <w:bottom w:val="none" w:sz="0" w:space="0" w:color="auto"/>
                        <w:right w:val="none" w:sz="0" w:space="0" w:color="auto"/>
                      </w:divBdr>
                      <w:divsChild>
                        <w:div w:id="1185946477">
                          <w:marLeft w:val="0"/>
                          <w:marRight w:val="0"/>
                          <w:marTop w:val="0"/>
                          <w:marBottom w:val="0"/>
                          <w:divBdr>
                            <w:top w:val="none" w:sz="0" w:space="0" w:color="auto"/>
                            <w:left w:val="none" w:sz="0" w:space="0" w:color="auto"/>
                            <w:bottom w:val="none" w:sz="0" w:space="0" w:color="auto"/>
                            <w:right w:val="none" w:sz="0" w:space="0" w:color="auto"/>
                          </w:divBdr>
                          <w:divsChild>
                            <w:div w:id="2016034825">
                              <w:marLeft w:val="0"/>
                              <w:marRight w:val="0"/>
                              <w:marTop w:val="120"/>
                              <w:marBottom w:val="360"/>
                              <w:divBdr>
                                <w:top w:val="none" w:sz="0" w:space="0" w:color="auto"/>
                                <w:left w:val="none" w:sz="0" w:space="0" w:color="auto"/>
                                <w:bottom w:val="none" w:sz="0" w:space="0" w:color="auto"/>
                                <w:right w:val="none" w:sz="0" w:space="0" w:color="auto"/>
                              </w:divBdr>
                              <w:divsChild>
                                <w:div w:id="728068317">
                                  <w:marLeft w:val="0"/>
                                  <w:marRight w:val="0"/>
                                  <w:marTop w:val="0"/>
                                  <w:marBottom w:val="0"/>
                                  <w:divBdr>
                                    <w:top w:val="none" w:sz="0" w:space="0" w:color="auto"/>
                                    <w:left w:val="none" w:sz="0" w:space="0" w:color="auto"/>
                                    <w:bottom w:val="none" w:sz="0" w:space="0" w:color="auto"/>
                                    <w:right w:val="none" w:sz="0" w:space="0" w:color="auto"/>
                                  </w:divBdr>
                                </w:div>
                                <w:div w:id="18926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1A048-662E-411D-865E-72905D3C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2DD5FFC</Template>
  <TotalTime>18</TotalTime>
  <Pages>19</Pages>
  <Words>5037</Words>
  <Characters>28097</Characters>
  <Application>Microsoft Office Word</Application>
  <DocSecurity>0</DocSecurity>
  <Lines>234</Lines>
  <Paragraphs>66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UZ Leuven</Company>
  <LinksUpToDate>false</LinksUpToDate>
  <CharactersWithSpaces>33068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Tomassetti</dc:creator>
  <cp:keywords/>
  <dc:description/>
  <cp:lastModifiedBy>Carla Tomassetti</cp:lastModifiedBy>
  <cp:revision>3</cp:revision>
  <dcterms:created xsi:type="dcterms:W3CDTF">2017-07-13T17:35:00Z</dcterms:created>
  <dcterms:modified xsi:type="dcterms:W3CDTF">2017-07-13T17:53:00Z</dcterms:modified>
</cp:coreProperties>
</file>