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470" w:rsidRPr="00233470" w:rsidRDefault="00233470" w:rsidP="00233470">
      <w:pPr>
        <w:rPr>
          <w:b/>
          <w:lang/>
        </w:rPr>
      </w:pPr>
      <w:proofErr w:type="spellStart"/>
      <w:r w:rsidRPr="00233470">
        <w:rPr>
          <w:b/>
          <w:lang/>
        </w:rPr>
        <w:t>Oxytocin</w:t>
      </w:r>
      <w:proofErr w:type="spellEnd"/>
      <w:r w:rsidRPr="00233470">
        <w:rPr>
          <w:b/>
          <w:lang/>
        </w:rPr>
        <w:t xml:space="preserve"> induces long-lasting adaptations within </w:t>
      </w:r>
      <w:proofErr w:type="spellStart"/>
      <w:r w:rsidRPr="00233470">
        <w:rPr>
          <w:b/>
          <w:lang/>
        </w:rPr>
        <w:t>amygdala</w:t>
      </w:r>
      <w:proofErr w:type="spellEnd"/>
      <w:r w:rsidRPr="00233470">
        <w:rPr>
          <w:b/>
          <w:lang/>
        </w:rPr>
        <w:t xml:space="preserve"> circuitry in autism: a treatment-mechanism study with randomized placebo-controlled design </w:t>
      </w:r>
    </w:p>
    <w:p w:rsidR="00233470" w:rsidRPr="00233470" w:rsidRDefault="00233470" w:rsidP="00233470">
      <w:pPr>
        <w:rPr>
          <w:lang/>
        </w:rPr>
      </w:pPr>
      <w:proofErr w:type="spellStart"/>
      <w:proofErr w:type="gramStart"/>
      <w:r w:rsidRPr="00233470">
        <w:rPr>
          <w:lang/>
        </w:rPr>
        <w:t>Neuropsychopharmacology</w:t>
      </w:r>
      <w:proofErr w:type="spellEnd"/>
      <w:r w:rsidRPr="00233470">
        <w:rPr>
          <w:lang/>
        </w:rPr>
        <w:t xml:space="preserve"> .</w:t>
      </w:r>
      <w:proofErr w:type="gramEnd"/>
      <w:r w:rsidRPr="00233470">
        <w:rPr>
          <w:lang/>
        </w:rPr>
        <w:t xml:space="preserve"> 2020 Jun</w:t>
      </w:r>
      <w:proofErr w:type="gramStart"/>
      <w:r w:rsidRPr="00233470">
        <w:rPr>
          <w:lang/>
        </w:rPr>
        <w:t>;45</w:t>
      </w:r>
      <w:proofErr w:type="gramEnd"/>
      <w:r w:rsidRPr="00233470">
        <w:rPr>
          <w:lang/>
        </w:rPr>
        <w:t xml:space="preserve">(7):1141-1149.  </w:t>
      </w:r>
      <w:proofErr w:type="spellStart"/>
      <w:proofErr w:type="gramStart"/>
      <w:r w:rsidRPr="00233470">
        <w:rPr>
          <w:lang/>
        </w:rPr>
        <w:t>doi</w:t>
      </w:r>
      <w:proofErr w:type="spellEnd"/>
      <w:proofErr w:type="gramEnd"/>
      <w:r w:rsidRPr="00233470">
        <w:rPr>
          <w:lang/>
        </w:rPr>
        <w:t>: 10.1038/s41386-</w:t>
      </w:r>
      <w:r>
        <w:rPr>
          <w:lang/>
        </w:rPr>
        <w:t xml:space="preserve">020-0653-8.  </w:t>
      </w:r>
      <w:proofErr w:type="spellStart"/>
      <w:r>
        <w:rPr>
          <w:lang/>
        </w:rPr>
        <w:t>Epub</w:t>
      </w:r>
      <w:proofErr w:type="spellEnd"/>
      <w:r>
        <w:rPr>
          <w:lang/>
        </w:rPr>
        <w:t xml:space="preserve"> 2020 Mar 11. </w:t>
      </w:r>
    </w:p>
    <w:p w:rsidR="00233470" w:rsidRPr="00233470" w:rsidRDefault="00233470" w:rsidP="00233470">
      <w:pPr>
        <w:rPr>
          <w:lang/>
        </w:rPr>
      </w:pPr>
      <w:proofErr w:type="spellStart"/>
      <w:r w:rsidRPr="00233470">
        <w:rPr>
          <w:lang/>
        </w:rPr>
        <w:t>Kaat</w:t>
      </w:r>
      <w:proofErr w:type="spellEnd"/>
      <w:r w:rsidRPr="00233470">
        <w:rPr>
          <w:lang/>
        </w:rPr>
        <w:t xml:space="preserve"> </w:t>
      </w:r>
      <w:proofErr w:type="spellStart"/>
      <w:r w:rsidRPr="00233470">
        <w:rPr>
          <w:lang/>
        </w:rPr>
        <w:t>Alaerts</w:t>
      </w:r>
      <w:proofErr w:type="spellEnd"/>
      <w:r w:rsidRPr="00233470">
        <w:rPr>
          <w:lang/>
        </w:rPr>
        <w:t xml:space="preserve"> 1 , Sylvie </w:t>
      </w:r>
      <w:proofErr w:type="spellStart"/>
      <w:r w:rsidRPr="00233470">
        <w:rPr>
          <w:lang/>
        </w:rPr>
        <w:t>Bernaerts</w:t>
      </w:r>
      <w:proofErr w:type="spellEnd"/>
      <w:r w:rsidRPr="00233470">
        <w:rPr>
          <w:lang/>
        </w:rPr>
        <w:t xml:space="preserve"> 2 , </w:t>
      </w:r>
      <w:proofErr w:type="spellStart"/>
      <w:r w:rsidRPr="00233470">
        <w:rPr>
          <w:lang/>
        </w:rPr>
        <w:t>Jellina</w:t>
      </w:r>
      <w:proofErr w:type="spellEnd"/>
      <w:r w:rsidRPr="00233470">
        <w:rPr>
          <w:lang/>
        </w:rPr>
        <w:t xml:space="preserve"> </w:t>
      </w:r>
      <w:proofErr w:type="spellStart"/>
      <w:r w:rsidRPr="00233470">
        <w:rPr>
          <w:lang/>
        </w:rPr>
        <w:t>Prinsen</w:t>
      </w:r>
      <w:proofErr w:type="spellEnd"/>
      <w:r w:rsidRPr="00233470">
        <w:rPr>
          <w:lang/>
        </w:rPr>
        <w:t xml:space="preserve"> 2 , Claudia </w:t>
      </w:r>
      <w:proofErr w:type="spellStart"/>
      <w:r w:rsidRPr="00233470">
        <w:rPr>
          <w:lang/>
        </w:rPr>
        <w:t>Dillen</w:t>
      </w:r>
      <w:proofErr w:type="spellEnd"/>
      <w:r w:rsidRPr="00233470">
        <w:rPr>
          <w:lang/>
        </w:rPr>
        <w:t xml:space="preserve"> 2 , Jean </w:t>
      </w:r>
      <w:proofErr w:type="spellStart"/>
      <w:r w:rsidRPr="00233470">
        <w:rPr>
          <w:lang/>
        </w:rPr>
        <w:t>Steyaert</w:t>
      </w:r>
      <w:proofErr w:type="spellEnd"/>
      <w:r w:rsidRPr="00233470">
        <w:rPr>
          <w:lang/>
        </w:rPr>
        <w:t xml:space="preserve"> 3 , Nicole </w:t>
      </w:r>
      <w:proofErr w:type="spellStart"/>
      <w:r w:rsidRPr="00233470">
        <w:rPr>
          <w:lang/>
        </w:rPr>
        <w:t>Wenderoth</w:t>
      </w:r>
      <w:proofErr w:type="spellEnd"/>
      <w:r w:rsidRPr="00233470">
        <w:rPr>
          <w:lang/>
        </w:rPr>
        <w:t xml:space="preserve"> 4   </w:t>
      </w:r>
    </w:p>
    <w:p w:rsidR="00233470" w:rsidRPr="00233470" w:rsidRDefault="00233470" w:rsidP="00233470">
      <w:pPr>
        <w:rPr>
          <w:lang/>
        </w:rPr>
      </w:pPr>
    </w:p>
    <w:p w:rsidR="00233470" w:rsidRPr="00233470" w:rsidRDefault="00233470" w:rsidP="00233470">
      <w:pPr>
        <w:rPr>
          <w:lang/>
        </w:rPr>
      </w:pPr>
      <w:r w:rsidRPr="00233470">
        <w:rPr>
          <w:lang/>
        </w:rPr>
        <w:t xml:space="preserve">Abstract </w:t>
      </w:r>
    </w:p>
    <w:p w:rsidR="00584B38" w:rsidRDefault="00233470" w:rsidP="00233470">
      <w:pPr>
        <w:rPr>
          <w:lang/>
        </w:rPr>
      </w:pPr>
      <w:r w:rsidRPr="00233470">
        <w:rPr>
          <w:lang/>
        </w:rPr>
        <w:t xml:space="preserve">Intranasal administration of the </w:t>
      </w:r>
      <w:proofErr w:type="spellStart"/>
      <w:r w:rsidRPr="00233470">
        <w:rPr>
          <w:lang/>
        </w:rPr>
        <w:t>neuropeptide</w:t>
      </w:r>
      <w:proofErr w:type="spellEnd"/>
      <w:r w:rsidRPr="00233470">
        <w:rPr>
          <w:lang/>
        </w:rPr>
        <w:t xml:space="preserve"> </w:t>
      </w:r>
      <w:proofErr w:type="spellStart"/>
      <w:r w:rsidRPr="00233470">
        <w:rPr>
          <w:lang/>
        </w:rPr>
        <w:t>oxytocin</w:t>
      </w:r>
      <w:proofErr w:type="spellEnd"/>
      <w:r w:rsidRPr="00233470">
        <w:rPr>
          <w:lang/>
        </w:rPr>
        <w:t xml:space="preserve"> (IN-OT) is increasingly explored as a potential treatment for targeting the core symptoms of autism spectrum disorder (ASD). To date, however, the impact of multiple-dose IN-OT treatment on human neural circuitry is largely unknown, and also the possibility that long-term IN-OT use may induce long-lasting neural adaptations remains unexplored. Using a double-blind, randomized, placebo-controlled, between-subject design (including 38 adult men with ASD), this treatment-mechanism study showed that 4 weeks of daily </w:t>
      </w:r>
      <w:proofErr w:type="spellStart"/>
      <w:r w:rsidRPr="00233470">
        <w:rPr>
          <w:lang/>
        </w:rPr>
        <w:t>oxytocin</w:t>
      </w:r>
      <w:proofErr w:type="spellEnd"/>
      <w:r w:rsidRPr="00233470">
        <w:rPr>
          <w:lang/>
        </w:rPr>
        <w:t xml:space="preserve"> administration (24 IU/day) significantly altered intrinsic (resting-state </w:t>
      </w:r>
      <w:proofErr w:type="spellStart"/>
      <w:r w:rsidRPr="00233470">
        <w:rPr>
          <w:lang/>
        </w:rPr>
        <w:t>fMRI</w:t>
      </w:r>
      <w:proofErr w:type="spellEnd"/>
      <w:r w:rsidRPr="00233470">
        <w:rPr>
          <w:lang/>
        </w:rPr>
        <w:t xml:space="preserve">) functional connectivity of the </w:t>
      </w:r>
      <w:proofErr w:type="spellStart"/>
      <w:r w:rsidRPr="00233470">
        <w:rPr>
          <w:lang/>
        </w:rPr>
        <w:t>amygdala</w:t>
      </w:r>
      <w:proofErr w:type="spellEnd"/>
      <w:r w:rsidRPr="00233470">
        <w:rPr>
          <w:lang/>
        </w:rPr>
        <w:t xml:space="preserve"> to core regions of the "social brain" (particularly </w:t>
      </w:r>
      <w:proofErr w:type="spellStart"/>
      <w:r w:rsidRPr="00233470">
        <w:rPr>
          <w:lang/>
        </w:rPr>
        <w:t>orbitofrontal</w:t>
      </w:r>
      <w:proofErr w:type="spellEnd"/>
      <w:r w:rsidRPr="00233470">
        <w:rPr>
          <w:lang/>
        </w:rPr>
        <w:t xml:space="preserve"> cortex and superior temporal </w:t>
      </w:r>
      <w:proofErr w:type="spellStart"/>
      <w:r w:rsidRPr="00233470">
        <w:rPr>
          <w:lang/>
        </w:rPr>
        <w:t>sulcus</w:t>
      </w:r>
      <w:proofErr w:type="spellEnd"/>
      <w:r w:rsidRPr="00233470">
        <w:rPr>
          <w:lang/>
        </w:rPr>
        <w:t xml:space="preserve">) up to 4 weeks and 1 year post treatment. The neural adaptations in functional coupling of the </w:t>
      </w:r>
      <w:proofErr w:type="spellStart"/>
      <w:r w:rsidRPr="00233470">
        <w:rPr>
          <w:lang/>
        </w:rPr>
        <w:t>amygdala</w:t>
      </w:r>
      <w:proofErr w:type="spellEnd"/>
      <w:r w:rsidRPr="00233470">
        <w:rPr>
          <w:lang/>
        </w:rPr>
        <w:t xml:space="preserve"> to the </w:t>
      </w:r>
      <w:proofErr w:type="spellStart"/>
      <w:r w:rsidRPr="00233470">
        <w:rPr>
          <w:lang/>
        </w:rPr>
        <w:t>orbitofrontal</w:t>
      </w:r>
      <w:proofErr w:type="spellEnd"/>
      <w:r w:rsidRPr="00233470">
        <w:rPr>
          <w:lang/>
        </w:rPr>
        <w:t xml:space="preserve"> cortex were associated with reduced feelings of avoidance toward others and-at the trend level-reduced repetitive behaviors. These observations contribute to a deeper mechanistic understanding of the neural substrates that underlie behavioral effects of multiple-dose IN-OT treatment, and provide initial insights into the long-lasting neural consequences of chronic IN-OT use on </w:t>
      </w:r>
      <w:proofErr w:type="spellStart"/>
      <w:r w:rsidRPr="00233470">
        <w:rPr>
          <w:lang/>
        </w:rPr>
        <w:t>amygdala</w:t>
      </w:r>
      <w:proofErr w:type="spellEnd"/>
      <w:r w:rsidRPr="00233470">
        <w:rPr>
          <w:lang/>
        </w:rPr>
        <w:t xml:space="preserve"> circuitry. Future studies are however warranted to further elucidate the long-term impact of IN-OT treatment on human neural circuitry and its behavioral consequences.</w:t>
      </w:r>
    </w:p>
    <w:p w:rsidR="00233470" w:rsidRDefault="00233470">
      <w:pPr>
        <w:rPr>
          <w:lang/>
        </w:rPr>
      </w:pPr>
      <w:r>
        <w:rPr>
          <w:lang/>
        </w:rPr>
        <w:br w:type="page"/>
      </w:r>
    </w:p>
    <w:p w:rsidR="00233470" w:rsidRPr="00233470" w:rsidRDefault="00233470" w:rsidP="00233470">
      <w:pPr>
        <w:rPr>
          <w:b/>
          <w:lang/>
        </w:rPr>
      </w:pPr>
      <w:r w:rsidRPr="00233470">
        <w:rPr>
          <w:b/>
          <w:lang/>
        </w:rPr>
        <w:lastRenderedPageBreak/>
        <w:t xml:space="preserve">Behavioral effects of multiple-dose </w:t>
      </w:r>
      <w:proofErr w:type="spellStart"/>
      <w:r w:rsidRPr="00233470">
        <w:rPr>
          <w:b/>
          <w:lang/>
        </w:rPr>
        <w:t>oxytocin</w:t>
      </w:r>
      <w:proofErr w:type="spellEnd"/>
      <w:r w:rsidRPr="00233470">
        <w:rPr>
          <w:b/>
          <w:lang/>
        </w:rPr>
        <w:t xml:space="preserve"> treatment in autism: a randomized, placebo-controlled trial with long-term follow-up </w:t>
      </w:r>
    </w:p>
    <w:p w:rsidR="00233470" w:rsidRPr="00233470" w:rsidRDefault="00233470" w:rsidP="00233470">
      <w:pPr>
        <w:rPr>
          <w:lang/>
        </w:rPr>
      </w:pPr>
      <w:r w:rsidRPr="00233470">
        <w:rPr>
          <w:lang/>
        </w:rPr>
        <w:t xml:space="preserve">Mol </w:t>
      </w:r>
      <w:proofErr w:type="gramStart"/>
      <w:r w:rsidRPr="00233470">
        <w:rPr>
          <w:lang/>
        </w:rPr>
        <w:t>Autism .</w:t>
      </w:r>
      <w:proofErr w:type="gramEnd"/>
      <w:r w:rsidRPr="00233470">
        <w:rPr>
          <w:lang/>
        </w:rPr>
        <w:t xml:space="preserve"> 2020 Jan 15</w:t>
      </w:r>
      <w:proofErr w:type="gramStart"/>
      <w:r w:rsidRPr="00233470">
        <w:rPr>
          <w:lang/>
        </w:rPr>
        <w:t>;11</w:t>
      </w:r>
      <w:proofErr w:type="gramEnd"/>
      <w:r w:rsidRPr="00233470">
        <w:rPr>
          <w:lang/>
        </w:rPr>
        <w:t xml:space="preserve">(1):6.  </w:t>
      </w:r>
      <w:proofErr w:type="spellStart"/>
      <w:proofErr w:type="gramStart"/>
      <w:r w:rsidRPr="00233470">
        <w:rPr>
          <w:lang/>
        </w:rPr>
        <w:t>doi</w:t>
      </w:r>
      <w:proofErr w:type="spellEnd"/>
      <w:proofErr w:type="gramEnd"/>
      <w:r w:rsidRPr="00233470">
        <w:rPr>
          <w:lang/>
        </w:rPr>
        <w:t xml:space="preserve">: 10.1186/s13229-020-0313-1.  </w:t>
      </w:r>
      <w:proofErr w:type="spellStart"/>
      <w:proofErr w:type="gramStart"/>
      <w:r w:rsidRPr="00233470">
        <w:rPr>
          <w:lang/>
        </w:rPr>
        <w:t>eCollection</w:t>
      </w:r>
      <w:proofErr w:type="spellEnd"/>
      <w:proofErr w:type="gramEnd"/>
      <w:r w:rsidRPr="00233470">
        <w:rPr>
          <w:lang/>
        </w:rPr>
        <w:t xml:space="preserve"> 2020.  </w:t>
      </w:r>
    </w:p>
    <w:p w:rsidR="00233470" w:rsidRPr="00233470" w:rsidRDefault="00233470" w:rsidP="00233470">
      <w:pPr>
        <w:rPr>
          <w:lang/>
        </w:rPr>
      </w:pPr>
      <w:r w:rsidRPr="00233470">
        <w:rPr>
          <w:lang/>
        </w:rPr>
        <w:t xml:space="preserve">Sylvie </w:t>
      </w:r>
      <w:proofErr w:type="spellStart"/>
      <w:r w:rsidRPr="00233470">
        <w:rPr>
          <w:lang/>
        </w:rPr>
        <w:t>Bernaerts</w:t>
      </w:r>
      <w:proofErr w:type="spellEnd"/>
      <w:r w:rsidRPr="00233470">
        <w:rPr>
          <w:lang/>
        </w:rPr>
        <w:t xml:space="preserve"> </w:t>
      </w:r>
      <w:proofErr w:type="gramStart"/>
      <w:r w:rsidRPr="00233470">
        <w:rPr>
          <w:lang/>
        </w:rPr>
        <w:t>1  2</w:t>
      </w:r>
      <w:proofErr w:type="gramEnd"/>
      <w:r w:rsidRPr="00233470">
        <w:rPr>
          <w:lang/>
        </w:rPr>
        <w:t xml:space="preserve"> , Bart </w:t>
      </w:r>
      <w:proofErr w:type="spellStart"/>
      <w:r w:rsidRPr="00233470">
        <w:rPr>
          <w:lang/>
        </w:rPr>
        <w:t>Boets</w:t>
      </w:r>
      <w:proofErr w:type="spellEnd"/>
      <w:r w:rsidRPr="00233470">
        <w:rPr>
          <w:lang/>
        </w:rPr>
        <w:t xml:space="preserve"> 2  3 , Guy </w:t>
      </w:r>
      <w:proofErr w:type="spellStart"/>
      <w:r w:rsidRPr="00233470">
        <w:rPr>
          <w:lang/>
        </w:rPr>
        <w:t>Bosmans</w:t>
      </w:r>
      <w:proofErr w:type="spellEnd"/>
      <w:r w:rsidRPr="00233470">
        <w:rPr>
          <w:lang/>
        </w:rPr>
        <w:t xml:space="preserve"> 4 , Jean </w:t>
      </w:r>
      <w:proofErr w:type="spellStart"/>
      <w:r w:rsidRPr="00233470">
        <w:rPr>
          <w:lang/>
        </w:rPr>
        <w:t>Steyaert</w:t>
      </w:r>
      <w:proofErr w:type="spellEnd"/>
      <w:r w:rsidRPr="00233470">
        <w:rPr>
          <w:lang/>
        </w:rPr>
        <w:t xml:space="preserve"> 2  5 , </w:t>
      </w:r>
      <w:proofErr w:type="spellStart"/>
      <w:r w:rsidRPr="00233470">
        <w:rPr>
          <w:lang/>
        </w:rPr>
        <w:t>Kaat</w:t>
      </w:r>
      <w:proofErr w:type="spellEnd"/>
      <w:r w:rsidRPr="00233470">
        <w:rPr>
          <w:lang/>
        </w:rPr>
        <w:t xml:space="preserve"> </w:t>
      </w:r>
      <w:proofErr w:type="spellStart"/>
      <w:r w:rsidRPr="00233470">
        <w:rPr>
          <w:lang/>
        </w:rPr>
        <w:t>Alaerts</w:t>
      </w:r>
      <w:proofErr w:type="spellEnd"/>
      <w:r w:rsidRPr="00233470">
        <w:rPr>
          <w:lang/>
        </w:rPr>
        <w:t xml:space="preserve"> 1  2   </w:t>
      </w:r>
    </w:p>
    <w:p w:rsidR="00233470" w:rsidRPr="00233470" w:rsidRDefault="00233470" w:rsidP="00233470">
      <w:pPr>
        <w:rPr>
          <w:lang/>
        </w:rPr>
      </w:pPr>
      <w:r w:rsidRPr="00233470">
        <w:rPr>
          <w:lang/>
        </w:rPr>
        <w:t xml:space="preserve">Abstract </w:t>
      </w:r>
    </w:p>
    <w:p w:rsidR="00233470" w:rsidRPr="00233470" w:rsidRDefault="00233470" w:rsidP="00233470">
      <w:pPr>
        <w:rPr>
          <w:lang/>
        </w:rPr>
      </w:pPr>
      <w:r w:rsidRPr="00233470">
        <w:rPr>
          <w:lang/>
        </w:rPr>
        <w:t xml:space="preserve"> Background:  Intranasal administration of the "</w:t>
      </w:r>
      <w:proofErr w:type="spellStart"/>
      <w:r w:rsidRPr="00233470">
        <w:rPr>
          <w:lang/>
        </w:rPr>
        <w:t>prosocial</w:t>
      </w:r>
      <w:proofErr w:type="spellEnd"/>
      <w:r w:rsidRPr="00233470">
        <w:rPr>
          <w:lang/>
        </w:rPr>
        <w:t xml:space="preserve">" </w:t>
      </w:r>
      <w:proofErr w:type="spellStart"/>
      <w:r w:rsidRPr="00233470">
        <w:rPr>
          <w:lang/>
        </w:rPr>
        <w:t>neuropeptide</w:t>
      </w:r>
      <w:proofErr w:type="spellEnd"/>
      <w:r w:rsidRPr="00233470">
        <w:rPr>
          <w:lang/>
        </w:rPr>
        <w:t xml:space="preserve"> </w:t>
      </w:r>
      <w:proofErr w:type="spellStart"/>
      <w:r w:rsidRPr="00233470">
        <w:rPr>
          <w:lang/>
        </w:rPr>
        <w:t>oxytocin</w:t>
      </w:r>
      <w:proofErr w:type="spellEnd"/>
      <w:r w:rsidRPr="00233470">
        <w:rPr>
          <w:lang/>
        </w:rPr>
        <w:t xml:space="preserve"> is increasingly explored as a potential treatment for targeting the core characteristics of autism spectrum disorder (ASD). However, long-term follow-up studies, evaluating the possibility of long-lasting retention effects, are currently lacking. </w:t>
      </w:r>
    </w:p>
    <w:p w:rsidR="00233470" w:rsidRPr="00233470" w:rsidRDefault="00233470" w:rsidP="00233470">
      <w:pPr>
        <w:rPr>
          <w:lang/>
        </w:rPr>
      </w:pPr>
      <w:r w:rsidRPr="00233470">
        <w:rPr>
          <w:lang/>
        </w:rPr>
        <w:t xml:space="preserve"> Methods:  Using a double-blind, randomized, placebo-controlled, parallel design, this pilot clinical trial explored the possibility of long-lasting behavioral effects of 4 weeks of intranasal </w:t>
      </w:r>
      <w:proofErr w:type="spellStart"/>
      <w:r w:rsidRPr="00233470">
        <w:rPr>
          <w:lang/>
        </w:rPr>
        <w:t>oxytocin</w:t>
      </w:r>
      <w:proofErr w:type="spellEnd"/>
      <w:r w:rsidRPr="00233470">
        <w:rPr>
          <w:lang/>
        </w:rPr>
        <w:t xml:space="preserve"> treatment (24 International Units once daily in the morning) in 40 adult men with ASD. To do so, self-report and informant-based questionnaires assessing core autism symptoms and characterizations of attachment were administered at baseline, immediately after 4 weeks of treatment (approximately 24 h after the last nasal spray administration), and at two follow-up sessions, 4 weeks and 1 year post-treatment. </w:t>
      </w:r>
    </w:p>
    <w:p w:rsidR="00233470" w:rsidRPr="00233470" w:rsidRDefault="00233470" w:rsidP="00233470">
      <w:pPr>
        <w:rPr>
          <w:lang/>
        </w:rPr>
      </w:pPr>
      <w:r w:rsidRPr="00233470">
        <w:rPr>
          <w:lang/>
        </w:rPr>
        <w:t xml:space="preserve"> Results:  No treatment-specific effects were identified in the primary outcome assessing social symptoms (Social Responsiveness Scale, self- and informant-rated). In particular, with respect to self-reported social responsiveness, improvements were evident both in the </w:t>
      </w:r>
      <w:proofErr w:type="spellStart"/>
      <w:r w:rsidRPr="00233470">
        <w:rPr>
          <w:lang/>
        </w:rPr>
        <w:t>oxytocin</w:t>
      </w:r>
      <w:proofErr w:type="spellEnd"/>
      <w:r w:rsidRPr="00233470">
        <w:rPr>
          <w:lang/>
        </w:rPr>
        <w:t xml:space="preserve"> and in the placebo group, yielding no significant between-group difference (p = .37). Also informant-rated improvements in social responsiveness were not significantly larger in the </w:t>
      </w:r>
      <w:proofErr w:type="spellStart"/>
      <w:r w:rsidRPr="00233470">
        <w:rPr>
          <w:lang/>
        </w:rPr>
        <w:t>oxytocin</w:t>
      </w:r>
      <w:proofErr w:type="spellEnd"/>
      <w:r w:rsidRPr="00233470">
        <w:rPr>
          <w:lang/>
        </w:rPr>
        <w:t xml:space="preserve">, compared to the placebo group (between-group difference: p = .19). Among the secondary outcome measures, treatment-specific improvements were identified in the Repetitive Behavior Scale and State Adult Attachment Measure, indicating reductions in self-reported repetitive behaviors (p = .04) and reduced feelings of avoidance toward others (p = .03) in the </w:t>
      </w:r>
      <w:proofErr w:type="spellStart"/>
      <w:r w:rsidRPr="00233470">
        <w:rPr>
          <w:lang/>
        </w:rPr>
        <w:t>oxytocin</w:t>
      </w:r>
      <w:proofErr w:type="spellEnd"/>
      <w:r w:rsidRPr="00233470">
        <w:rPr>
          <w:lang/>
        </w:rPr>
        <w:t xml:space="preserve"> group compared to the placebo group, up to 1 month and even 1 year post-treatment. Treatment-specific effects were also revealed in screenings of mood states (Profile of Mood States), indicating higher reports of "vigor" (feeling energetic, active, lively) in the </w:t>
      </w:r>
      <w:proofErr w:type="spellStart"/>
      <w:r w:rsidRPr="00233470">
        <w:rPr>
          <w:lang/>
        </w:rPr>
        <w:t>oxytocin</w:t>
      </w:r>
      <w:proofErr w:type="spellEnd"/>
      <w:r w:rsidRPr="00233470">
        <w:rPr>
          <w:lang/>
        </w:rPr>
        <w:t xml:space="preserve">, compared to the placebo group (p = .03). </w:t>
      </w:r>
    </w:p>
    <w:p w:rsidR="00233470" w:rsidRPr="00233470" w:rsidRDefault="00233470" w:rsidP="00233470">
      <w:pPr>
        <w:rPr>
          <w:lang/>
        </w:rPr>
      </w:pPr>
      <w:r w:rsidRPr="00233470">
        <w:rPr>
          <w:lang/>
        </w:rPr>
        <w:t xml:space="preserve"> Conclusions:  While no treatment-specific improvements were evident in terms of core social symptoms, the current observations of long-term beneficial effects on repetitive behaviors and feelings of avoidance are promising and suggestive of a therapeutic potential of </w:t>
      </w:r>
      <w:proofErr w:type="spellStart"/>
      <w:r w:rsidRPr="00233470">
        <w:rPr>
          <w:lang/>
        </w:rPr>
        <w:t>oxytocin</w:t>
      </w:r>
      <w:proofErr w:type="spellEnd"/>
      <w:r w:rsidRPr="00233470">
        <w:rPr>
          <w:lang/>
        </w:rPr>
        <w:t xml:space="preserve"> treatment for ASD. However, given the exploratory nature of this pilot study, future studies are warranted to evaluate the long-term effects of OT administration further.</w:t>
      </w:r>
    </w:p>
    <w:sectPr w:rsidR="00233470" w:rsidRPr="00233470" w:rsidSect="00046F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hyphenationZone w:val="425"/>
  <w:characterSpacingControl w:val="doNotCompress"/>
  <w:compat/>
  <w:rsids>
    <w:rsidRoot w:val="00233470"/>
    <w:rsid w:val="00046FF1"/>
    <w:rsid w:val="00233470"/>
    <w:rsid w:val="00E757A3"/>
    <w:rsid w:val="00EE6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F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4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8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87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1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30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2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05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66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9669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1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10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839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28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09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068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676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700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97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7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46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78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025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29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189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5214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0615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3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72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162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64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101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0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346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50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11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55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89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9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17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041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811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85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4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9945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15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5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200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7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32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22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749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40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4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10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57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148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696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862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771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0212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651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09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884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5123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011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398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10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325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18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8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14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8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64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6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59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21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234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680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7612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74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505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020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66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64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222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1994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83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63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56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179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636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306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2951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7192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592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80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1283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126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523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7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39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995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8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730</Words>
  <Characters>4015</Characters>
  <Application>Microsoft Office Word</Application>
  <DocSecurity>0</DocSecurity>
  <Lines>33</Lines>
  <Paragraphs>9</Paragraphs>
  <ScaleCrop>false</ScaleCrop>
  <Company>KULEUVEN</Company>
  <LinksUpToDate>false</LinksUpToDate>
  <CharactersWithSpaces>4736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Kaat</dc:creator>
  <cp:lastModifiedBy>Kaat</cp:lastModifiedBy>
  <cp:revision>1</cp:revision>
  <dcterms:created xsi:type="dcterms:W3CDTF">2020-08-14T12:50:00Z</dcterms:created>
  <dcterms:modified xsi:type="dcterms:W3CDTF">2020-08-14T12:53:00Z</dcterms:modified>
</cp:coreProperties>
</file>