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14:paraId="4A1DE4EA" w14:textId="77777777" w:rsidTr="00007FF2">
        <w:trPr>
          <w:trHeight w:hRule="exact" w:val="1699"/>
        </w:trPr>
        <w:tc>
          <w:tcPr>
            <w:tcW w:w="4248" w:type="dxa"/>
          </w:tcPr>
          <w:p w14:paraId="523B5AF9" w14:textId="21315D84" w:rsidR="009261A5" w:rsidRDefault="009261A5" w:rsidP="00007FF2">
            <w:r>
              <w:t>DATE:</w:t>
            </w:r>
            <w:r w:rsidR="001A21BE">
              <w:t xml:space="preserve">02 May </w:t>
            </w:r>
            <w:r w:rsidR="00173B71">
              <w:t>2019</w:t>
            </w:r>
          </w:p>
        </w:tc>
      </w:tr>
      <w:tr w:rsidR="009261A5" w14:paraId="754031F8" w14:textId="77777777" w:rsidTr="00007FF2">
        <w:tc>
          <w:tcPr>
            <w:tcW w:w="4248" w:type="dxa"/>
          </w:tcPr>
          <w:p w14:paraId="77E3B268" w14:textId="45DA6E0E" w:rsidR="009261A5" w:rsidRDefault="009261A5" w:rsidP="00007FF2">
            <w:r>
              <w:t xml:space="preserve">To: </w:t>
            </w:r>
            <w:r w:rsidR="00AC72DE">
              <w:rPr>
                <w:rFonts w:ascii="Verdana" w:hAnsi="Verdana"/>
                <w:sz w:val="18"/>
                <w:szCs w:val="18"/>
                <w:lang w:val="en-GB"/>
              </w:rPr>
              <w:t>EMA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</w:tr>
      <w:tr w:rsidR="009261A5" w14:paraId="70187C40" w14:textId="77777777" w:rsidTr="00007FF2">
        <w:tc>
          <w:tcPr>
            <w:tcW w:w="4248" w:type="dxa"/>
          </w:tcPr>
          <w:p w14:paraId="3AC9F067" w14:textId="3476C67B" w:rsidR="009261A5" w:rsidRDefault="009261A5" w:rsidP="00007FF2">
            <w:pPr>
              <w:spacing w:before="200"/>
            </w:pPr>
            <w:r>
              <w:t xml:space="preserve">FROM: </w:t>
            </w:r>
            <w:r w:rsidR="00AC72DE" w:rsidRPr="00AC72DE">
              <w:t>MSD/ Merck &amp; Co., Inc</w:t>
            </w:r>
          </w:p>
        </w:tc>
      </w:tr>
      <w:tr w:rsidR="009261A5" w:rsidRPr="00E67C41" w14:paraId="67D00778" w14:textId="77777777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14:paraId="7663A579" w14:textId="77777777" w:rsidR="009261A5" w:rsidRPr="00E67C41" w:rsidRDefault="009261A5" w:rsidP="00007FF2">
            <w:pPr>
              <w:spacing w:before="200"/>
            </w:pPr>
            <w:r w:rsidRPr="00E67C41">
              <w:t xml:space="preserve">SUBJECT: </w:t>
            </w:r>
            <w:r w:rsidRPr="00E67C41">
              <w:rPr>
                <w:b/>
              </w:rPr>
              <w:t>Cancelled/ Withdrawn</w:t>
            </w:r>
            <w:r w:rsidRPr="00E67C41">
              <w:t xml:space="preserve"> studies in EU CTR</w:t>
            </w:r>
          </w:p>
        </w:tc>
      </w:tr>
    </w:tbl>
    <w:p w14:paraId="32BB71D1" w14:textId="77777777"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35FE" w14:textId="77777777" w:rsidR="009261A5" w:rsidRPr="009261A5" w:rsidRDefault="009261A5" w:rsidP="009261A5"/>
    <w:p w14:paraId="0EC62DAA" w14:textId="77777777" w:rsidR="009261A5" w:rsidRPr="009261A5" w:rsidRDefault="009261A5" w:rsidP="009261A5"/>
    <w:p w14:paraId="63D284CF" w14:textId="77777777" w:rsidR="009261A5" w:rsidRPr="009261A5" w:rsidRDefault="009261A5" w:rsidP="009261A5"/>
    <w:p w14:paraId="1E3DDFEE" w14:textId="77777777" w:rsidR="009261A5" w:rsidRPr="009261A5" w:rsidRDefault="009261A5" w:rsidP="009261A5"/>
    <w:p w14:paraId="46C4620F" w14:textId="77777777" w:rsidR="009261A5" w:rsidRPr="009261A5" w:rsidRDefault="009261A5" w:rsidP="009261A5"/>
    <w:p w14:paraId="76F2C6EB" w14:textId="77777777" w:rsidR="009261A5" w:rsidRPr="009261A5" w:rsidRDefault="009261A5" w:rsidP="009261A5"/>
    <w:p w14:paraId="5AC60DAC" w14:textId="77777777" w:rsidR="009261A5" w:rsidRPr="009261A5" w:rsidRDefault="009261A5" w:rsidP="009261A5"/>
    <w:p w14:paraId="7B075353" w14:textId="77777777" w:rsidR="009261A5" w:rsidRPr="009261A5" w:rsidRDefault="009261A5" w:rsidP="009261A5"/>
    <w:p w14:paraId="6314A12B" w14:textId="77777777" w:rsidR="009261A5" w:rsidRPr="009261A5" w:rsidRDefault="009261A5" w:rsidP="009261A5"/>
    <w:p w14:paraId="2977DEF1" w14:textId="77777777" w:rsidR="009261A5" w:rsidRPr="009261A5" w:rsidRDefault="009261A5" w:rsidP="009261A5"/>
    <w:p w14:paraId="76B081BD" w14:textId="77777777" w:rsidR="009261A5" w:rsidRPr="009261A5" w:rsidRDefault="009261A5" w:rsidP="009261A5"/>
    <w:p w14:paraId="6C6E26B8" w14:textId="77777777" w:rsidR="009261A5" w:rsidRPr="009261A5" w:rsidRDefault="009261A5" w:rsidP="009261A5"/>
    <w:p w14:paraId="58D052CF" w14:textId="77777777" w:rsidR="009261A5" w:rsidRPr="009261A5" w:rsidRDefault="009261A5" w:rsidP="009261A5"/>
    <w:p w14:paraId="4B05B3AD" w14:textId="77777777" w:rsidR="009261A5" w:rsidRDefault="009261A5" w:rsidP="009261A5"/>
    <w:p w14:paraId="6F8520D4" w14:textId="46BF1E82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To Whom It May Concern: </w:t>
      </w:r>
    </w:p>
    <w:p w14:paraId="2D0235BF" w14:textId="77777777" w:rsidR="00AC72DE" w:rsidRPr="00AC72DE" w:rsidRDefault="00AC72DE" w:rsidP="00AC72DE">
      <w:pPr>
        <w:jc w:val="both"/>
        <w:rPr>
          <w:sz w:val="24"/>
        </w:rPr>
      </w:pPr>
    </w:p>
    <w:p w14:paraId="61495B40" w14:textId="1FB80F46" w:rsidR="00AC72DE" w:rsidRP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>MSD is committed to the disclosure of results for interventional clinical trials conducted in the EEC per the requirements of Commission Guideline 2012/C 302/03.  The trial listed below was registered with the Eud</w:t>
      </w:r>
      <w:r>
        <w:rPr>
          <w:sz w:val="24"/>
        </w:rPr>
        <w:t xml:space="preserve">raCT database but </w:t>
      </w:r>
      <w:r w:rsidRPr="00AC72DE">
        <w:rPr>
          <w:sz w:val="24"/>
          <w:u w:val="single"/>
        </w:rPr>
        <w:t>was cancelled/ withdrawn before it started and never enrolled any participants.</w:t>
      </w:r>
      <w:r w:rsidRPr="00AC72DE">
        <w:rPr>
          <w:sz w:val="24"/>
        </w:rPr>
        <w:t xml:space="preserve">  </w:t>
      </w:r>
    </w:p>
    <w:p w14:paraId="4D95BCE9" w14:textId="77777777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Therefore, results cannot/should not be posted using the EudraCT full results module.  </w:t>
      </w:r>
    </w:p>
    <w:p w14:paraId="58EBD596" w14:textId="3E09B7D4" w:rsidR="009261A5" w:rsidRPr="00AC72DE" w:rsidRDefault="00AC72DE" w:rsidP="00AC72DE">
      <w:pPr>
        <w:jc w:val="both"/>
        <w:rPr>
          <w:b/>
          <w:sz w:val="24"/>
        </w:rPr>
      </w:pPr>
      <w:r w:rsidRPr="00AC72DE">
        <w:rPr>
          <w:b/>
          <w:sz w:val="24"/>
        </w:rPr>
        <w:t>Please consider this as a memo to f</w:t>
      </w:r>
      <w:r>
        <w:rPr>
          <w:b/>
          <w:sz w:val="24"/>
        </w:rPr>
        <w:t>ile to close out this record below:</w:t>
      </w:r>
      <w:r w:rsidRPr="00AC72DE">
        <w:rPr>
          <w:b/>
          <w:sz w:val="24"/>
        </w:rPr>
        <w:t xml:space="preserve"> </w:t>
      </w:r>
      <w:r w:rsidR="009261A5" w:rsidRPr="00AC72DE">
        <w:rPr>
          <w:b/>
          <w:sz w:val="24"/>
        </w:rPr>
        <w:t xml:space="preserve">  </w:t>
      </w:r>
    </w:p>
    <w:p w14:paraId="6A6DCC42" w14:textId="77777777"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14:paraId="5CF145F6" w14:textId="285F4DFF" w:rsidR="00511D06" w:rsidRDefault="00511D06" w:rsidP="00173B71">
      <w:pPr>
        <w:pStyle w:val="ListParagraph"/>
        <w:rPr>
          <w:color w:val="000000" w:themeColor="text1"/>
          <w:sz w:val="24"/>
        </w:rPr>
      </w:pPr>
    </w:p>
    <w:tbl>
      <w:tblPr>
        <w:tblStyle w:val="TableGrid"/>
        <w:tblW w:w="9900" w:type="dxa"/>
        <w:tblInd w:w="-5" w:type="dxa"/>
        <w:tblLook w:val="04A0" w:firstRow="1" w:lastRow="0" w:firstColumn="1" w:lastColumn="0" w:noHBand="0" w:noVBand="1"/>
      </w:tblPr>
      <w:tblGrid>
        <w:gridCol w:w="1889"/>
        <w:gridCol w:w="5131"/>
        <w:gridCol w:w="2880"/>
      </w:tblGrid>
      <w:tr w:rsidR="00AC72DE" w14:paraId="3E93C38A" w14:textId="65DBA298" w:rsidTr="00AC72DE">
        <w:trPr>
          <w:trHeight w:val="384"/>
        </w:trPr>
        <w:tc>
          <w:tcPr>
            <w:tcW w:w="1889" w:type="dxa"/>
          </w:tcPr>
          <w:p w14:paraId="18F44EBB" w14:textId="116608C0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 w:rsidRPr="006B6365">
              <w:rPr>
                <w:b/>
                <w:sz w:val="24"/>
              </w:rPr>
              <w:t>EudraCT#</w:t>
            </w:r>
          </w:p>
        </w:tc>
        <w:tc>
          <w:tcPr>
            <w:tcW w:w="5131" w:type="dxa"/>
          </w:tcPr>
          <w:p w14:paraId="10546D6E" w14:textId="5B36C835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Study Title:</w:t>
            </w:r>
          </w:p>
        </w:tc>
        <w:tc>
          <w:tcPr>
            <w:tcW w:w="2880" w:type="dxa"/>
          </w:tcPr>
          <w:p w14:paraId="35F99AFA" w14:textId="69096AAF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Sponsor Name</w:t>
            </w:r>
          </w:p>
        </w:tc>
      </w:tr>
      <w:tr w:rsidR="00AC72DE" w14:paraId="04078D44" w14:textId="43BB4907" w:rsidTr="00AC72DE">
        <w:trPr>
          <w:trHeight w:val="384"/>
        </w:trPr>
        <w:tc>
          <w:tcPr>
            <w:tcW w:w="1889" w:type="dxa"/>
          </w:tcPr>
          <w:p w14:paraId="45C1662A" w14:textId="364AE2C5" w:rsidR="00AC72DE" w:rsidRPr="004574C5" w:rsidRDefault="00D419C7" w:rsidP="00C745AA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  </w:t>
            </w:r>
            <w:r w:rsidR="00EA1EF0" w:rsidRPr="00EA1EF0">
              <w:rPr>
                <w:color w:val="000000"/>
                <w:sz w:val="24"/>
              </w:rPr>
              <w:t xml:space="preserve">  2014-001030-29</w:t>
            </w:r>
          </w:p>
        </w:tc>
        <w:tc>
          <w:tcPr>
            <w:tcW w:w="5131" w:type="dxa"/>
          </w:tcPr>
          <w:p w14:paraId="43FE3C27" w14:textId="6CA4B889" w:rsidR="00AC72DE" w:rsidRPr="004574C5" w:rsidRDefault="00EA1EF0" w:rsidP="004574C5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EA1EF0">
              <w:rPr>
                <w:color w:val="000000" w:themeColor="text1"/>
                <w:sz w:val="24"/>
              </w:rPr>
              <w:t>A Phase III, Double-blind, Lot-to-Lot Consistency Clinical Trial to Evaluate the Safety, Tolerability and Immunogenicity of V212 in Healthy Adults</w:t>
            </w:r>
          </w:p>
        </w:tc>
        <w:tc>
          <w:tcPr>
            <w:tcW w:w="2880" w:type="dxa"/>
          </w:tcPr>
          <w:p w14:paraId="02ED7414" w14:textId="20B944A8" w:rsidR="00AC72DE" w:rsidRPr="004574C5" w:rsidRDefault="00EA1EF0" w:rsidP="004574C5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EA1EF0">
              <w:rPr>
                <w:color w:val="000000" w:themeColor="text1"/>
                <w:sz w:val="24"/>
              </w:rPr>
              <w:t>Merck Sharp &amp; Dohme Corp., a subsidiary of Merck &amp; Co., Inc.</w:t>
            </w:r>
          </w:p>
        </w:tc>
      </w:tr>
    </w:tbl>
    <w:p w14:paraId="7CBC2880" w14:textId="77777777" w:rsidR="001F652F" w:rsidRPr="00906A89" w:rsidRDefault="001F652F" w:rsidP="001F652F">
      <w:pPr>
        <w:pStyle w:val="ListParagraph"/>
        <w:rPr>
          <w:color w:val="000000" w:themeColor="text1"/>
          <w:sz w:val="24"/>
        </w:rPr>
      </w:pPr>
      <w:bookmarkStart w:id="0" w:name="_GoBack"/>
      <w:bookmarkEnd w:id="0"/>
    </w:p>
    <w:sectPr w:rsidR="001F652F" w:rsidRPr="00906A8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F9C3C1" w14:textId="77777777" w:rsidR="0015009A" w:rsidRDefault="0015009A" w:rsidP="009261A5">
      <w:r>
        <w:separator/>
      </w:r>
    </w:p>
  </w:endnote>
  <w:endnote w:type="continuationSeparator" w:id="0">
    <w:p w14:paraId="7023EE11" w14:textId="77777777" w:rsidR="0015009A" w:rsidRDefault="0015009A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AE9B32" w14:textId="77777777" w:rsidR="00EA1EF0" w:rsidRDefault="00EA1EF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6CB00" w14:textId="0A1F45DF" w:rsidR="009261A5" w:rsidRDefault="00EA1EF0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6CC82106" wp14:editId="315E5E7B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2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8CB6A2" w14:textId="77777777" w:rsidR="00EA1EF0" w:rsidRDefault="00EA1E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31D802" w14:textId="77777777" w:rsidR="0015009A" w:rsidRDefault="0015009A" w:rsidP="009261A5">
      <w:r>
        <w:separator/>
      </w:r>
    </w:p>
  </w:footnote>
  <w:footnote w:type="continuationSeparator" w:id="0">
    <w:p w14:paraId="2C97963D" w14:textId="77777777" w:rsidR="0015009A" w:rsidRDefault="0015009A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EE74D" w14:textId="77777777" w:rsidR="0025217A" w:rsidRDefault="0015009A">
    <w:pPr>
      <w:pStyle w:val="Header"/>
    </w:pPr>
    <w:r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2053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B5264" w14:textId="77777777" w:rsidR="0025217A" w:rsidRDefault="0015009A">
    <w:pPr>
      <w:pStyle w:val="Header"/>
    </w:pPr>
    <w:r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2054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C220AC" w14:textId="77777777" w:rsidR="0025217A" w:rsidRDefault="0015009A">
    <w:pPr>
      <w:pStyle w:val="Header"/>
    </w:pPr>
    <w:r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2052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15009A"/>
    <w:rsid w:val="00173B71"/>
    <w:rsid w:val="00181AAF"/>
    <w:rsid w:val="001A21BE"/>
    <w:rsid w:val="001F1F6D"/>
    <w:rsid w:val="001F652F"/>
    <w:rsid w:val="00202218"/>
    <w:rsid w:val="0025217A"/>
    <w:rsid w:val="002945B7"/>
    <w:rsid w:val="00397B81"/>
    <w:rsid w:val="004574C5"/>
    <w:rsid w:val="0049754A"/>
    <w:rsid w:val="00511D06"/>
    <w:rsid w:val="00554C7D"/>
    <w:rsid w:val="006070F7"/>
    <w:rsid w:val="006535E0"/>
    <w:rsid w:val="0067679B"/>
    <w:rsid w:val="006A2C68"/>
    <w:rsid w:val="006B6365"/>
    <w:rsid w:val="006C4ABF"/>
    <w:rsid w:val="00762202"/>
    <w:rsid w:val="007B3869"/>
    <w:rsid w:val="00821417"/>
    <w:rsid w:val="00906A89"/>
    <w:rsid w:val="009261A5"/>
    <w:rsid w:val="00A37036"/>
    <w:rsid w:val="00AC72DE"/>
    <w:rsid w:val="00B0134E"/>
    <w:rsid w:val="00BD2E9A"/>
    <w:rsid w:val="00C745AA"/>
    <w:rsid w:val="00CE165F"/>
    <w:rsid w:val="00CE3CBC"/>
    <w:rsid w:val="00D419C7"/>
    <w:rsid w:val="00D915C0"/>
    <w:rsid w:val="00DA531F"/>
    <w:rsid w:val="00E67C41"/>
    <w:rsid w:val="00EA1EF0"/>
    <w:rsid w:val="00F5650F"/>
    <w:rsid w:val="00FD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5DB8B4C6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table" w:styleId="TableGrid">
    <w:name w:val="Table Grid"/>
    <w:basedOn w:val="TableNormal"/>
    <w:uiPriority w:val="39"/>
    <w:rsid w:val="001F6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DefaultParagraphFont"/>
    <w:rsid w:val="00AC72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5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customXml/itemProps3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A31DD8C-EA35-4085-89EE-57E293AE58BC}">
  <ds:schemaRefs>
    <ds:schemaRef ds:uri="http://www.w3.org/2001/XMLSchema"/>
    <ds:schemaRef ds:uri="http://www.boldonjames.com/2008/01/sie/internal/label"/>
  </ds:schemaRefs>
</ds:datastoreItem>
</file>

<file path=customXml/itemProps5.xml><?xml version="1.0" encoding="utf-8"?>
<ds:datastoreItem xmlns:ds="http://schemas.openxmlformats.org/officeDocument/2006/customXml" ds:itemID="{13AD27AF-A23F-42D4-AE34-4687895D0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9</cp:revision>
  <cp:lastPrinted>2019-01-28T16:04:00Z</cp:lastPrinted>
  <dcterms:created xsi:type="dcterms:W3CDTF">2019-04-08T14:20:00Z</dcterms:created>
  <dcterms:modified xsi:type="dcterms:W3CDTF">2019-05-02T19:41:00Z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8269eaa4-22d3-4cee-af70-0cd2f0429c09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MerckMetadataExchange">
    <vt:lpwstr>!$MRK@Proprietary-Footer-Left</vt:lpwstr>
  </property>
  <property fmtid="{D5CDD505-2E9C-101B-9397-08002B2CF9AE}" pid="7" name="_AdHocReviewCycleID">
    <vt:i4>-27152575</vt:i4>
  </property>
  <property fmtid="{D5CDD505-2E9C-101B-9397-08002B2CF9AE}" pid="8" name="_NewReviewCycle">
    <vt:lpwstr/>
  </property>
  <property fmtid="{D5CDD505-2E9C-101B-9397-08002B2CF9AE}" pid="9" name="_EmailSubject">
    <vt:lpwstr>CW</vt:lpwstr>
  </property>
  <property fmtid="{D5CDD505-2E9C-101B-9397-08002B2CF9AE}" pid="10" name="_AuthorEmail">
    <vt:lpwstr>lucia.fischetti@merck.com</vt:lpwstr>
  </property>
  <property fmtid="{D5CDD505-2E9C-101B-9397-08002B2CF9AE}" pid="11" name="_AuthorEmailDisplayName">
    <vt:lpwstr>Fischetti, Lucia</vt:lpwstr>
  </property>
  <property fmtid="{D5CDD505-2E9C-101B-9397-08002B2CF9AE}" pid="12" name="ContentTypeId">
    <vt:lpwstr>0x010100196C43D446A1EE40B652B9ADE28D3B0C</vt:lpwstr>
  </property>
  <property fmtid="{D5CDD505-2E9C-101B-9397-08002B2CF9AE}" pid="13" name="_PreviousAdHocReviewCycleID">
    <vt:i4>-210204954</vt:i4>
  </property>
  <property fmtid="{D5CDD505-2E9C-101B-9397-08002B2CF9AE}" pid="14" name="bjDocumentSecurityLabel">
    <vt:lpwstr>Proprietary</vt:lpwstr>
  </property>
</Properties>
</file>