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4686" w:rsidRPr="00314686" w:rsidRDefault="00314686" w:rsidP="00314686">
      <w:pPr>
        <w:autoSpaceDE w:val="0"/>
        <w:autoSpaceDN w:val="0"/>
        <w:adjustRightInd w:val="0"/>
        <w:spacing w:after="0" w:line="276" w:lineRule="auto"/>
        <w:rPr>
          <w:rFonts w:ascii="Cambria" w:hAnsi="Cambria" w:cs="AdvOTc20ddc96"/>
          <w:sz w:val="24"/>
          <w:szCs w:val="24"/>
          <w:lang w:val="en-US"/>
        </w:rPr>
      </w:pPr>
      <w:r w:rsidRPr="00314686">
        <w:rPr>
          <w:rFonts w:ascii="Cambria" w:hAnsi="Cambria" w:cs="AdvOTc20ddc96"/>
          <w:b/>
          <w:bCs/>
          <w:sz w:val="24"/>
          <w:szCs w:val="24"/>
          <w:lang w:val="en-US"/>
        </w:rPr>
        <w:t>Purpose</w:t>
      </w:r>
      <w:r w:rsidRPr="00314686">
        <w:rPr>
          <w:rFonts w:ascii="Cambria" w:hAnsi="Cambria" w:cs="AdvOTc20ddc96"/>
          <w:sz w:val="24"/>
          <w:szCs w:val="24"/>
          <w:lang w:val="en-US"/>
        </w:rPr>
        <w:t xml:space="preserve"> </w:t>
      </w:r>
    </w:p>
    <w:p w:rsidR="00314686" w:rsidRPr="00314686" w:rsidRDefault="00314686" w:rsidP="00314686">
      <w:pPr>
        <w:autoSpaceDE w:val="0"/>
        <w:autoSpaceDN w:val="0"/>
        <w:adjustRightInd w:val="0"/>
        <w:spacing w:after="0" w:line="276" w:lineRule="auto"/>
        <w:rPr>
          <w:rFonts w:ascii="Cambria" w:hAnsi="Cambria" w:cs="AdvOTf9433e2d"/>
          <w:sz w:val="24"/>
          <w:szCs w:val="24"/>
          <w:lang w:val="en-US"/>
        </w:rPr>
      </w:pPr>
      <w:r w:rsidRPr="00314686">
        <w:rPr>
          <w:rFonts w:ascii="Cambria" w:hAnsi="Cambria" w:cs="AdvOTf9433e2d"/>
          <w:sz w:val="24"/>
          <w:szCs w:val="24"/>
          <w:lang w:val="en-US"/>
        </w:rPr>
        <w:t>Replicating the physiological cortisol secretion is key in the treatment of glucocorticoid insuf</w:t>
      </w:r>
      <w:r w:rsidRPr="00314686">
        <w:rPr>
          <w:rFonts w:ascii="Cambria" w:hAnsi="Cambria" w:cs="AdvOTf9433e2d+fb"/>
          <w:sz w:val="24"/>
          <w:szCs w:val="24"/>
          <w:lang w:val="en-US"/>
        </w:rPr>
        <w:t>fi</w:t>
      </w:r>
      <w:r w:rsidRPr="00314686">
        <w:rPr>
          <w:rFonts w:ascii="Cambria" w:hAnsi="Cambria" w:cs="AdvOTf9433e2d"/>
          <w:sz w:val="24"/>
          <w:szCs w:val="24"/>
          <w:lang w:val="en-US"/>
        </w:rPr>
        <w:t xml:space="preserve">cient individuals </w:t>
      </w:r>
      <w:r w:rsidRPr="00314686">
        <w:rPr>
          <w:rFonts w:ascii="Cambria" w:hAnsi="Cambria" w:cs="AdvOTf9433e2d"/>
          <w:sz w:val="24"/>
          <w:szCs w:val="24"/>
          <w:lang w:val="en-US"/>
        </w:rPr>
        <w:t>a</w:t>
      </w:r>
      <w:r w:rsidRPr="00314686">
        <w:rPr>
          <w:rFonts w:ascii="Cambria" w:hAnsi="Cambria" w:cs="AdvOTf9433e2d"/>
          <w:sz w:val="24"/>
          <w:szCs w:val="24"/>
          <w:lang w:val="en-US"/>
        </w:rPr>
        <w:t>nd</w:t>
      </w:r>
      <w:r w:rsidRPr="00314686">
        <w:rPr>
          <w:rFonts w:ascii="Cambria" w:hAnsi="Cambria" w:cs="AdvOTf9433e2d"/>
          <w:sz w:val="24"/>
          <w:szCs w:val="24"/>
          <w:lang w:val="en-US"/>
        </w:rPr>
        <w:t xml:space="preserve"> </w:t>
      </w:r>
      <w:r w:rsidRPr="00314686">
        <w:rPr>
          <w:rFonts w:ascii="Cambria" w:hAnsi="Cambria" w:cs="AdvOTf9433e2d"/>
          <w:sz w:val="24"/>
          <w:szCs w:val="24"/>
          <w:lang w:val="en-US"/>
        </w:rPr>
        <w:t>optimization may enhance quality of life. The study investigates fatigue measured by ecological momentary assessments in</w:t>
      </w:r>
      <w:r w:rsidRPr="00314686">
        <w:rPr>
          <w:rFonts w:ascii="Cambria" w:hAnsi="Cambria" w:cs="AdvOTf9433e2d"/>
          <w:sz w:val="24"/>
          <w:szCs w:val="24"/>
          <w:lang w:val="en-US"/>
        </w:rPr>
        <w:t xml:space="preserve"> </w:t>
      </w:r>
      <w:r w:rsidRPr="00314686">
        <w:rPr>
          <w:rFonts w:ascii="Cambria" w:hAnsi="Cambria" w:cs="AdvOTf9433e2d"/>
          <w:sz w:val="24"/>
          <w:szCs w:val="24"/>
          <w:lang w:val="en-US"/>
        </w:rPr>
        <w:t>patients treated with conventional hydrocortisone compared with once-daily dual-release hydrocortisone (Plenadren).</w:t>
      </w:r>
    </w:p>
    <w:p w:rsidR="00314686" w:rsidRPr="00314686" w:rsidRDefault="00314686" w:rsidP="00314686">
      <w:pPr>
        <w:autoSpaceDE w:val="0"/>
        <w:autoSpaceDN w:val="0"/>
        <w:adjustRightInd w:val="0"/>
        <w:spacing w:after="0" w:line="276" w:lineRule="auto"/>
        <w:rPr>
          <w:rFonts w:ascii="Cambria" w:hAnsi="Cambria" w:cs="AdvOTc20ddc96"/>
          <w:sz w:val="24"/>
          <w:szCs w:val="24"/>
          <w:lang w:val="en-US"/>
        </w:rPr>
      </w:pPr>
      <w:r w:rsidRPr="00314686">
        <w:rPr>
          <w:rFonts w:ascii="Cambria" w:hAnsi="Cambria" w:cs="AdvOTc20ddc96"/>
          <w:b/>
          <w:bCs/>
          <w:sz w:val="24"/>
          <w:szCs w:val="24"/>
          <w:lang w:val="en-US"/>
        </w:rPr>
        <w:t>Methods</w:t>
      </w:r>
      <w:r w:rsidRPr="00314686">
        <w:rPr>
          <w:rFonts w:ascii="Cambria" w:hAnsi="Cambria" w:cs="AdvOTc20ddc96"/>
          <w:sz w:val="24"/>
          <w:szCs w:val="24"/>
          <w:lang w:val="en-US"/>
        </w:rPr>
        <w:t xml:space="preserve"> </w:t>
      </w:r>
    </w:p>
    <w:p w:rsidR="00314686" w:rsidRPr="00314686" w:rsidRDefault="00314686" w:rsidP="00314686">
      <w:pPr>
        <w:autoSpaceDE w:val="0"/>
        <w:autoSpaceDN w:val="0"/>
        <w:adjustRightInd w:val="0"/>
        <w:spacing w:after="0" w:line="276" w:lineRule="auto"/>
        <w:rPr>
          <w:rFonts w:ascii="Cambria" w:hAnsi="Cambria" w:cs="AdvOTf9433e2d"/>
          <w:sz w:val="24"/>
          <w:szCs w:val="24"/>
          <w:lang w:val="en-US"/>
        </w:rPr>
      </w:pPr>
      <w:r w:rsidRPr="00314686">
        <w:rPr>
          <w:rFonts w:ascii="Cambria" w:hAnsi="Cambria" w:cs="AdvOTf9433e2d"/>
          <w:sz w:val="24"/>
          <w:szCs w:val="24"/>
          <w:lang w:val="en-US"/>
        </w:rPr>
        <w:t>A 21-week open-label switch pilot trial included 30 patients with adrenal insuf</w:t>
      </w:r>
      <w:r w:rsidRPr="00314686">
        <w:rPr>
          <w:rFonts w:ascii="Cambria" w:hAnsi="Cambria" w:cs="AdvOTf9433e2d+fb"/>
          <w:sz w:val="24"/>
          <w:szCs w:val="24"/>
          <w:lang w:val="en-US"/>
        </w:rPr>
        <w:t>fi</w:t>
      </w:r>
      <w:r w:rsidRPr="00314686">
        <w:rPr>
          <w:rFonts w:ascii="Cambria" w:hAnsi="Cambria" w:cs="AdvOTf9433e2d"/>
          <w:sz w:val="24"/>
          <w:szCs w:val="24"/>
          <w:lang w:val="en-US"/>
        </w:rPr>
        <w:t>ciency due to hypopituitarism.</w:t>
      </w:r>
    </w:p>
    <w:p w:rsidR="00314686" w:rsidRPr="00314686" w:rsidRDefault="00314686" w:rsidP="00314686">
      <w:pPr>
        <w:autoSpaceDE w:val="0"/>
        <w:autoSpaceDN w:val="0"/>
        <w:adjustRightInd w:val="0"/>
        <w:spacing w:after="0" w:line="276" w:lineRule="auto"/>
        <w:rPr>
          <w:rFonts w:ascii="Cambria" w:hAnsi="Cambria" w:cs="AdvOTf9433e2d"/>
          <w:sz w:val="24"/>
          <w:szCs w:val="24"/>
          <w:lang w:val="en-US"/>
        </w:rPr>
      </w:pPr>
      <w:r w:rsidRPr="00314686">
        <w:rPr>
          <w:rFonts w:ascii="Cambria" w:hAnsi="Cambria" w:cs="AdvOTf9433e2d"/>
          <w:sz w:val="24"/>
          <w:szCs w:val="24"/>
          <w:lang w:val="en-US"/>
        </w:rPr>
        <w:t xml:space="preserve">Fatigue was assessed four times daily for 20 days using a momentary item version of the Multidimensional </w:t>
      </w:r>
      <w:r w:rsidRPr="00314686">
        <w:rPr>
          <w:rFonts w:ascii="Cambria" w:hAnsi="Cambria" w:cs="AdvOTf9433e2d"/>
          <w:sz w:val="24"/>
          <w:szCs w:val="24"/>
          <w:lang w:val="en-US"/>
        </w:rPr>
        <w:t>F</w:t>
      </w:r>
      <w:r w:rsidRPr="00314686">
        <w:rPr>
          <w:rFonts w:ascii="Cambria" w:hAnsi="Cambria" w:cs="AdvOTf9433e2d"/>
          <w:sz w:val="24"/>
          <w:szCs w:val="24"/>
          <w:lang w:val="en-US"/>
        </w:rPr>
        <w:t>atigue</w:t>
      </w:r>
      <w:r w:rsidRPr="00314686">
        <w:rPr>
          <w:rFonts w:ascii="Cambria" w:hAnsi="Cambria" w:cs="AdvOTf9433e2d"/>
          <w:sz w:val="24"/>
          <w:szCs w:val="24"/>
          <w:lang w:val="en-US"/>
        </w:rPr>
        <w:t xml:space="preserve"> </w:t>
      </w:r>
      <w:r w:rsidRPr="00314686">
        <w:rPr>
          <w:rFonts w:ascii="Cambria" w:hAnsi="Cambria" w:cs="AdvOTf9433e2d"/>
          <w:sz w:val="24"/>
          <w:szCs w:val="24"/>
          <w:lang w:val="en-US"/>
        </w:rPr>
        <w:t>Inventory on patients</w:t>
      </w:r>
      <w:r w:rsidRPr="00314686">
        <w:rPr>
          <w:rFonts w:ascii="Cambria" w:hAnsi="Cambria" w:cs="AdvOTf9433e2d+20"/>
          <w:sz w:val="24"/>
          <w:szCs w:val="24"/>
          <w:lang w:val="en-US"/>
        </w:rPr>
        <w:t xml:space="preserve">’ </w:t>
      </w:r>
      <w:r w:rsidRPr="00314686">
        <w:rPr>
          <w:rFonts w:ascii="Cambria" w:hAnsi="Cambria" w:cs="AdvOTf9433e2d"/>
          <w:sz w:val="24"/>
          <w:szCs w:val="24"/>
          <w:lang w:val="en-US"/>
        </w:rPr>
        <w:t>usual hydrocortisone regimen. Participants switched treatment to an identical da</w:t>
      </w:r>
      <w:bookmarkStart w:id="0" w:name="_GoBack"/>
      <w:bookmarkEnd w:id="0"/>
      <w:r w:rsidRPr="00314686">
        <w:rPr>
          <w:rFonts w:ascii="Cambria" w:hAnsi="Cambria" w:cs="AdvOTf9433e2d"/>
          <w:sz w:val="24"/>
          <w:szCs w:val="24"/>
          <w:lang w:val="en-US"/>
        </w:rPr>
        <w:t>ily dose of Plenadren</w:t>
      </w:r>
      <w:r w:rsidRPr="00314686">
        <w:rPr>
          <w:rFonts w:ascii="Cambria" w:hAnsi="Cambria" w:cs="AdvOTf9433e2d"/>
          <w:sz w:val="24"/>
          <w:szCs w:val="24"/>
          <w:lang w:val="en-US"/>
        </w:rPr>
        <w:t xml:space="preserve"> </w:t>
      </w:r>
      <w:r w:rsidRPr="00314686">
        <w:rPr>
          <w:rFonts w:ascii="Cambria" w:hAnsi="Cambria" w:cs="AdvOTf9433e2d"/>
          <w:sz w:val="24"/>
          <w:szCs w:val="24"/>
          <w:lang w:val="en-US"/>
        </w:rPr>
        <w:t>for 16 weeks where fatigue assessments were repeated. Change in fatigue and diurnal variation of fatigue was analyzed using</w:t>
      </w:r>
      <w:r w:rsidRPr="00314686">
        <w:rPr>
          <w:rFonts w:ascii="Cambria" w:hAnsi="Cambria" w:cs="AdvOTf9433e2d"/>
          <w:sz w:val="24"/>
          <w:szCs w:val="24"/>
          <w:lang w:val="en-US"/>
        </w:rPr>
        <w:t xml:space="preserve"> </w:t>
      </w:r>
      <w:r w:rsidRPr="00314686">
        <w:rPr>
          <w:rFonts w:ascii="Cambria" w:hAnsi="Cambria" w:cs="AdvOTf9433e2d"/>
          <w:sz w:val="24"/>
          <w:szCs w:val="24"/>
          <w:lang w:val="en-US"/>
        </w:rPr>
        <w:t>mixed models for repeated measurements.</w:t>
      </w:r>
    </w:p>
    <w:p w:rsidR="00314686" w:rsidRPr="00314686" w:rsidRDefault="00314686" w:rsidP="00314686">
      <w:pPr>
        <w:autoSpaceDE w:val="0"/>
        <w:autoSpaceDN w:val="0"/>
        <w:adjustRightInd w:val="0"/>
        <w:spacing w:after="0" w:line="276" w:lineRule="auto"/>
        <w:rPr>
          <w:rFonts w:ascii="Cambria" w:hAnsi="Cambria" w:cs="AdvOTf9433e2d"/>
          <w:sz w:val="24"/>
          <w:szCs w:val="24"/>
          <w:lang w:val="en-US"/>
        </w:rPr>
      </w:pPr>
      <w:r w:rsidRPr="00314686">
        <w:rPr>
          <w:rFonts w:ascii="Cambria" w:hAnsi="Cambria" w:cs="AdvOTc20ddc96"/>
          <w:b/>
          <w:bCs/>
          <w:sz w:val="24"/>
          <w:szCs w:val="24"/>
          <w:lang w:val="en-US"/>
        </w:rPr>
        <w:t>Results</w:t>
      </w:r>
      <w:r w:rsidRPr="00314686">
        <w:rPr>
          <w:rFonts w:ascii="Cambria" w:hAnsi="Cambria" w:cs="AdvOTf9433e2d"/>
          <w:sz w:val="24"/>
          <w:szCs w:val="24"/>
          <w:lang w:val="en-US"/>
        </w:rPr>
        <w:t xml:space="preserve"> </w:t>
      </w:r>
    </w:p>
    <w:p w:rsidR="00314686" w:rsidRPr="00314686" w:rsidRDefault="00314686" w:rsidP="00314686">
      <w:pPr>
        <w:autoSpaceDE w:val="0"/>
        <w:autoSpaceDN w:val="0"/>
        <w:adjustRightInd w:val="0"/>
        <w:spacing w:after="0" w:line="276" w:lineRule="auto"/>
        <w:rPr>
          <w:rFonts w:ascii="Cambria" w:hAnsi="Cambria" w:cs="AdvOTf9433e2d"/>
          <w:sz w:val="24"/>
          <w:szCs w:val="24"/>
          <w:lang w:val="en-US"/>
        </w:rPr>
      </w:pPr>
      <w:r w:rsidRPr="00314686">
        <w:rPr>
          <w:rFonts w:ascii="Cambria" w:hAnsi="Cambria" w:cs="AdvOTf9433e2d"/>
          <w:sz w:val="24"/>
          <w:szCs w:val="24"/>
          <w:lang w:val="en-US"/>
        </w:rPr>
        <w:t xml:space="preserve">In four out of </w:t>
      </w:r>
      <w:r w:rsidRPr="00314686">
        <w:rPr>
          <w:rFonts w:ascii="Cambria" w:hAnsi="Cambria" w:cs="AdvOTf9433e2d+fb"/>
          <w:sz w:val="24"/>
          <w:szCs w:val="24"/>
          <w:lang w:val="en-US"/>
        </w:rPr>
        <w:t>fi</w:t>
      </w:r>
      <w:r w:rsidRPr="00314686">
        <w:rPr>
          <w:rFonts w:ascii="Cambria" w:hAnsi="Cambria" w:cs="AdvOTf9433e2d"/>
          <w:sz w:val="24"/>
          <w:szCs w:val="24"/>
          <w:lang w:val="en-US"/>
        </w:rPr>
        <w:t>ve fatigue subscales fatigue was signi</w:t>
      </w:r>
      <w:r w:rsidRPr="00314686">
        <w:rPr>
          <w:rFonts w:ascii="Cambria" w:hAnsi="Cambria" w:cs="AdvOTf9433e2d+fb"/>
          <w:sz w:val="24"/>
          <w:szCs w:val="24"/>
          <w:lang w:val="en-US"/>
        </w:rPr>
        <w:t>fi</w:t>
      </w:r>
      <w:r w:rsidRPr="00314686">
        <w:rPr>
          <w:rFonts w:ascii="Cambria" w:hAnsi="Cambria" w:cs="AdvOTf9433e2d"/>
          <w:sz w:val="24"/>
          <w:szCs w:val="24"/>
          <w:lang w:val="en-US"/>
        </w:rPr>
        <w:t>cantly reduced 0.7</w:t>
      </w:r>
      <w:r w:rsidRPr="00314686">
        <w:rPr>
          <w:rFonts w:ascii="Cambria" w:hAnsi="Cambria" w:cs="AdvOTf9433e2d+20"/>
          <w:sz w:val="24"/>
          <w:szCs w:val="24"/>
          <w:lang w:val="en-US"/>
        </w:rPr>
        <w:t>–</w:t>
      </w:r>
      <w:r w:rsidRPr="00314686">
        <w:rPr>
          <w:rFonts w:ascii="Cambria" w:hAnsi="Cambria" w:cs="AdvOTf9433e2d"/>
          <w:sz w:val="24"/>
          <w:szCs w:val="24"/>
          <w:lang w:val="en-US"/>
        </w:rPr>
        <w:t>1.1 points (scales ranging from 4 to 20),</w:t>
      </w:r>
    </w:p>
    <w:p w:rsidR="00314686" w:rsidRPr="00314686" w:rsidRDefault="00314686" w:rsidP="00314686">
      <w:pPr>
        <w:autoSpaceDE w:val="0"/>
        <w:autoSpaceDN w:val="0"/>
        <w:adjustRightInd w:val="0"/>
        <w:spacing w:after="0" w:line="276" w:lineRule="auto"/>
        <w:rPr>
          <w:rFonts w:ascii="Cambria" w:hAnsi="Cambria" w:cs="AdvOTf9433e2d"/>
          <w:sz w:val="24"/>
          <w:szCs w:val="24"/>
          <w:lang w:val="en-US"/>
        </w:rPr>
      </w:pPr>
      <w:r w:rsidRPr="00314686">
        <w:rPr>
          <w:rFonts w:ascii="Cambria" w:hAnsi="Cambria" w:cs="AdvOTf9433e2d"/>
          <w:sz w:val="24"/>
          <w:szCs w:val="24"/>
          <w:lang w:val="en-US"/>
        </w:rPr>
        <w:t>when treated with Plenadren compared with conventional hydrocortisone, corresponding to small effect sizes below the</w:t>
      </w:r>
      <w:r w:rsidRPr="00314686">
        <w:rPr>
          <w:rFonts w:ascii="Cambria" w:hAnsi="Cambria" w:cs="AdvOTf9433e2d"/>
          <w:sz w:val="24"/>
          <w:szCs w:val="24"/>
          <w:lang w:val="en-US"/>
        </w:rPr>
        <w:t xml:space="preserve"> </w:t>
      </w:r>
      <w:r w:rsidRPr="00314686">
        <w:rPr>
          <w:rFonts w:ascii="Cambria" w:hAnsi="Cambria" w:cs="AdvOTf9433e2d"/>
          <w:sz w:val="24"/>
          <w:szCs w:val="24"/>
          <w:lang w:val="en-US"/>
        </w:rPr>
        <w:t>scale-speci</w:t>
      </w:r>
      <w:r w:rsidRPr="00314686">
        <w:rPr>
          <w:rFonts w:ascii="Cambria" w:hAnsi="Cambria" w:cs="AdvOTf9433e2d+fb"/>
          <w:sz w:val="24"/>
          <w:szCs w:val="24"/>
          <w:lang w:val="en-US"/>
        </w:rPr>
        <w:t>fi</w:t>
      </w:r>
      <w:r w:rsidRPr="00314686">
        <w:rPr>
          <w:rFonts w:ascii="Cambria" w:hAnsi="Cambria" w:cs="AdvOTf9433e2d"/>
          <w:sz w:val="24"/>
          <w:szCs w:val="24"/>
          <w:lang w:val="en-US"/>
        </w:rPr>
        <w:t>c minimal important changes. However, 33% of the participants completing the study (9/27) experienced</w:t>
      </w:r>
      <w:r w:rsidRPr="00314686">
        <w:rPr>
          <w:rFonts w:ascii="Cambria" w:hAnsi="Cambria" w:cs="AdvOTf9433e2d"/>
          <w:sz w:val="24"/>
          <w:szCs w:val="24"/>
          <w:lang w:val="en-US"/>
        </w:rPr>
        <w:t xml:space="preserve"> </w:t>
      </w:r>
      <w:r w:rsidRPr="00314686">
        <w:rPr>
          <w:rFonts w:ascii="Cambria" w:hAnsi="Cambria" w:cs="AdvOTf9433e2d"/>
          <w:sz w:val="24"/>
          <w:szCs w:val="24"/>
          <w:lang w:val="en-US"/>
        </w:rPr>
        <w:t>reductions in fatigue above the minimal important change. On Plenadren, we found larger between-person variances and</w:t>
      </w:r>
      <w:r w:rsidRPr="00314686">
        <w:rPr>
          <w:rFonts w:ascii="Cambria" w:hAnsi="Cambria" w:cs="AdvOTf9433e2d"/>
          <w:sz w:val="24"/>
          <w:szCs w:val="24"/>
          <w:lang w:val="en-US"/>
        </w:rPr>
        <w:t xml:space="preserve"> </w:t>
      </w:r>
      <w:r w:rsidRPr="00314686">
        <w:rPr>
          <w:rFonts w:ascii="Cambria" w:hAnsi="Cambria" w:cs="AdvOTf9433e2d"/>
          <w:sz w:val="24"/>
          <w:szCs w:val="24"/>
          <w:lang w:val="en-US"/>
        </w:rPr>
        <w:t>smaller within-person variances. Finally, we identi</w:t>
      </w:r>
      <w:r w:rsidRPr="00314686">
        <w:rPr>
          <w:rFonts w:ascii="Cambria" w:hAnsi="Cambria" w:cs="AdvOTf9433e2d+fb"/>
          <w:sz w:val="24"/>
          <w:szCs w:val="24"/>
          <w:lang w:val="en-US"/>
        </w:rPr>
        <w:t>fi</w:t>
      </w:r>
      <w:r w:rsidRPr="00314686">
        <w:rPr>
          <w:rFonts w:ascii="Cambria" w:hAnsi="Cambria" w:cs="AdvOTf9433e2d"/>
          <w:sz w:val="24"/>
          <w:szCs w:val="24"/>
          <w:lang w:val="en-US"/>
        </w:rPr>
        <w:t>ed diurnal fatigue curves for both treatments.</w:t>
      </w:r>
    </w:p>
    <w:p w:rsidR="00314686" w:rsidRPr="00314686" w:rsidRDefault="00314686" w:rsidP="00314686">
      <w:pPr>
        <w:autoSpaceDE w:val="0"/>
        <w:autoSpaceDN w:val="0"/>
        <w:adjustRightInd w:val="0"/>
        <w:spacing w:after="0" w:line="276" w:lineRule="auto"/>
        <w:rPr>
          <w:rFonts w:ascii="Cambria" w:hAnsi="Cambria" w:cs="AdvOTc20ddc96"/>
          <w:sz w:val="24"/>
          <w:szCs w:val="24"/>
          <w:lang w:val="en-US"/>
        </w:rPr>
      </w:pPr>
      <w:r w:rsidRPr="00314686">
        <w:rPr>
          <w:rFonts w:ascii="Cambria" w:hAnsi="Cambria" w:cs="AdvOTc20ddc96"/>
          <w:b/>
          <w:bCs/>
          <w:sz w:val="24"/>
          <w:szCs w:val="24"/>
          <w:lang w:val="en-US"/>
        </w:rPr>
        <w:t>Conclusions</w:t>
      </w:r>
      <w:r w:rsidRPr="00314686">
        <w:rPr>
          <w:rFonts w:ascii="Cambria" w:hAnsi="Cambria" w:cs="AdvOTc20ddc96"/>
          <w:sz w:val="24"/>
          <w:szCs w:val="24"/>
          <w:lang w:val="en-US"/>
        </w:rPr>
        <w:t xml:space="preserve"> </w:t>
      </w:r>
    </w:p>
    <w:p w:rsidR="00314686" w:rsidRPr="00314686" w:rsidRDefault="00314686" w:rsidP="00314686">
      <w:pPr>
        <w:autoSpaceDE w:val="0"/>
        <w:autoSpaceDN w:val="0"/>
        <w:adjustRightInd w:val="0"/>
        <w:spacing w:after="0" w:line="276" w:lineRule="auto"/>
        <w:rPr>
          <w:rFonts w:ascii="Cambria" w:hAnsi="Cambria" w:cs="AdvOTf9433e2d"/>
          <w:sz w:val="24"/>
          <w:szCs w:val="24"/>
          <w:lang w:val="en-US"/>
        </w:rPr>
      </w:pPr>
      <w:r w:rsidRPr="00314686">
        <w:rPr>
          <w:rFonts w:ascii="Cambria" w:hAnsi="Cambria" w:cs="AdvOTf9433e2d"/>
          <w:sz w:val="24"/>
          <w:szCs w:val="24"/>
          <w:lang w:val="en-US"/>
        </w:rPr>
        <w:t>The Plenadren-related reduction in fatigue was signi</w:t>
      </w:r>
      <w:r w:rsidRPr="00314686">
        <w:rPr>
          <w:rFonts w:ascii="Cambria" w:hAnsi="Cambria" w:cs="AdvOTf9433e2d+fb"/>
          <w:sz w:val="24"/>
          <w:szCs w:val="24"/>
          <w:lang w:val="en-US"/>
        </w:rPr>
        <w:t>fi</w:t>
      </w:r>
      <w:r w:rsidRPr="00314686">
        <w:rPr>
          <w:rFonts w:ascii="Cambria" w:hAnsi="Cambria" w:cs="AdvOTf9433e2d"/>
          <w:sz w:val="24"/>
          <w:szCs w:val="24"/>
          <w:lang w:val="en-US"/>
        </w:rPr>
        <w:t>cant but not necessarily of clinical importance when</w:t>
      </w:r>
    </w:p>
    <w:p w:rsidR="00D830F6" w:rsidRPr="00314686" w:rsidRDefault="00314686" w:rsidP="00314686">
      <w:pPr>
        <w:autoSpaceDE w:val="0"/>
        <w:autoSpaceDN w:val="0"/>
        <w:adjustRightInd w:val="0"/>
        <w:spacing w:after="0" w:line="276" w:lineRule="auto"/>
        <w:rPr>
          <w:rFonts w:ascii="Cambria" w:hAnsi="Cambria"/>
          <w:sz w:val="28"/>
          <w:szCs w:val="28"/>
          <w:lang w:val="en-US"/>
        </w:rPr>
      </w:pPr>
      <w:r w:rsidRPr="00314686">
        <w:rPr>
          <w:rFonts w:ascii="Cambria" w:hAnsi="Cambria" w:cs="AdvOTf9433e2d"/>
          <w:sz w:val="24"/>
          <w:szCs w:val="24"/>
          <w:lang w:val="en-US"/>
        </w:rPr>
        <w:t>looking at a group level. However, there was a large interindividual variation in treatment effect, why patients with a large</w:t>
      </w:r>
      <w:r w:rsidRPr="00314686">
        <w:rPr>
          <w:rFonts w:ascii="Cambria" w:hAnsi="Cambria" w:cs="AdvOTf9433e2d"/>
          <w:sz w:val="24"/>
          <w:szCs w:val="24"/>
          <w:lang w:val="en-US"/>
        </w:rPr>
        <w:t xml:space="preserve"> </w:t>
      </w:r>
      <w:r w:rsidRPr="00314686">
        <w:rPr>
          <w:rFonts w:ascii="Cambria" w:hAnsi="Cambria" w:cs="AdvOTf9433e2d"/>
          <w:sz w:val="24"/>
          <w:szCs w:val="24"/>
          <w:lang w:val="en-US"/>
        </w:rPr>
        <w:t>bene</w:t>
      </w:r>
      <w:r w:rsidRPr="00314686">
        <w:rPr>
          <w:rFonts w:ascii="Cambria" w:hAnsi="Cambria" w:cs="AdvOTf9433e2d+fb"/>
          <w:sz w:val="24"/>
          <w:szCs w:val="24"/>
          <w:lang w:val="en-US"/>
        </w:rPr>
        <w:t>fi</w:t>
      </w:r>
      <w:r w:rsidRPr="00314686">
        <w:rPr>
          <w:rFonts w:ascii="Cambria" w:hAnsi="Cambria" w:cs="AdvOTf9433e2d"/>
          <w:sz w:val="24"/>
          <w:szCs w:val="24"/>
          <w:lang w:val="en-US"/>
        </w:rPr>
        <w:t>t in quality of life should be identi</w:t>
      </w:r>
      <w:r w:rsidRPr="00314686">
        <w:rPr>
          <w:rFonts w:ascii="Cambria" w:hAnsi="Cambria" w:cs="AdvOTf9433e2d+fb"/>
          <w:sz w:val="24"/>
          <w:szCs w:val="24"/>
          <w:lang w:val="en-US"/>
        </w:rPr>
        <w:t>fi</w:t>
      </w:r>
      <w:r w:rsidRPr="00314686">
        <w:rPr>
          <w:rFonts w:ascii="Cambria" w:hAnsi="Cambria" w:cs="AdvOTf9433e2d"/>
          <w:sz w:val="24"/>
          <w:szCs w:val="24"/>
          <w:lang w:val="en-US"/>
        </w:rPr>
        <w:t>ed. Future RCTs should be powered to detect the effect magnitudes identi</w:t>
      </w:r>
      <w:r w:rsidRPr="00314686">
        <w:rPr>
          <w:rFonts w:ascii="Cambria" w:hAnsi="Cambria" w:cs="AdvOTf9433e2d+fb"/>
          <w:sz w:val="24"/>
          <w:szCs w:val="24"/>
          <w:lang w:val="en-US"/>
        </w:rPr>
        <w:t>fi</w:t>
      </w:r>
      <w:r w:rsidRPr="00314686">
        <w:rPr>
          <w:rFonts w:ascii="Cambria" w:hAnsi="Cambria" w:cs="AdvOTf9433e2d"/>
          <w:sz w:val="24"/>
          <w:szCs w:val="24"/>
          <w:lang w:val="en-US"/>
        </w:rPr>
        <w:t>ed here.</w:t>
      </w:r>
    </w:p>
    <w:sectPr w:rsidR="00D830F6" w:rsidRPr="00314686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dvOTc20ddc96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dvOTf9433e2d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dvOTf9433e2d+fb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dvOTf9433e2d+20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686"/>
    <w:rsid w:val="00314686"/>
    <w:rsid w:val="00D830F6"/>
    <w:rsid w:val="00EB0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C3418"/>
  <w15:chartTrackingRefBased/>
  <w15:docId w15:val="{4C6F6D7A-1692-441B-8535-9F7134C2D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259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Brun Boesen</dc:creator>
  <cp:keywords/>
  <dc:description/>
  <cp:lastModifiedBy>Victor Brun Boesen</cp:lastModifiedBy>
  <cp:revision>1</cp:revision>
  <dcterms:created xsi:type="dcterms:W3CDTF">2021-03-04T12:44:00Z</dcterms:created>
  <dcterms:modified xsi:type="dcterms:W3CDTF">2021-03-04T12:46:00Z</dcterms:modified>
</cp:coreProperties>
</file>