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3E2" w:rsidRDefault="002E48EA">
      <w:r>
        <w:t>Summary magnolia</w:t>
      </w:r>
    </w:p>
    <w:p w:rsidR="002E48EA" w:rsidRDefault="002E48EA"/>
    <w:p w:rsidR="002E48EA" w:rsidRPr="00353536" w:rsidRDefault="002E48EA" w:rsidP="002E48EA">
      <w:pPr>
        <w:pStyle w:val="Brdtekst"/>
        <w:rPr>
          <w:szCs w:val="24"/>
        </w:rPr>
      </w:pPr>
      <w:r w:rsidRPr="00353536">
        <w:rPr>
          <w:szCs w:val="24"/>
        </w:rPr>
        <w:t xml:space="preserve">Bone disease in MM is a common disorder leading to pain, possible fractures, hypercalcaemia and a severely reduced quality of life. Treatment with </w:t>
      </w:r>
      <w:proofErr w:type="spellStart"/>
      <w:r w:rsidRPr="00353536">
        <w:rPr>
          <w:szCs w:val="24"/>
        </w:rPr>
        <w:t>zoledronic</w:t>
      </w:r>
      <w:proofErr w:type="spellEnd"/>
      <w:r w:rsidRPr="00353536">
        <w:rPr>
          <w:szCs w:val="24"/>
        </w:rPr>
        <w:t xml:space="preserve"> acid does not only reduce pain and the risk of SRE but also increase overall survival. Prolonged use however, increases the risk of BON, especially in patients with reduced dental health who undertakes invasive dental procedures. No data are currently available concerning the optimal duration of </w:t>
      </w:r>
      <w:proofErr w:type="spellStart"/>
      <w:r w:rsidRPr="00353536">
        <w:rPr>
          <w:szCs w:val="24"/>
        </w:rPr>
        <w:t>zoledronic</w:t>
      </w:r>
      <w:proofErr w:type="spellEnd"/>
      <w:r w:rsidRPr="00353536">
        <w:rPr>
          <w:szCs w:val="24"/>
        </w:rPr>
        <w:t xml:space="preserve"> acid treatment, but two years is the most common recommendation since the original studies had a follow-up of approximately 24 months. There are data emerging that indicate that cancellation of treatment results in an increased risk of PBD. </w:t>
      </w:r>
    </w:p>
    <w:p w:rsidR="002E48EA" w:rsidRPr="00353536" w:rsidRDefault="002E48EA" w:rsidP="002E48EA">
      <w:pPr>
        <w:pStyle w:val="Brdtekst"/>
        <w:rPr>
          <w:szCs w:val="24"/>
        </w:rPr>
      </w:pPr>
      <w:r w:rsidRPr="00353536">
        <w:rPr>
          <w:szCs w:val="24"/>
        </w:rPr>
        <w:t xml:space="preserve">Another completely different alternative when evaluating bone disease in MM is to use biochemical markers. This method is completely without radiation exposure, and it may in the future decide when </w:t>
      </w:r>
      <w:proofErr w:type="spellStart"/>
      <w:r w:rsidRPr="00353536">
        <w:rPr>
          <w:szCs w:val="24"/>
        </w:rPr>
        <w:t>zoledronic</w:t>
      </w:r>
      <w:proofErr w:type="spellEnd"/>
      <w:r w:rsidRPr="00353536">
        <w:rPr>
          <w:szCs w:val="24"/>
        </w:rPr>
        <w:t xml:space="preserve"> acid should be given and when it should be withheld, thereby reducing the risk of BON without increasing the risk of PBD. </w:t>
      </w:r>
    </w:p>
    <w:p w:rsidR="002E48EA" w:rsidRPr="00353536" w:rsidRDefault="002E48EA" w:rsidP="002E48EA">
      <w:pPr>
        <w:pStyle w:val="Brdtekst"/>
        <w:rPr>
          <w:szCs w:val="24"/>
        </w:rPr>
      </w:pPr>
      <w:r w:rsidRPr="00353536">
        <w:rPr>
          <w:szCs w:val="24"/>
        </w:rPr>
        <w:t>The golden standard when evaluating bone disease in MM is still conventional radiography. Never the less, conventional radiography is a cumbersome and time-consuming investigation for the patient who usually suffers from bone pain. Furthermore, lesions, especially in the axial skeleton, can be difficult to visualise and it has been demonstrated that CT is a more sensitive modality. It is now possible to conduct low-dose CT reducing the radiation exposure to an acceptable level; indicating that it should be the modality of choice. Prospective studies however are still lacking before the precise role of low-dose CT in MM can be defined.</w:t>
      </w:r>
    </w:p>
    <w:p w:rsidR="002E48EA" w:rsidRPr="00353536" w:rsidRDefault="002E48EA" w:rsidP="002E48EA">
      <w:pPr>
        <w:pStyle w:val="Brdtekst"/>
        <w:rPr>
          <w:szCs w:val="24"/>
        </w:rPr>
      </w:pPr>
      <w:r w:rsidRPr="00353536">
        <w:rPr>
          <w:szCs w:val="24"/>
        </w:rPr>
        <w:t xml:space="preserve">The purpose of this study is threefold. To determine the optimal duration of treatment with </w:t>
      </w:r>
      <w:proofErr w:type="spellStart"/>
      <w:r w:rsidRPr="00353536">
        <w:rPr>
          <w:szCs w:val="24"/>
        </w:rPr>
        <w:t>zoledronic</w:t>
      </w:r>
      <w:proofErr w:type="spellEnd"/>
      <w:r w:rsidRPr="00353536">
        <w:rPr>
          <w:szCs w:val="24"/>
        </w:rPr>
        <w:t xml:space="preserve"> acid. To investigate if the future role of serum bone markers in MM could be to tailor treatment to the individual patient. Finally, to evaluate if low-dose CT should replace conventional radiography as the golden standard when evaluating bone disease in MM.  </w:t>
      </w:r>
    </w:p>
    <w:p w:rsidR="002E48EA" w:rsidRPr="002E48EA" w:rsidRDefault="002E48EA">
      <w:pPr>
        <w:rPr>
          <w:lang w:val="en-GB"/>
        </w:rPr>
      </w:pPr>
      <w:bookmarkStart w:id="0" w:name="_GoBack"/>
      <w:bookmarkEnd w:id="0"/>
    </w:p>
    <w:sectPr w:rsidR="002E48EA" w:rsidRPr="002E48EA">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8EA"/>
    <w:rsid w:val="002E48EA"/>
    <w:rsid w:val="00763433"/>
    <w:rsid w:val="00AE01F4"/>
    <w:rsid w:val="00EA13E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F1191"/>
  <w15:chartTrackingRefBased/>
  <w15:docId w15:val="{80B62141-8110-4FF4-BEF3-DB45519A1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1F4"/>
    <w:pPr>
      <w:spacing w:line="240" w:lineRule="auto"/>
    </w:pPr>
    <w:rPr>
      <w:rFonts w:ascii="Arial" w:hAnsi="Arial"/>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Brdtekst">
    <w:name w:val="Body Text"/>
    <w:basedOn w:val="Normal"/>
    <w:link w:val="BrdtekstTegn"/>
    <w:uiPriority w:val="99"/>
    <w:rsid w:val="002E48EA"/>
    <w:pPr>
      <w:spacing w:after="0"/>
    </w:pPr>
    <w:rPr>
      <w:rFonts w:ascii="Times New Roman" w:eastAsia="Times New Roman" w:hAnsi="Times New Roman" w:cs="Times New Roman"/>
      <w:sz w:val="24"/>
      <w:szCs w:val="20"/>
      <w:lang w:val="en-GB" w:eastAsia="da-DK"/>
    </w:rPr>
  </w:style>
  <w:style w:type="character" w:customStyle="1" w:styleId="BrdtekstTegn">
    <w:name w:val="Brødtekst Tegn"/>
    <w:basedOn w:val="Standardskrifttypeiafsnit"/>
    <w:link w:val="Brdtekst"/>
    <w:uiPriority w:val="99"/>
    <w:rsid w:val="002E48EA"/>
    <w:rPr>
      <w:rFonts w:ascii="Times New Roman" w:eastAsia="Times New Roman" w:hAnsi="Times New Roman" w:cs="Times New Roman"/>
      <w:sz w:val="24"/>
      <w:szCs w:val="20"/>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1776</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Region Syddanmark</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Lund</dc:creator>
  <cp:keywords/>
  <dc:description/>
  <cp:lastModifiedBy>Thomas Lund</cp:lastModifiedBy>
  <cp:revision>1</cp:revision>
  <dcterms:created xsi:type="dcterms:W3CDTF">2024-11-13T09:46:00Z</dcterms:created>
  <dcterms:modified xsi:type="dcterms:W3CDTF">2024-11-13T09:47:00Z</dcterms:modified>
</cp:coreProperties>
</file>