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39F13" w14:textId="6A46C203" w:rsidR="00841A35" w:rsidRDefault="00514E8F">
      <w:r>
        <w:t>Statistical Analysis for 2014-003007-29 (predefined)</w:t>
      </w:r>
    </w:p>
    <w:p w14:paraId="38DEDA0C" w14:textId="77777777" w:rsidR="00514E8F" w:rsidRDefault="00514E8F"/>
    <w:p w14:paraId="6A8A7648" w14:textId="77777777" w:rsidR="00514E8F" w:rsidRPr="00A2594B" w:rsidRDefault="00514E8F" w:rsidP="00514E8F">
      <w:pPr>
        <w:pStyle w:val="Koptekst"/>
        <w:spacing w:before="120" w:after="120"/>
        <w:jc w:val="both"/>
        <w:rPr>
          <w:lang w:val="en-US"/>
        </w:rPr>
      </w:pPr>
      <w:r>
        <w:rPr>
          <w:lang w:val="en-US"/>
        </w:rPr>
        <w:t xml:space="preserve">We will aim at a sample size of 100 subjects for each cohort over a 1 year period. Using SAS software, the sample size needed to demonstrate, with 80% power and 5% significance, that the Pearson correlation between antibody response to Pneumovax 23 and Typhim Vi is larger than 0.65, with an assumed true correlation of 0.75, is 82 (one-sided Fisher’s z test). First analysis will be done after inclusion of minimum 82 subjects. Depending of the results, the sample size and inclusion period will be increased. </w:t>
      </w:r>
    </w:p>
    <w:p w14:paraId="64E5DF36" w14:textId="77777777" w:rsidR="00514E8F" w:rsidRDefault="00514E8F" w:rsidP="00514E8F">
      <w:pPr>
        <w:pStyle w:val="Kop3"/>
        <w:numPr>
          <w:ilvl w:val="0"/>
          <w:numId w:val="2"/>
        </w:numPr>
        <w:tabs>
          <w:tab w:val="num" w:pos="360"/>
        </w:tabs>
        <w:spacing w:before="120"/>
        <w:ind w:left="0" w:firstLine="0"/>
        <w:jc w:val="both"/>
        <w:rPr>
          <w:rFonts w:ascii="Calibri" w:eastAsia="Times New Roman" w:hAnsi="Calibri" w:cs="Calibri"/>
          <w:b/>
          <w:bCs/>
          <w:color w:val="auto"/>
          <w:lang w:val="en-US"/>
        </w:rPr>
      </w:pPr>
      <w:bookmarkStart w:id="0" w:name="_Toc336324893"/>
      <w:bookmarkStart w:id="1" w:name="_Toc412045307"/>
      <w:r>
        <w:rPr>
          <w:rFonts w:ascii="Calibri" w:eastAsia="Times New Roman" w:hAnsi="Calibri" w:cs="Calibri"/>
          <w:color w:val="auto"/>
          <w:lang w:val="en-US"/>
        </w:rPr>
        <w:t>Pearson correlations between the pneumococcal antibody response and Typhim Vi antibody response.</w:t>
      </w:r>
      <w:bookmarkEnd w:id="1"/>
      <w:r>
        <w:rPr>
          <w:rFonts w:ascii="Calibri" w:eastAsia="Times New Roman" w:hAnsi="Calibri" w:cs="Calibri"/>
          <w:color w:val="auto"/>
          <w:lang w:val="en-US"/>
        </w:rPr>
        <w:t xml:space="preserve"> </w:t>
      </w:r>
    </w:p>
    <w:p w14:paraId="61B111D4" w14:textId="77777777" w:rsidR="00514E8F" w:rsidRDefault="00514E8F" w:rsidP="00514E8F">
      <w:pPr>
        <w:pStyle w:val="Lijstalinea"/>
        <w:numPr>
          <w:ilvl w:val="0"/>
          <w:numId w:val="1"/>
        </w:numPr>
        <w:spacing w:after="200" w:line="276" w:lineRule="auto"/>
        <w:jc w:val="both"/>
        <w:rPr>
          <w:lang w:val="en-US"/>
        </w:rPr>
      </w:pPr>
      <w:r>
        <w:rPr>
          <w:lang w:val="en-US"/>
        </w:rPr>
        <w:t>Time: at inclusion of minimum 82 subjects per cohort and at trial end</w:t>
      </w:r>
    </w:p>
    <w:p w14:paraId="6105CB7A" w14:textId="77777777" w:rsidR="00514E8F" w:rsidRDefault="00514E8F" w:rsidP="00514E8F">
      <w:pPr>
        <w:pStyle w:val="Lijstalinea"/>
        <w:numPr>
          <w:ilvl w:val="0"/>
          <w:numId w:val="1"/>
        </w:numPr>
        <w:spacing w:after="200" w:line="276" w:lineRule="auto"/>
        <w:jc w:val="both"/>
        <w:rPr>
          <w:lang w:val="en-US"/>
        </w:rPr>
      </w:pPr>
      <w:r>
        <w:rPr>
          <w:lang w:val="en-US"/>
        </w:rPr>
        <w:t>Level of clinical significance: correlation index greater than 0.65 with p &lt; 0.05</w:t>
      </w:r>
    </w:p>
    <w:p w14:paraId="365C02E1" w14:textId="77777777" w:rsidR="00514E8F" w:rsidRPr="00BD0519" w:rsidRDefault="00514E8F" w:rsidP="00514E8F">
      <w:pPr>
        <w:pStyle w:val="Lijstalinea"/>
        <w:numPr>
          <w:ilvl w:val="0"/>
          <w:numId w:val="1"/>
        </w:numPr>
        <w:spacing w:after="200" w:line="276" w:lineRule="auto"/>
        <w:jc w:val="both"/>
        <w:rPr>
          <w:lang w:val="en-US"/>
        </w:rPr>
      </w:pPr>
      <w:r>
        <w:rPr>
          <w:lang w:val="en-US"/>
        </w:rPr>
        <w:t>Data set: all subjects, two cohorts separately</w:t>
      </w:r>
    </w:p>
    <w:p w14:paraId="02E73960" w14:textId="77777777" w:rsidR="00514E8F" w:rsidRDefault="00514E8F" w:rsidP="00514E8F">
      <w:pPr>
        <w:pStyle w:val="Lijstalinea"/>
        <w:numPr>
          <w:ilvl w:val="0"/>
          <w:numId w:val="2"/>
        </w:numPr>
        <w:spacing w:after="0" w:line="276" w:lineRule="auto"/>
        <w:jc w:val="both"/>
        <w:rPr>
          <w:lang w:val="en-US"/>
        </w:rPr>
      </w:pPr>
      <w:r w:rsidRPr="00157850">
        <w:rPr>
          <w:lang w:val="en-US"/>
        </w:rPr>
        <w:t xml:space="preserve">Sensitivity, specificity, PPV, NPV and likelihood ratios of Typhim Vi response and </w:t>
      </w:r>
      <w:r>
        <w:rPr>
          <w:lang w:val="en-US"/>
        </w:rPr>
        <w:t>AHA</w:t>
      </w:r>
      <w:r w:rsidRPr="00157850">
        <w:rPr>
          <w:lang w:val="en-US"/>
        </w:rPr>
        <w:t xml:space="preserve"> with Pneumo</w:t>
      </w:r>
      <w:r>
        <w:rPr>
          <w:lang w:val="en-US"/>
        </w:rPr>
        <w:t xml:space="preserve">vax </w:t>
      </w:r>
      <w:r w:rsidRPr="00157850">
        <w:rPr>
          <w:lang w:val="en-US"/>
        </w:rPr>
        <w:t xml:space="preserve">23 response used as a reference standard to define polysaccharide antibody deficient subjects. </w:t>
      </w:r>
    </w:p>
    <w:p w14:paraId="7B90BDDC" w14:textId="77777777" w:rsidR="00514E8F" w:rsidRDefault="00514E8F" w:rsidP="00514E8F">
      <w:pPr>
        <w:pStyle w:val="Lijstalinea"/>
        <w:numPr>
          <w:ilvl w:val="1"/>
          <w:numId w:val="4"/>
        </w:numPr>
        <w:spacing w:after="0" w:line="276" w:lineRule="auto"/>
        <w:jc w:val="both"/>
        <w:rPr>
          <w:lang w:val="en-US"/>
        </w:rPr>
      </w:pPr>
      <w:r w:rsidRPr="00157850">
        <w:rPr>
          <w:lang w:val="en-US"/>
        </w:rPr>
        <w:t>Time: at inclusion of 82 subjects per cohort and at trial end</w:t>
      </w:r>
    </w:p>
    <w:p w14:paraId="7AD0A4A5" w14:textId="77777777" w:rsidR="00514E8F" w:rsidRPr="00157850" w:rsidRDefault="00514E8F" w:rsidP="00514E8F">
      <w:pPr>
        <w:pStyle w:val="Lijstalinea"/>
        <w:numPr>
          <w:ilvl w:val="1"/>
          <w:numId w:val="4"/>
        </w:numPr>
        <w:spacing w:after="0" w:line="276" w:lineRule="auto"/>
        <w:jc w:val="both"/>
        <w:rPr>
          <w:lang w:val="en-US"/>
        </w:rPr>
      </w:pPr>
      <w:r w:rsidRPr="00157850">
        <w:rPr>
          <w:lang w:val="en-US"/>
        </w:rPr>
        <w:t>Data set: all subjects, two cohorts separately</w:t>
      </w:r>
    </w:p>
    <w:p w14:paraId="31494B4C" w14:textId="77777777" w:rsidR="00514E8F" w:rsidRDefault="00514E8F" w:rsidP="00514E8F">
      <w:pPr>
        <w:pStyle w:val="Lijstalinea"/>
        <w:numPr>
          <w:ilvl w:val="0"/>
          <w:numId w:val="2"/>
        </w:numPr>
        <w:spacing w:after="200" w:line="276" w:lineRule="auto"/>
        <w:jc w:val="both"/>
        <w:rPr>
          <w:lang w:val="en-US"/>
        </w:rPr>
      </w:pPr>
      <w:r w:rsidRPr="00157850">
        <w:rPr>
          <w:lang w:val="en-US"/>
        </w:rPr>
        <w:t>Multiple logistic regression analysis</w:t>
      </w:r>
      <w:r>
        <w:rPr>
          <w:lang w:val="en-US"/>
        </w:rPr>
        <w:t xml:space="preserve"> will be used</w:t>
      </w:r>
      <w:r w:rsidRPr="00157850">
        <w:rPr>
          <w:lang w:val="en-US"/>
        </w:rPr>
        <w:t xml:space="preserve"> to study association of low test results with clinical characteristics of pneumococcal antibody deficiency.</w:t>
      </w:r>
    </w:p>
    <w:p w14:paraId="63DA781A" w14:textId="77777777" w:rsidR="00514E8F" w:rsidRDefault="00514E8F" w:rsidP="00514E8F">
      <w:pPr>
        <w:pStyle w:val="Lijstalinea"/>
        <w:numPr>
          <w:ilvl w:val="1"/>
          <w:numId w:val="3"/>
        </w:numPr>
        <w:spacing w:after="200" w:line="276" w:lineRule="auto"/>
        <w:jc w:val="both"/>
        <w:rPr>
          <w:lang w:val="en-US"/>
        </w:rPr>
      </w:pPr>
      <w:r w:rsidRPr="00157850">
        <w:rPr>
          <w:lang w:val="en-US"/>
        </w:rPr>
        <w:t>Time: at inclusion of 82 subjects</w:t>
      </w:r>
      <w:r>
        <w:rPr>
          <w:lang w:val="en-US"/>
        </w:rPr>
        <w:t xml:space="preserve"> per cohort</w:t>
      </w:r>
      <w:r w:rsidRPr="00157850">
        <w:rPr>
          <w:lang w:val="en-US"/>
        </w:rPr>
        <w:t xml:space="preserve"> and at trial end</w:t>
      </w:r>
    </w:p>
    <w:p w14:paraId="4F3E60F3" w14:textId="77777777" w:rsidR="00514E8F" w:rsidRPr="00157850" w:rsidRDefault="00514E8F" w:rsidP="00514E8F">
      <w:pPr>
        <w:pStyle w:val="Lijstalinea"/>
        <w:numPr>
          <w:ilvl w:val="1"/>
          <w:numId w:val="3"/>
        </w:numPr>
        <w:spacing w:after="200" w:line="276" w:lineRule="auto"/>
        <w:jc w:val="both"/>
        <w:rPr>
          <w:lang w:val="en-US"/>
        </w:rPr>
      </w:pPr>
      <w:r>
        <w:rPr>
          <w:lang w:val="en-US"/>
        </w:rPr>
        <w:t>Level of significance: Odd’s ratio ≠ 1 with p &lt;0.05</w:t>
      </w:r>
    </w:p>
    <w:p w14:paraId="271A2C83" w14:textId="77777777" w:rsidR="00514E8F" w:rsidRPr="00157850" w:rsidRDefault="00514E8F" w:rsidP="00514E8F">
      <w:pPr>
        <w:pStyle w:val="Lijstalinea"/>
        <w:numPr>
          <w:ilvl w:val="1"/>
          <w:numId w:val="3"/>
        </w:numPr>
        <w:spacing w:after="0" w:line="276" w:lineRule="auto"/>
        <w:jc w:val="both"/>
        <w:rPr>
          <w:lang w:val="en-US"/>
        </w:rPr>
      </w:pPr>
      <w:r w:rsidRPr="00157850">
        <w:rPr>
          <w:lang w:val="en-US"/>
        </w:rPr>
        <w:t>Data set: all subjects, two cohorts separately</w:t>
      </w:r>
      <w:bookmarkEnd w:id="0"/>
    </w:p>
    <w:p w14:paraId="6E1303EC" w14:textId="77777777" w:rsidR="00514E8F" w:rsidRPr="00514E8F" w:rsidRDefault="00514E8F">
      <w:pPr>
        <w:rPr>
          <w:lang w:val="en-US"/>
        </w:rPr>
      </w:pPr>
    </w:p>
    <w:sectPr w:rsidR="00514E8F" w:rsidRPr="00514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657E"/>
    <w:multiLevelType w:val="hybridMultilevel"/>
    <w:tmpl w:val="E124C94C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1E6E2576"/>
    <w:multiLevelType w:val="hybridMultilevel"/>
    <w:tmpl w:val="E12E595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56BC5"/>
    <w:multiLevelType w:val="hybridMultilevel"/>
    <w:tmpl w:val="751AFB6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82A4F"/>
    <w:multiLevelType w:val="hybridMultilevel"/>
    <w:tmpl w:val="BB82019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827280">
    <w:abstractNumId w:val="0"/>
  </w:num>
  <w:num w:numId="2" w16cid:durableId="1396125598">
    <w:abstractNumId w:val="1"/>
  </w:num>
  <w:num w:numId="3" w16cid:durableId="212423442">
    <w:abstractNumId w:val="3"/>
  </w:num>
  <w:num w:numId="4" w16cid:durableId="377359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E8F"/>
    <w:rsid w:val="00514E8F"/>
    <w:rsid w:val="0084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1E104"/>
  <w15:chartTrackingRefBased/>
  <w15:docId w15:val="{D68F3BBF-0C7B-4B9B-A932-D34E9ADA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14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14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514E8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14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14E8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14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14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14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14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14E8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14E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514E8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14E8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14E8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14E8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14E8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14E8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14E8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14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14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14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14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14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14E8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14E8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14E8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14E8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14E8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14E8F"/>
    <w:rPr>
      <w:b/>
      <w:bCs/>
      <w:smallCaps/>
      <w:color w:val="2E74B5" w:themeColor="accent1" w:themeShade="BF"/>
      <w:spacing w:val="5"/>
    </w:rPr>
  </w:style>
  <w:style w:type="paragraph" w:styleId="Koptekst">
    <w:name w:val="header"/>
    <w:aliases w:val="Header Char"/>
    <w:basedOn w:val="Standaard"/>
    <w:link w:val="KoptekstChar"/>
    <w:rsid w:val="00514E8F"/>
    <w:pPr>
      <w:tabs>
        <w:tab w:val="center" w:pos="4536"/>
        <w:tab w:val="right" w:pos="9072"/>
      </w:tabs>
      <w:spacing w:after="200" w:line="276" w:lineRule="auto"/>
    </w:pPr>
    <w:rPr>
      <w:rFonts w:ascii="Calibri" w:eastAsia="Times New Roman" w:hAnsi="Calibri" w:cs="Calibri"/>
      <w:kern w:val="0"/>
      <w:lang w:val="nl-BE" w:eastAsia="nl-BE"/>
      <w14:ligatures w14:val="none"/>
    </w:rPr>
  </w:style>
  <w:style w:type="character" w:customStyle="1" w:styleId="KoptekstChar">
    <w:name w:val="Koptekst Char"/>
    <w:aliases w:val="Header Char Char"/>
    <w:basedOn w:val="Standaardalinea-lettertype"/>
    <w:link w:val="Koptekst"/>
    <w:rsid w:val="00514E8F"/>
    <w:rPr>
      <w:rFonts w:ascii="Calibri" w:eastAsia="Times New Roman" w:hAnsi="Calibri" w:cs="Calibri"/>
      <w:kern w:val="0"/>
      <w:lang w:val="nl-BE" w:eastAsia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1262</Characters>
  <Application>Microsoft Office Word</Application>
  <DocSecurity>0</DocSecurity>
  <Lines>10</Lines>
  <Paragraphs>2</Paragraphs>
  <ScaleCrop>false</ScaleCrop>
  <Company>UZ Leuven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Meyts</dc:creator>
  <cp:keywords/>
  <dc:description/>
  <cp:lastModifiedBy>Isabelle Meyts</cp:lastModifiedBy>
  <cp:revision>1</cp:revision>
  <dcterms:created xsi:type="dcterms:W3CDTF">2024-07-12T09:12:00Z</dcterms:created>
  <dcterms:modified xsi:type="dcterms:W3CDTF">2024-07-12T09:13:00Z</dcterms:modified>
</cp:coreProperties>
</file>