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0E59" w:rsidRPr="00510CAA" w:rsidRDefault="00910E59" w:rsidP="00910E59">
      <w:pPr>
        <w:pStyle w:val="Overskrift1"/>
      </w:pPr>
      <w:r w:rsidRPr="00510CAA">
        <w:t>Abstract</w:t>
      </w:r>
      <w:bookmarkStart w:id="0" w:name="_GoBack"/>
      <w:bookmarkEnd w:id="0"/>
    </w:p>
    <w:p w:rsidR="00910E59" w:rsidRPr="00767494" w:rsidRDefault="00910E59" w:rsidP="00910E59">
      <w:pPr>
        <w:rPr>
          <w:lang w:val="en-US"/>
        </w:rPr>
      </w:pPr>
      <w:r w:rsidRPr="001078C3">
        <w:rPr>
          <w:i/>
          <w:lang w:val="en-US"/>
        </w:rPr>
        <w:t>Background:</w:t>
      </w:r>
      <w:r>
        <w:rPr>
          <w:lang w:val="en-US"/>
        </w:rPr>
        <w:t xml:space="preserve"> Lidocaine has been shown to have anti-inflammatory-, analgetic properties as well as an favorable effect on wound healing. Lidocaine as well has been shown to reduce the duration of postoperative ileus and reducing the length of stay at the hospital. To our knowledge there is limited evidence for the use in robot assisted abdominal surgery.</w:t>
      </w:r>
    </w:p>
    <w:p w:rsidR="00910E59" w:rsidRPr="00C52D1C" w:rsidRDefault="00910E59" w:rsidP="00910E59">
      <w:pPr>
        <w:rPr>
          <w:lang w:val="en-US"/>
        </w:rPr>
      </w:pPr>
      <w:r>
        <w:rPr>
          <w:i/>
          <w:lang w:val="en-US"/>
        </w:rPr>
        <w:t>Methods:</w:t>
      </w:r>
      <w:r>
        <w:rPr>
          <w:lang w:val="en-US"/>
        </w:rPr>
        <w:t xml:space="preserve"> We randomized 60 patients in this prospective, randomized, double blinded trial. The patients were treated with 1,5mg/kg bolus and afterwards 1,5mg/kg/h infusion of lidocaine from before anesthesia induction until 2 hours after end of surgery. The control group received an equal volume of isotonic saline. The follow up period was 72 hours. Primary outcome was cumulative morphine consumption at 24 hours. Secondary outcomes were cumulative morphine consumption at 72hours, numerical pain score at 24 hours/72hours, length of stay, incidence of use of antiemetics, time until flatus/defecation.</w:t>
      </w:r>
    </w:p>
    <w:p w:rsidR="00910E59" w:rsidRPr="0069208B" w:rsidRDefault="00910E59" w:rsidP="00910E59">
      <w:pPr>
        <w:rPr>
          <w:lang w:val="en-US"/>
        </w:rPr>
      </w:pPr>
      <w:r>
        <w:rPr>
          <w:i/>
          <w:lang w:val="en-US"/>
        </w:rPr>
        <w:t>Results:</w:t>
      </w:r>
      <w:r>
        <w:rPr>
          <w:lang w:val="en-US"/>
        </w:rPr>
        <w:t xml:space="preserve"> We lost one patient to follow up in each group. Baseline characteristics were comparable. Mophine consumption was 1,81mg lower in the lidocaine group (p=0,81) at 24 hours. At 72 hours this difference increased to 6,03mg but still not significant (p=0,72). There was no significant difference in the secondary outcomes. Statistical correction was done for age, complicated surgery, non-opiate analgetics, duration of surgery, rectumextirpation vs other bowel surgery. </w:t>
      </w:r>
    </w:p>
    <w:p w:rsidR="00910E59" w:rsidRPr="00BB31DC" w:rsidRDefault="00910E59" w:rsidP="00910E59">
      <w:pPr>
        <w:rPr>
          <w:lang w:val="en-US"/>
        </w:rPr>
        <w:sectPr w:rsidR="00910E59" w:rsidRPr="00BB31DC">
          <w:pgSz w:w="11906" w:h="16838"/>
          <w:pgMar w:top="1701" w:right="1134" w:bottom="1701" w:left="1134" w:header="708" w:footer="708" w:gutter="0"/>
          <w:cols w:space="708"/>
          <w:docGrid w:linePitch="360"/>
        </w:sectPr>
      </w:pPr>
      <w:r>
        <w:rPr>
          <w:i/>
          <w:lang w:val="en-US"/>
        </w:rPr>
        <w:t xml:space="preserve">Conclusion: </w:t>
      </w:r>
      <w:r>
        <w:rPr>
          <w:lang w:val="en-US"/>
        </w:rPr>
        <w:t xml:space="preserve">  In this randomized double blinded prospective study on IV lidocaine vs saline on robot assisted colorectal surgery, we didn’t find any significant difference in postoperative cumulative morphine consumption .</w:t>
      </w:r>
    </w:p>
    <w:p w:rsidR="001A1D10" w:rsidRDefault="00910E59"/>
    <w:sectPr w:rsidR="001A1D10" w:rsidSect="00352B27">
      <w:pgSz w:w="11900" w:h="16840"/>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E59"/>
    <w:rsid w:val="00057B29"/>
    <w:rsid w:val="00352B27"/>
    <w:rsid w:val="006006A5"/>
    <w:rsid w:val="00910E59"/>
    <w:rsid w:val="00F76ECB"/>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14:docId w14:val="06A72535"/>
  <w14:defaultImageDpi w14:val="32767"/>
  <w15:chartTrackingRefBased/>
  <w15:docId w15:val="{A1BDEC74-CAC4-644B-BCAD-9DE83C463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da-DK"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10E59"/>
    <w:pPr>
      <w:spacing w:after="160" w:line="259" w:lineRule="auto"/>
    </w:pPr>
    <w:rPr>
      <w:sz w:val="22"/>
      <w:szCs w:val="22"/>
    </w:rPr>
  </w:style>
  <w:style w:type="paragraph" w:styleId="Overskrift1">
    <w:name w:val="heading 1"/>
    <w:basedOn w:val="Normal"/>
    <w:next w:val="Normal"/>
    <w:link w:val="Overskrift1Tegn"/>
    <w:uiPriority w:val="9"/>
    <w:qFormat/>
    <w:rsid w:val="00910E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910E5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ontor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235</Words>
  <Characters>1435</Characters>
  <Application>Microsoft Office Word</Application>
  <DocSecurity>0</DocSecurity>
  <Lines>11</Lines>
  <Paragraphs>3</Paragraphs>
  <ScaleCrop>false</ScaleCrop>
  <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Schou</dc:creator>
  <cp:keywords/>
  <dc:description/>
  <cp:lastModifiedBy>Michael Schou</cp:lastModifiedBy>
  <cp:revision>1</cp:revision>
  <dcterms:created xsi:type="dcterms:W3CDTF">2018-06-27T05:50:00Z</dcterms:created>
  <dcterms:modified xsi:type="dcterms:W3CDTF">2018-06-27T05:52:00Z</dcterms:modified>
</cp:coreProperties>
</file>